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1B" w:rsidRPr="00340CAA" w:rsidRDefault="0010291B" w:rsidP="00236C75">
      <w:pPr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ВЪВЕДЕНИ В ЕКСПЛОАТАЦИЯ НОВОПОСТРОЕНИ ЖИЛИ</w:t>
      </w:r>
      <w:r w:rsidR="00A87D09">
        <w:rPr>
          <w:rFonts w:ascii="Verdana" w:eastAsia="Times New Roman" w:hAnsi="Verdana" w:cs="Times New Roman"/>
          <w:b/>
          <w:sz w:val="20"/>
          <w:szCs w:val="20"/>
          <w:lang w:eastAsia="bg-BG"/>
        </w:rPr>
        <w:t>ЩНИ СГРАДИ И ЖИЛИЩА ПРЕЗ ТРЕТОТО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p w:rsidR="0010291B" w:rsidRPr="00340CAA" w:rsidRDefault="0010291B" w:rsidP="00ED0F9D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(ПРЕДВАРИТЕЛНИ ДАННИ)</w:t>
      </w:r>
    </w:p>
    <w:p w:rsidR="0010291B" w:rsidRPr="003D49D0" w:rsidRDefault="0010291B" w:rsidP="0010291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По предварителни данни</w:t>
      </w:r>
      <w:r w:rsidRPr="004A31E9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footnoteReference w:id="1"/>
      </w:r>
      <w:r w:rsidR="00A87D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 Националния статистически институт броят на въведените в екс</w:t>
      </w:r>
      <w:r w:rsidR="0037092D">
        <w:rPr>
          <w:rFonts w:ascii="Verdana" w:eastAsia="Times New Roman" w:hAnsi="Verdana" w:cs="Times New Roman"/>
          <w:sz w:val="20"/>
          <w:szCs w:val="20"/>
          <w:lang w:eastAsia="bg-BG"/>
        </w:rPr>
        <w:t>плоат</w:t>
      </w:r>
      <w:bookmarkStart w:id="0" w:name="_GoBack"/>
      <w:bookmarkEnd w:id="0"/>
      <w:r w:rsidR="00A87D09">
        <w:rPr>
          <w:rFonts w:ascii="Verdana" w:eastAsia="Times New Roman" w:hAnsi="Verdana" w:cs="Times New Roman"/>
          <w:sz w:val="20"/>
          <w:szCs w:val="20"/>
          <w:lang w:eastAsia="bg-BG"/>
        </w:rPr>
        <w:t>ация жилищни сгради през третото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 г. е 1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="00465FD2">
        <w:rPr>
          <w:rFonts w:ascii="Verdana" w:eastAsia="Times New Roman" w:hAnsi="Verdana" w:cs="Times New Roman"/>
          <w:sz w:val="20"/>
          <w:szCs w:val="20"/>
          <w:lang w:eastAsia="bg-BG"/>
        </w:rPr>
        <w:t>177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, а н</w:t>
      </w:r>
      <w:r w:rsidR="0037092D">
        <w:rPr>
          <w:rFonts w:ascii="Verdana" w:eastAsia="Times New Roman" w:hAnsi="Verdana" w:cs="Times New Roman"/>
          <w:sz w:val="20"/>
          <w:szCs w:val="20"/>
          <w:lang w:eastAsia="bg-BG"/>
        </w:rPr>
        <w:t>ов</w:t>
      </w:r>
      <w:r w:rsidR="00465FD2">
        <w:rPr>
          <w:rFonts w:ascii="Verdana" w:eastAsia="Times New Roman" w:hAnsi="Verdana" w:cs="Times New Roman"/>
          <w:sz w:val="20"/>
          <w:szCs w:val="20"/>
          <w:lang w:eastAsia="bg-BG"/>
        </w:rPr>
        <w:t>опостроените жилища в тях са 4 398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r w:rsidR="00ED0F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1 от приложението). </w:t>
      </w:r>
    </w:p>
    <w:p w:rsidR="0010291B" w:rsidRDefault="0010291B" w:rsidP="0010291B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1. Въведени в експлоатация новопостроени жилищни сгради и жилища по тримесечия</w:t>
      </w:r>
    </w:p>
    <w:p w:rsidR="0010291B" w:rsidRDefault="006D4894" w:rsidP="0010291B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4C94743" wp14:editId="229228B4">
            <wp:extent cx="6032776" cy="2941955"/>
            <wp:effectExtent l="0" t="0" r="63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6C00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От въведените в експлоатация новопостр</w:t>
      </w:r>
      <w:r w:rsidR="0037092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оени жилищни сгради през </w:t>
      </w:r>
      <w:r w:rsidR="00A87D09">
        <w:rPr>
          <w:rFonts w:ascii="Verdana" w:eastAsia="Times New Roman" w:hAnsi="Verdana" w:cs="Times New Roman"/>
          <w:sz w:val="20"/>
          <w:szCs w:val="20"/>
          <w:lang w:eastAsia="bg-BG"/>
        </w:rPr>
        <w:t>третото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 г. със </w:t>
      </w:r>
      <w:r w:rsidR="00ED0399">
        <w:rPr>
          <w:rFonts w:ascii="Verdana" w:eastAsia="Times New Roman" w:hAnsi="Verdana" w:cs="Times New Roman"/>
          <w:sz w:val="20"/>
          <w:szCs w:val="20"/>
          <w:lang w:eastAsia="bg-BG"/>
        </w:rPr>
        <w:t>стоманобетонна конструкция са 7</w:t>
      </w:r>
      <w:r w:rsidR="00C278AF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278AF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955913">
        <w:rPr>
          <w:rFonts w:ascii="Verdana" w:eastAsia="Times New Roman" w:hAnsi="Verdana" w:cs="Times New Roman"/>
          <w:sz w:val="20"/>
          <w:szCs w:val="20"/>
          <w:lang w:eastAsia="bg-BG"/>
        </w:rPr>
        <w:t>%, с тухлена - 22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55913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ED039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с друга - </w:t>
      </w:r>
      <w:r w:rsidR="00955913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55913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ED039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ED0F9D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ED039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панелна - </w:t>
      </w:r>
      <w:r w:rsidR="00ED0399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47A11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%. Най-голям е относителният</w:t>
      </w:r>
      <w:r w:rsidR="0012190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дял на новопостроените къщи (7</w:t>
      </w:r>
      <w:r w:rsidR="00E47A11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47A11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%), след</w:t>
      </w:r>
      <w:r w:rsidR="00121908">
        <w:rPr>
          <w:rFonts w:ascii="Verdana" w:eastAsia="Times New Roman" w:hAnsi="Verdana" w:cs="Times New Roman"/>
          <w:sz w:val="20"/>
          <w:szCs w:val="20"/>
          <w:lang w:eastAsia="bg-BG"/>
        </w:rPr>
        <w:t>вани от жилищните кооперации (1</w:t>
      </w:r>
      <w:r w:rsidR="00E47A11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47A11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%). </w:t>
      </w:r>
    </w:p>
    <w:p w:rsidR="00B76C00" w:rsidRPr="00340CAA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Най-много жилищни сгради са въведени в експло</w:t>
      </w:r>
      <w:r w:rsidR="006C63F8">
        <w:rPr>
          <w:rFonts w:ascii="Verdana" w:eastAsia="Times New Roman" w:hAnsi="Verdana" w:cs="Times New Roman"/>
          <w:sz w:val="20"/>
          <w:szCs w:val="20"/>
          <w:lang w:eastAsia="bg-BG"/>
        </w:rPr>
        <w:t>атация в областите Пловдив - 1</w:t>
      </w:r>
      <w:r w:rsidR="00135BED">
        <w:rPr>
          <w:rFonts w:ascii="Verdana" w:eastAsia="Times New Roman" w:hAnsi="Verdana" w:cs="Times New Roman"/>
          <w:sz w:val="20"/>
          <w:szCs w:val="20"/>
          <w:lang w:eastAsia="bg-BG"/>
        </w:rPr>
        <w:t>56</w:t>
      </w:r>
      <w:r w:rsidR="006C63F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сгради с </w:t>
      </w:r>
      <w:r w:rsidR="00135BED">
        <w:rPr>
          <w:rFonts w:ascii="Verdana" w:eastAsia="Times New Roman" w:hAnsi="Verdana" w:cs="Times New Roman"/>
          <w:sz w:val="20"/>
          <w:szCs w:val="20"/>
          <w:lang w:eastAsia="bg-BG"/>
        </w:rPr>
        <w:t>431</w:t>
      </w:r>
      <w:r w:rsidR="006C63F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жилища, </w:t>
      </w:r>
      <w:r w:rsidR="00135BED">
        <w:rPr>
          <w:rFonts w:ascii="Verdana" w:eastAsia="Times New Roman" w:hAnsi="Verdana" w:cs="Times New Roman"/>
          <w:sz w:val="20"/>
          <w:szCs w:val="20"/>
          <w:lang w:eastAsia="bg-BG"/>
        </w:rPr>
        <w:t>София (столица) - 153 сгради с 1 086</w:t>
      </w:r>
      <w:r w:rsidR="006C63F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жилища, и </w:t>
      </w:r>
      <w:r w:rsidR="00135BED">
        <w:rPr>
          <w:rFonts w:ascii="Verdana" w:eastAsia="Times New Roman" w:hAnsi="Verdana" w:cs="Times New Roman"/>
          <w:sz w:val="20"/>
          <w:szCs w:val="20"/>
          <w:lang w:eastAsia="bg-BG"/>
        </w:rPr>
        <w:t>Бургас - 137 сгради с 68</w:t>
      </w:r>
      <w:r w:rsidR="006C63F8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жилища в тях (</w:t>
      </w:r>
      <w:r w:rsidR="00ED0F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2). </w:t>
      </w:r>
    </w:p>
    <w:p w:rsidR="00B76C00" w:rsidRPr="00340CAA" w:rsidRDefault="00B76C00" w:rsidP="00B76C00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2. Въведени в експлоатация новопостроени жилищни сгради и жилища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185E8B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 области през </w:t>
      </w:r>
      <w:r w:rsidR="00A87D09" w:rsidRPr="00A87D09">
        <w:rPr>
          <w:rFonts w:ascii="Verdana" w:eastAsia="Times New Roman" w:hAnsi="Verdana" w:cs="Times New Roman"/>
          <w:b/>
          <w:sz w:val="20"/>
          <w:szCs w:val="20"/>
          <w:lang w:eastAsia="bg-BG"/>
        </w:rPr>
        <w:t>третото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p w:rsidR="00B76C00" w:rsidRPr="00340CAA" w:rsidRDefault="00723238" w:rsidP="00B76C00">
      <w:pPr>
        <w:spacing w:before="120" w:after="120"/>
        <w:jc w:val="center"/>
        <w:rPr>
          <w:rFonts w:ascii="Verdana" w:eastAsia="Times New Roman" w:hAnsi="Verdana" w:cs="Times New Roman"/>
          <w:szCs w:val="20"/>
          <w:lang w:eastAsia="bg-BG"/>
        </w:rPr>
      </w:pPr>
      <w:r>
        <w:rPr>
          <w:rFonts w:ascii="Verdana" w:eastAsia="Times New Roman" w:hAnsi="Verdana" w:cs="Times New Roman"/>
          <w:noProof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320.35pt">
            <v:imagedata r:id="rId8" o:title="Жилища_БГ_Q3_2024"/>
          </v:shape>
        </w:pict>
      </w:r>
    </w:p>
    <w:p w:rsidR="00B76C00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Най-висок е делът на новоп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остроените жилища с две стаи (39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74E40">
        <w:rPr>
          <w:rFonts w:ascii="Verdana" w:eastAsia="Times New Roman" w:hAnsi="Verdana" w:cs="Times New Roman"/>
          <w:sz w:val="20"/>
          <w:szCs w:val="20"/>
          <w:lang w:eastAsia="bg-BG"/>
        </w:rPr>
        <w:t>7%), следват тези с три стаи (32.9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%), а най-нисък е делът на ж</w:t>
      </w:r>
      <w:r w:rsidR="00574E40">
        <w:rPr>
          <w:rFonts w:ascii="Verdana" w:eastAsia="Times New Roman" w:hAnsi="Verdana" w:cs="Times New Roman"/>
          <w:sz w:val="20"/>
          <w:szCs w:val="20"/>
          <w:lang w:eastAsia="bg-BG"/>
        </w:rPr>
        <w:t>илищата с шест и повече стаи - 4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74E40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% (</w:t>
      </w:r>
      <w:r w:rsidR="00ED1C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3). </w:t>
      </w:r>
    </w:p>
    <w:p w:rsidR="00B76C00" w:rsidRPr="00A406CA" w:rsidRDefault="00B76C00" w:rsidP="00B76C00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3. Въведени в експлоатация новопостроени жилища по брой на стаите</w:t>
      </w:r>
    </w:p>
    <w:p w:rsidR="00B76C00" w:rsidRPr="009F75E6" w:rsidRDefault="001E24F8" w:rsidP="00B76C00">
      <w:pPr>
        <w:spacing w:before="120" w:after="120"/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642DEC1" wp14:editId="3EB84D24">
            <wp:extent cx="5829659" cy="2832652"/>
            <wp:effectExtent l="0" t="0" r="0" b="63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C00" w:rsidRPr="00340CAA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Общата полезна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нов</w:t>
      </w:r>
      <w:r w:rsidR="00B4295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опостроените жилища през </w:t>
      </w:r>
      <w:r w:rsidR="00A87D09">
        <w:rPr>
          <w:rFonts w:ascii="Verdana" w:eastAsia="Times New Roman" w:hAnsi="Verdana" w:cs="Times New Roman"/>
          <w:sz w:val="20"/>
          <w:szCs w:val="20"/>
          <w:lang w:eastAsia="bg-BG"/>
        </w:rPr>
        <w:t>третото</w:t>
      </w:r>
      <w:r w:rsidR="001E24F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 г. е 410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E24F8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кв. м, а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жилищната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340CA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- </w:t>
      </w:r>
      <w:r w:rsidR="001E24F8">
        <w:rPr>
          <w:rFonts w:ascii="Verdana" w:eastAsia="Times New Roman" w:hAnsi="Verdana" w:cs="Times New Roman"/>
          <w:sz w:val="20"/>
          <w:szCs w:val="20"/>
          <w:lang w:eastAsia="bg-BG"/>
        </w:rPr>
        <w:t>318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E24F8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кв. метра (</w:t>
      </w:r>
      <w:r w:rsidR="00D32F6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фиг. 4).</w:t>
      </w:r>
      <w:r w:rsidRPr="00340CA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Средната полезна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едно новопостроено жилище </w:t>
      </w:r>
      <w:r w:rsidRPr="00340CA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e </w:t>
      </w:r>
      <w:r w:rsidR="001E24F8">
        <w:rPr>
          <w:rFonts w:ascii="Verdana" w:eastAsia="Times New Roman" w:hAnsi="Verdana" w:cs="Times New Roman"/>
          <w:sz w:val="20"/>
          <w:szCs w:val="20"/>
          <w:lang w:eastAsia="bg-BG"/>
        </w:rPr>
        <w:t>93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E24F8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кв. метра.</w:t>
      </w:r>
    </w:p>
    <w:p w:rsidR="00B76C00" w:rsidRPr="00982F07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Най-голяма средна полезна площ на едно новопостроено жилище е </w:t>
      </w:r>
      <w:r w:rsidR="009630E6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регистрирана в областите Смолян - 162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630E6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кв. м, и </w:t>
      </w:r>
      <w:r w:rsidR="009630E6">
        <w:rPr>
          <w:rFonts w:ascii="Verdana" w:eastAsia="Times New Roman" w:hAnsi="Verdana" w:cs="Times New Roman"/>
          <w:sz w:val="20"/>
          <w:szCs w:val="20"/>
          <w:lang w:eastAsia="bg-BG"/>
        </w:rPr>
        <w:t>Видин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- 1</w:t>
      </w:r>
      <w:r w:rsidR="009630E6">
        <w:rPr>
          <w:rFonts w:ascii="Verdana" w:eastAsia="Times New Roman" w:hAnsi="Verdana" w:cs="Times New Roman"/>
          <w:sz w:val="20"/>
          <w:szCs w:val="20"/>
          <w:lang w:eastAsia="bg-BG"/>
        </w:rPr>
        <w:t>62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630E6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кв. м, а най-ма</w:t>
      </w:r>
      <w:r w:rsidR="00075146">
        <w:rPr>
          <w:rFonts w:ascii="Verdana" w:eastAsia="Times New Roman" w:hAnsi="Verdana" w:cs="Times New Roman"/>
          <w:sz w:val="20"/>
          <w:szCs w:val="20"/>
          <w:lang w:eastAsia="bg-BG"/>
        </w:rPr>
        <w:t>лка - в областите Шумен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- 6</w:t>
      </w:r>
      <w:r w:rsidR="00075146">
        <w:rPr>
          <w:rFonts w:ascii="Verdana" w:eastAsia="Times New Roman" w:hAnsi="Verdana" w:cs="Times New Roman"/>
          <w:sz w:val="20"/>
          <w:szCs w:val="20"/>
          <w:lang w:eastAsia="bg-BG"/>
        </w:rPr>
        <w:t>5.3 кв. м, и Търговище - 68.7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кв. метра.</w:t>
      </w:r>
    </w:p>
    <w:p w:rsidR="00B76C00" w:rsidRPr="007A1A8C" w:rsidRDefault="00B76C00" w:rsidP="007A1A8C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4. Обща полезна и жилищна площ на въведените в експлоатация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новопостроени жилища по тримесечия</w:t>
      </w:r>
    </w:p>
    <w:p w:rsidR="00B76C00" w:rsidRDefault="00564355" w:rsidP="0035284F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0E0BDD2" wp14:editId="117AD571">
            <wp:extent cx="5972810" cy="2967049"/>
            <wp:effectExtent l="0" t="0" r="8890" b="508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C00" w:rsidRPr="00340CAA" w:rsidRDefault="00B76C00" w:rsidP="00B76C00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Статистическите данни за новопостроените жилищни сгради и жилища </w:t>
      </w:r>
      <w:r w:rsidRPr="00340C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са разработени на базата на тримесечна информация, получавана от общинските администрации.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В обхвата на наблюдението се включват новопостроените жилищни сгради с одобрен приемателен протокол обр</w:t>
      </w:r>
      <w:r w:rsidR="00D32F64">
        <w:rPr>
          <w:rFonts w:ascii="Verdana" w:eastAsia="Times New Roman" w:hAnsi="Verdana" w:cs="Times New Roman"/>
          <w:sz w:val="20"/>
          <w:szCs w:val="20"/>
          <w:lang w:eastAsia="bg-BG"/>
        </w:rPr>
        <w:t>азец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16 или издадено разрешение за ползване съгласно Наредба № 2/31.07.2003 г. на Министерството на регионалното развитие и благоустройството.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Жилищната площ</w:t>
      </w:r>
      <w:r w:rsidRPr="00340C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включва площта на стаите и кухните с площ 4 и повече квадратни метр</w:t>
      </w:r>
      <w:r w:rsidR="00D32F6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</w:t>
      </w:r>
      <w:r w:rsidRPr="00340C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Спомагателната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включва площта на спомагателните помещения, стаите и кухните с площ по-малка от 4 кв. м, вестибюлите с портал и друга преграда, коридорите, антретата, баните, тоалетните, килерите, дрешниците, другите спомагателни помещения (сушилни, перални, балкони и </w:t>
      </w:r>
      <w:proofErr w:type="spellStart"/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лоджии</w:t>
      </w:r>
      <w:proofErr w:type="spellEnd"/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), независимо от големината на площта им. 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Полезната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жилището представлява сума от жилищната и спомагателната площ.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Средната полезна площ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 жилището е отношение на полезната площ към броя на жилищата.</w:t>
      </w: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Cs w:val="20"/>
          <w:lang w:eastAsia="bg-BG"/>
        </w:rPr>
        <w:t xml:space="preserve"> </w:t>
      </w: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2222C7">
      <w:pPr>
        <w:rPr>
          <w:rFonts w:ascii="Verdana" w:eastAsia="Times New Roman" w:hAnsi="Verdana" w:cs="Times New Roman"/>
          <w:b/>
          <w:szCs w:val="20"/>
          <w:lang w:eastAsia="bg-BG"/>
        </w:rPr>
      </w:pPr>
      <w:r>
        <w:rPr>
          <w:rFonts w:ascii="Verdana" w:eastAsia="Times New Roman" w:hAnsi="Verdana" w:cs="Times New Roman"/>
          <w:b/>
          <w:szCs w:val="20"/>
          <w:lang w:eastAsia="bg-BG"/>
        </w:rPr>
        <w:br w:type="page"/>
      </w:r>
    </w:p>
    <w:p w:rsidR="00B76C00" w:rsidRPr="00340CAA" w:rsidRDefault="00B76C00" w:rsidP="00B76C00">
      <w:pPr>
        <w:tabs>
          <w:tab w:val="left" w:pos="4035"/>
        </w:tabs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:rsidR="00B76C00" w:rsidRPr="00340CAA" w:rsidRDefault="00B76C00" w:rsidP="00B76C00">
      <w:pPr>
        <w:tabs>
          <w:tab w:val="left" w:pos="3969"/>
        </w:tabs>
        <w:spacing w:before="160" w:after="160" w:line="360" w:lineRule="auto"/>
        <w:ind w:right="283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Таблица 1</w:t>
      </w:r>
    </w:p>
    <w:p w:rsidR="00B76C00" w:rsidRPr="00ED5F9F" w:rsidRDefault="00B76C00" w:rsidP="00B76C00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Въведени в експлоатация новопостроени жилищни сгради и жилища през </w:t>
      </w:r>
      <w:r w:rsidR="003B2211">
        <w:rPr>
          <w:rFonts w:ascii="Verdana" w:eastAsia="Times New Roman" w:hAnsi="Verdana" w:cs="Times New Roman"/>
          <w:b/>
          <w:sz w:val="20"/>
          <w:szCs w:val="20"/>
          <w:lang w:eastAsia="bg-BG"/>
        </w:rPr>
        <w:t>третото</w:t>
      </w:r>
      <w:r w:rsidRPr="00340CA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</w:t>
      </w:r>
      <w:r w:rsidRPr="00340CA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  <w:r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t>*</w:t>
      </w:r>
    </w:p>
    <w:tbl>
      <w:tblPr>
        <w:tblW w:w="9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1180"/>
        <w:gridCol w:w="1331"/>
        <w:gridCol w:w="1049"/>
        <w:gridCol w:w="2080"/>
        <w:gridCol w:w="2344"/>
      </w:tblGrid>
      <w:tr w:rsidR="003B2211" w:rsidRPr="003B2211" w:rsidTr="003B2211">
        <w:trPr>
          <w:trHeight w:val="1025"/>
          <w:jc w:val="center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Области</w:t>
            </w:r>
          </w:p>
        </w:tc>
        <w:tc>
          <w:tcPr>
            <w:tcW w:w="25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Въведени в експлоатация новопостроени сгради и жилища - бр.</w:t>
            </w:r>
          </w:p>
        </w:tc>
        <w:tc>
          <w:tcPr>
            <w:tcW w:w="547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Полезна площ на въведените в експлоатация новопостроени жилища - кв. м</w:t>
            </w:r>
          </w:p>
        </w:tc>
      </w:tr>
      <w:tr w:rsidR="003B2211" w:rsidRPr="003B2211" w:rsidTr="003B2211">
        <w:trPr>
          <w:trHeight w:val="870"/>
          <w:jc w:val="center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сгради</w:t>
            </w: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жилища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площ на жилищните помещения, вкл. кухните над 4 кв. м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площ на спомагателните помещения, вкл. кухните под 4 кв. м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211" w:rsidRPr="003B2211" w:rsidRDefault="003B2211" w:rsidP="003B2211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Общо за страната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1177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4398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410181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318915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91266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Благоевград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29040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23611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5429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Бургас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56153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40231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15922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Варна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131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59629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45053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14576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Велико Търново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6502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4762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1740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Видин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152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10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Враца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350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235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Габрово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826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353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Добрич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7164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5893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1271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Кърджали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2933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2239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694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Кюстендил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678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182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Ловеч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1425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491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Монтана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2956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1804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1152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Пазарджик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14484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12201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2283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Перник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9999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7472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2527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Плевен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1034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655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Пловдив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53110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40151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12959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Разград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524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305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Русе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5713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3331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2382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Силистра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420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126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Сливен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4352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3761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591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Смолян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738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236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 xml:space="preserve">София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24261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18712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5549</w:t>
            </w:r>
          </w:p>
        </w:tc>
      </w:tr>
      <w:tr w:rsidR="003B2211" w:rsidRPr="003B2211" w:rsidTr="003B2211">
        <w:trPr>
          <w:trHeight w:val="258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София (столица)</w:t>
            </w: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153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1086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84931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70065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14866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Стара Загора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25015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22323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2692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681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349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Хасково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6109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4603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1506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Шумен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6071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4222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1849</w:t>
            </w:r>
          </w:p>
        </w:tc>
      </w:tr>
      <w:tr w:rsidR="003B2211" w:rsidRPr="003B2211" w:rsidTr="003B2211">
        <w:trPr>
          <w:trHeight w:val="21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Ямбол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1653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336</w:t>
            </w:r>
          </w:p>
        </w:tc>
      </w:tr>
      <w:tr w:rsidR="003B2211" w:rsidRPr="003B2211" w:rsidTr="003B2211">
        <w:trPr>
          <w:trHeight w:val="9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3B2211" w:rsidRPr="003B2211" w:rsidTr="003B2211">
        <w:trPr>
          <w:trHeight w:val="272"/>
          <w:jc w:val="center"/>
        </w:trPr>
        <w:tc>
          <w:tcPr>
            <w:tcW w:w="4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 xml:space="preserve">* </w:t>
            </w: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Предварителни данни.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211" w:rsidRPr="003B2211" w:rsidRDefault="003B2211" w:rsidP="003B22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3B2211" w:rsidRPr="003B2211" w:rsidTr="003B2211">
        <w:trPr>
          <w:trHeight w:val="752"/>
          <w:jc w:val="center"/>
        </w:trPr>
        <w:tc>
          <w:tcPr>
            <w:tcW w:w="9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211" w:rsidRPr="003B2211" w:rsidRDefault="003B2211" w:rsidP="001D2508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2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Поради смяна на източника на информация за област София (столица), данните се отнасят за районите Витоша, Връбница, Възраждане, Красна поляна, Кремиковци, Надеж</w:t>
            </w:r>
            <w:r w:rsidR="001D250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да, Овча купел, Сердика</w:t>
            </w:r>
            <w:r w:rsidRPr="003B22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и Студентски. Поради отказ за предоставяне на информация от останалите районни администрации, въведените в експлоатация новопостроени сгради на техните територии не са включени в прессъобщението.</w:t>
            </w:r>
          </w:p>
        </w:tc>
      </w:tr>
    </w:tbl>
    <w:p w:rsidR="00B76C00" w:rsidRDefault="00B76C00" w:rsidP="00B76C00">
      <w:pPr>
        <w:tabs>
          <w:tab w:val="left" w:pos="3969"/>
        </w:tabs>
        <w:ind w:right="283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2222C7" w:rsidRDefault="002222C7" w:rsidP="00B76C00">
      <w:pPr>
        <w:tabs>
          <w:tab w:val="left" w:pos="3969"/>
        </w:tabs>
        <w:ind w:right="283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2222C7" w:rsidRPr="00340CAA" w:rsidRDefault="002222C7" w:rsidP="00B76C00">
      <w:pPr>
        <w:tabs>
          <w:tab w:val="left" w:pos="3969"/>
        </w:tabs>
        <w:ind w:right="283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76C00" w:rsidRDefault="00B76C00" w:rsidP="00B76C00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3969"/>
        </w:tabs>
        <w:spacing w:before="160" w:after="160" w:line="360" w:lineRule="auto"/>
        <w:ind w:right="283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:rsidR="00B76C00" w:rsidRDefault="00B76C00" w:rsidP="00B76C00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Новопостроени жилищни сгради според вида на сградата</w:t>
      </w:r>
    </w:p>
    <w:tbl>
      <w:tblPr>
        <w:tblW w:w="104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736"/>
        <w:gridCol w:w="738"/>
        <w:gridCol w:w="686"/>
        <w:gridCol w:w="687"/>
        <w:gridCol w:w="686"/>
        <w:gridCol w:w="686"/>
        <w:gridCol w:w="686"/>
        <w:gridCol w:w="688"/>
        <w:gridCol w:w="720"/>
        <w:gridCol w:w="820"/>
        <w:gridCol w:w="821"/>
      </w:tblGrid>
      <w:tr w:rsidR="00676F2C" w:rsidRPr="00723238" w:rsidTr="00676F2C">
        <w:trPr>
          <w:trHeight w:val="236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(Брой)</w:t>
            </w:r>
          </w:p>
        </w:tc>
      </w:tr>
      <w:tr w:rsidR="00723238" w:rsidRPr="00723238" w:rsidTr="00723238">
        <w:trPr>
          <w:trHeight w:val="264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eastAsia="bg-BG"/>
              </w:rPr>
              <w:t>*</w:t>
            </w:r>
          </w:p>
        </w:tc>
      </w:tr>
      <w:tr w:rsidR="00676F2C" w:rsidRPr="00723238" w:rsidTr="00676F2C">
        <w:trPr>
          <w:trHeight w:val="473"/>
          <w:jc w:val="center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ІІІ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ІV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ІІІ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ІV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   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ІІІ </w:t>
            </w:r>
            <w:proofErr w:type="spellStart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</w:tr>
      <w:tr w:rsidR="00723238" w:rsidRPr="00723238" w:rsidTr="00676F2C">
        <w:trPr>
          <w:trHeight w:val="236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23238" w:rsidRPr="00723238" w:rsidTr="00676F2C">
        <w:trPr>
          <w:trHeight w:val="236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1271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1197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1336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1586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1345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1289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1026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1039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1177</w:t>
            </w:r>
          </w:p>
        </w:tc>
      </w:tr>
      <w:tr w:rsidR="00723238" w:rsidRPr="00723238" w:rsidTr="00676F2C">
        <w:trPr>
          <w:trHeight w:val="236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Къщи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1053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1299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1083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995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925</w:t>
            </w:r>
          </w:p>
        </w:tc>
      </w:tr>
      <w:tr w:rsidR="00723238" w:rsidRPr="00723238" w:rsidTr="00676F2C">
        <w:trPr>
          <w:trHeight w:val="236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Жилищни блокове/кооперации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169</w:t>
            </w:r>
          </w:p>
        </w:tc>
      </w:tr>
      <w:tr w:rsidR="00723238" w:rsidRPr="00723238" w:rsidTr="00676F2C">
        <w:trPr>
          <w:trHeight w:val="236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Сгради от смесен тип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25</w:t>
            </w:r>
          </w:p>
        </w:tc>
      </w:tr>
      <w:tr w:rsidR="00723238" w:rsidRPr="00723238" w:rsidTr="00676F2C">
        <w:trPr>
          <w:trHeight w:val="236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Общежития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</w:tr>
      <w:tr w:rsidR="00723238" w:rsidRPr="00723238" w:rsidTr="00676F2C">
        <w:trPr>
          <w:trHeight w:val="236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Вили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58</w:t>
            </w:r>
          </w:p>
        </w:tc>
      </w:tr>
      <w:tr w:rsidR="00723238" w:rsidRPr="00723238" w:rsidTr="00676F2C">
        <w:trPr>
          <w:trHeight w:val="445"/>
          <w:jc w:val="center"/>
        </w:trPr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Сгради за колективно домакинство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</w:tr>
      <w:tr w:rsidR="00723238" w:rsidRPr="00723238" w:rsidTr="00676F2C">
        <w:trPr>
          <w:trHeight w:val="208"/>
          <w:jc w:val="center"/>
        </w:trPr>
        <w:tc>
          <w:tcPr>
            <w:tcW w:w="4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23238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*</w:t>
            </w:r>
            <w:r w:rsidRPr="00723238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38" w:rsidRPr="00723238" w:rsidRDefault="00723238" w:rsidP="0072323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B4855" w:rsidRDefault="001B4855" w:rsidP="00B76C00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1B4855" w:rsidRDefault="001B4855" w:rsidP="005C2761">
      <w:pPr>
        <w:ind w:left="-993"/>
        <w:rPr>
          <w:rFonts w:ascii="Verdana" w:hAnsi="Verdana" w:cs="Arial"/>
          <w:sz w:val="16"/>
          <w:szCs w:val="16"/>
          <w:vertAlign w:val="superscript"/>
        </w:rPr>
      </w:pPr>
    </w:p>
    <w:p w:rsidR="005C2761" w:rsidRDefault="005C2761" w:rsidP="005C2761">
      <w:pPr>
        <w:ind w:left="-993"/>
        <w:rPr>
          <w:rFonts w:ascii="Verdana" w:hAnsi="Verdana" w:cs="Arial"/>
          <w:sz w:val="16"/>
          <w:szCs w:val="16"/>
        </w:rPr>
      </w:pPr>
    </w:p>
    <w:p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171C36" w:rsidRPr="00CA0766" w:rsidRDefault="00171C36" w:rsidP="00EA7F94">
      <w:pPr>
        <w:spacing w:line="360" w:lineRule="auto"/>
        <w:jc w:val="both"/>
      </w:pPr>
    </w:p>
    <w:sectPr w:rsidR="00171C36" w:rsidRPr="00CA0766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CF" w:rsidRDefault="00AC5FCF" w:rsidP="00214ACA">
      <w:r>
        <w:separator/>
      </w:r>
    </w:p>
  </w:endnote>
  <w:endnote w:type="continuationSeparator" w:id="0">
    <w:p w:rsidR="00AC5FCF" w:rsidRDefault="00AC5FCF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E6" w:rsidRPr="00A7142A" w:rsidRDefault="009630E6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0E6" w:rsidRPr="00DD11CB" w:rsidRDefault="009630E6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6F2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9630E6" w:rsidRPr="00DD11CB" w:rsidRDefault="009630E6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76F2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E6" w:rsidRDefault="009630E6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0E6" w:rsidRPr="00DD11CB" w:rsidRDefault="009630E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6F2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9630E6" w:rsidRPr="00DD11CB" w:rsidRDefault="009630E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76F2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E6" w:rsidRPr="00171C36" w:rsidRDefault="009630E6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0E6" w:rsidRPr="00DD11CB" w:rsidRDefault="009630E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6F2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0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yP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MYOsc6tpreyPIJVK0kqA4ECmMRFrVU3zHqYcSkWH/bUcUwat4L6Iw4JLbpjNuQyWwE&#10;G3Vp2VxaqCjAVYoNRsNyaYY5tusU39YQKXSpEnIB3VRxJ+pnVMcehDHiuB1Hnp1Tl3t363kwz38B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HBY8j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9630E6" w:rsidRPr="00DD11CB" w:rsidRDefault="009630E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76F2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:rsidR="009630E6" w:rsidRDefault="009630E6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CF" w:rsidRDefault="00AC5FCF" w:rsidP="00214ACA">
      <w:r>
        <w:separator/>
      </w:r>
    </w:p>
  </w:footnote>
  <w:footnote w:type="continuationSeparator" w:id="0">
    <w:p w:rsidR="00AC5FCF" w:rsidRDefault="00AC5FCF" w:rsidP="00214ACA">
      <w:r>
        <w:continuationSeparator/>
      </w:r>
    </w:p>
  </w:footnote>
  <w:footnote w:id="1">
    <w:p w:rsidR="009630E6" w:rsidRPr="00CF4A17" w:rsidRDefault="009630E6" w:rsidP="0010291B">
      <w:pPr>
        <w:pStyle w:val="FootnoteText"/>
        <w:jc w:val="both"/>
        <w:rPr>
          <w:rFonts w:ascii="Verdana" w:hAnsi="Verdana"/>
          <w:lang w:val="bg-BG"/>
        </w:rPr>
      </w:pPr>
      <w:r w:rsidRPr="00903F5E">
        <w:rPr>
          <w:rStyle w:val="FootnoteReference"/>
          <w:rFonts w:ascii="Verdana" w:hAnsi="Verdana"/>
          <w:sz w:val="16"/>
        </w:rPr>
        <w:footnoteRef/>
      </w:r>
      <w:r w:rsidRPr="00903F5E">
        <w:rPr>
          <w:rFonts w:ascii="Verdana" w:hAnsi="Verdana"/>
          <w:sz w:val="16"/>
        </w:rPr>
        <w:t xml:space="preserve"> </w:t>
      </w:r>
      <w:r w:rsidRPr="00903F5E">
        <w:rPr>
          <w:rFonts w:ascii="Verdana" w:hAnsi="Verdana"/>
          <w:sz w:val="16"/>
          <w:lang w:val="bg-BG"/>
        </w:rPr>
        <w:t xml:space="preserve">Поради смяна на източника на информация за област София (столица), данните се отнасят за районите </w:t>
      </w:r>
      <w:r w:rsidRPr="00B6632E">
        <w:rPr>
          <w:rFonts w:ascii="Verdana" w:hAnsi="Verdana"/>
          <w:sz w:val="16"/>
          <w:lang w:val="bg-BG"/>
        </w:rPr>
        <w:t>Витоша, Връбница, Възраждане, Красна поляна, Кремиковци, Надеж</w:t>
      </w:r>
      <w:r w:rsidR="00DD142C">
        <w:rPr>
          <w:rFonts w:ascii="Verdana" w:hAnsi="Verdana"/>
          <w:sz w:val="16"/>
          <w:lang w:val="bg-BG"/>
        </w:rPr>
        <w:t>да, Овча купел, Сердика</w:t>
      </w:r>
      <w:r w:rsidRPr="00B6632E">
        <w:rPr>
          <w:rFonts w:ascii="Verdana" w:hAnsi="Verdana"/>
          <w:sz w:val="16"/>
          <w:lang w:val="bg-BG"/>
        </w:rPr>
        <w:t xml:space="preserve"> и Студентски</w:t>
      </w:r>
      <w:r w:rsidRPr="00903F5E">
        <w:rPr>
          <w:rFonts w:ascii="Verdana" w:hAnsi="Verdana"/>
          <w:sz w:val="16"/>
          <w:lang w:val="bg-BG"/>
        </w:rPr>
        <w:t>. Поради отказ на останалите районни администрации да предоставят информация, въведените в експлоатация новопостроени жилищни сгради на техните територии не са включени в прессъобщението.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E6" w:rsidRPr="00B77149" w:rsidRDefault="009630E6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205740</wp:posOffset>
              </wp:positionH>
              <wp:positionV relativeFrom="paragraph">
                <wp:posOffset>-599440</wp:posOffset>
              </wp:positionV>
              <wp:extent cx="5229225" cy="54292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0E6" w:rsidRPr="00101DE0" w:rsidRDefault="009630E6" w:rsidP="00236C7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40CAA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ВЪВЕДЕНИ В ЕКСПЛОАТАЦИЯ НОВОПОСТРОЕНИ ЖИЛИ</w:t>
                          </w:r>
                          <w:r w:rsidR="00E45FFB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ЩНИ СГРАДИ И ЖИЛИЩА ПРЕЗ ТРЕТОТО</w:t>
                          </w:r>
                          <w:r w:rsidRPr="00340CAA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2pt;margin-top:-47.2pt;width:411.75pt;height:4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" stroked="f">
              <v:textbox>
                <w:txbxContent>
                  <w:p w:rsidR="009630E6" w:rsidRPr="00101DE0" w:rsidRDefault="009630E6" w:rsidP="00236C75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40CAA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  <w:lang w:eastAsia="bg-BG"/>
                      </w:rPr>
                      <w:t>ВЪВЕДЕНИ В ЕКСПЛОАТАЦИЯ НОВОПОСТРОЕНИ ЖИЛИ</w:t>
                    </w:r>
                    <w:r w:rsidR="00E45FFB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  <w:lang w:eastAsia="bg-BG"/>
                      </w:rPr>
                      <w:t>ЩНИ СГРАДИ И ЖИЛИЩА ПРЕЗ ТРЕТОТО</w:t>
                    </w:r>
                    <w:r w:rsidRPr="00340CAA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E6" w:rsidRPr="009E4021" w:rsidRDefault="009630E6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0E6" w:rsidRDefault="009630E6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630E6" w:rsidRPr="00FD731D" w:rsidRDefault="009630E6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630E6" w:rsidRDefault="009630E6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630E6" w:rsidRPr="00FD731D" w:rsidRDefault="009630E6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30E6" w:rsidRPr="004F064E" w:rsidRDefault="009630E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E6" w:rsidRPr="004F064E" w:rsidRDefault="009630E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344695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4633A"/>
    <w:rsid w:val="0006051E"/>
    <w:rsid w:val="000607BC"/>
    <w:rsid w:val="00075146"/>
    <w:rsid w:val="00077C97"/>
    <w:rsid w:val="000B17C2"/>
    <w:rsid w:val="000B2B10"/>
    <w:rsid w:val="000C0D56"/>
    <w:rsid w:val="000F0B88"/>
    <w:rsid w:val="00101DE0"/>
    <w:rsid w:val="0010291B"/>
    <w:rsid w:val="00110401"/>
    <w:rsid w:val="00121908"/>
    <w:rsid w:val="00135BED"/>
    <w:rsid w:val="001675F8"/>
    <w:rsid w:val="00171C36"/>
    <w:rsid w:val="00185E8B"/>
    <w:rsid w:val="001901A0"/>
    <w:rsid w:val="001B03D8"/>
    <w:rsid w:val="001B4855"/>
    <w:rsid w:val="001C34D8"/>
    <w:rsid w:val="001D2508"/>
    <w:rsid w:val="001E24F8"/>
    <w:rsid w:val="001E5BA2"/>
    <w:rsid w:val="001E7AC3"/>
    <w:rsid w:val="00214ACA"/>
    <w:rsid w:val="002222C7"/>
    <w:rsid w:val="00236C75"/>
    <w:rsid w:val="00261E3E"/>
    <w:rsid w:val="002A1653"/>
    <w:rsid w:val="002C72D4"/>
    <w:rsid w:val="003073CF"/>
    <w:rsid w:val="00332C88"/>
    <w:rsid w:val="00336556"/>
    <w:rsid w:val="0035284F"/>
    <w:rsid w:val="00364357"/>
    <w:rsid w:val="0037092D"/>
    <w:rsid w:val="0038746A"/>
    <w:rsid w:val="003B2211"/>
    <w:rsid w:val="003B2503"/>
    <w:rsid w:val="003B42F8"/>
    <w:rsid w:val="003B46BA"/>
    <w:rsid w:val="003C2111"/>
    <w:rsid w:val="003D5F6D"/>
    <w:rsid w:val="003E7605"/>
    <w:rsid w:val="004347DB"/>
    <w:rsid w:val="00446CF4"/>
    <w:rsid w:val="00465FD2"/>
    <w:rsid w:val="004760D3"/>
    <w:rsid w:val="00486232"/>
    <w:rsid w:val="00496FC4"/>
    <w:rsid w:val="004F064E"/>
    <w:rsid w:val="00516BAD"/>
    <w:rsid w:val="00520539"/>
    <w:rsid w:val="00564355"/>
    <w:rsid w:val="00574E40"/>
    <w:rsid w:val="005B4023"/>
    <w:rsid w:val="005C2761"/>
    <w:rsid w:val="005E1658"/>
    <w:rsid w:val="005F1E4A"/>
    <w:rsid w:val="006120F5"/>
    <w:rsid w:val="00644D53"/>
    <w:rsid w:val="00654814"/>
    <w:rsid w:val="00676F2C"/>
    <w:rsid w:val="00683537"/>
    <w:rsid w:val="006A212D"/>
    <w:rsid w:val="006C63F8"/>
    <w:rsid w:val="006D1BE4"/>
    <w:rsid w:val="006D4894"/>
    <w:rsid w:val="00704539"/>
    <w:rsid w:val="00723238"/>
    <w:rsid w:val="007359C3"/>
    <w:rsid w:val="007579E7"/>
    <w:rsid w:val="00764226"/>
    <w:rsid w:val="007664BD"/>
    <w:rsid w:val="007822B9"/>
    <w:rsid w:val="007857A2"/>
    <w:rsid w:val="007A1A8C"/>
    <w:rsid w:val="007A7DFA"/>
    <w:rsid w:val="007C2207"/>
    <w:rsid w:val="007C61E0"/>
    <w:rsid w:val="007C7A6A"/>
    <w:rsid w:val="007F116A"/>
    <w:rsid w:val="007F17B3"/>
    <w:rsid w:val="00870559"/>
    <w:rsid w:val="008748F1"/>
    <w:rsid w:val="00881B14"/>
    <w:rsid w:val="00883238"/>
    <w:rsid w:val="008C2A3A"/>
    <w:rsid w:val="008D3797"/>
    <w:rsid w:val="008E71E8"/>
    <w:rsid w:val="00913744"/>
    <w:rsid w:val="0094060D"/>
    <w:rsid w:val="00947EBF"/>
    <w:rsid w:val="00955913"/>
    <w:rsid w:val="009630E6"/>
    <w:rsid w:val="00975A23"/>
    <w:rsid w:val="009852BD"/>
    <w:rsid w:val="009A6B8F"/>
    <w:rsid w:val="009D58A3"/>
    <w:rsid w:val="009E4021"/>
    <w:rsid w:val="009E7E69"/>
    <w:rsid w:val="009F6F97"/>
    <w:rsid w:val="009F79FC"/>
    <w:rsid w:val="00A14E83"/>
    <w:rsid w:val="00A7142A"/>
    <w:rsid w:val="00A869E9"/>
    <w:rsid w:val="00A87D09"/>
    <w:rsid w:val="00AC3D78"/>
    <w:rsid w:val="00AC5FCF"/>
    <w:rsid w:val="00AE4196"/>
    <w:rsid w:val="00AF2D94"/>
    <w:rsid w:val="00B0333E"/>
    <w:rsid w:val="00B07D27"/>
    <w:rsid w:val="00B406EA"/>
    <w:rsid w:val="00B42957"/>
    <w:rsid w:val="00B55B11"/>
    <w:rsid w:val="00B6632E"/>
    <w:rsid w:val="00B76C00"/>
    <w:rsid w:val="00B77149"/>
    <w:rsid w:val="00C14799"/>
    <w:rsid w:val="00C22E8B"/>
    <w:rsid w:val="00C278AF"/>
    <w:rsid w:val="00C372A8"/>
    <w:rsid w:val="00C616FD"/>
    <w:rsid w:val="00C85BA4"/>
    <w:rsid w:val="00C93974"/>
    <w:rsid w:val="00CA0766"/>
    <w:rsid w:val="00CD2EA5"/>
    <w:rsid w:val="00D32F64"/>
    <w:rsid w:val="00D7009D"/>
    <w:rsid w:val="00D82477"/>
    <w:rsid w:val="00D973FC"/>
    <w:rsid w:val="00DD11CB"/>
    <w:rsid w:val="00DD142C"/>
    <w:rsid w:val="00DE20CA"/>
    <w:rsid w:val="00DE4F56"/>
    <w:rsid w:val="00DE64EB"/>
    <w:rsid w:val="00E11251"/>
    <w:rsid w:val="00E13DB4"/>
    <w:rsid w:val="00E2127A"/>
    <w:rsid w:val="00E45FFB"/>
    <w:rsid w:val="00E47A11"/>
    <w:rsid w:val="00E563C3"/>
    <w:rsid w:val="00E67823"/>
    <w:rsid w:val="00EA7F94"/>
    <w:rsid w:val="00EB5089"/>
    <w:rsid w:val="00ED0399"/>
    <w:rsid w:val="00ED0F9D"/>
    <w:rsid w:val="00ED1CF4"/>
    <w:rsid w:val="00ED61B8"/>
    <w:rsid w:val="00F71A34"/>
    <w:rsid w:val="00F82EA5"/>
    <w:rsid w:val="00F85B9F"/>
    <w:rsid w:val="00FA00EF"/>
    <w:rsid w:val="00FD731D"/>
    <w:rsid w:val="00FE1B56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800">
                <a:latin typeface="Verdana" panose="020B0604030504040204" pitchFamily="34" charset="0"/>
                <a:ea typeface="Verdana" panose="020B0604030504040204" pitchFamily="34" charset="0"/>
              </a:rPr>
              <a:t>Брой</a:t>
            </a:r>
            <a:endParaRPr lang="en-US" sz="800"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6.5573437666614054E-2"/>
          <c:y val="1.3434089000839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6.583791732240063E-2"/>
          <c:y val="8.7271332896989892E-2"/>
          <c:w val="0.90861037640937592"/>
          <c:h val="0.75079836367313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'Жилища и жил.сгради'!$A$3</c:f>
              <c:strCache>
                <c:ptCount val="1"/>
                <c:pt idx="0">
                  <c:v>Жилищни сгради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'Жилища и жил.сгради'!$Q$2:$AG$2</c:f>
              <c:strCache>
                <c:ptCount val="17"/>
                <c:pt idx="0">
                  <c:v>III' 20 </c:v>
                </c:pt>
                <c:pt idx="1">
                  <c:v>IV</c:v>
                </c:pt>
                <c:pt idx="2">
                  <c:v>I' 21</c:v>
                </c:pt>
                <c:pt idx="3">
                  <c:v>II</c:v>
                </c:pt>
                <c:pt idx="4">
                  <c:v>III </c:v>
                </c:pt>
                <c:pt idx="5">
                  <c:v>IV</c:v>
                </c:pt>
                <c:pt idx="6">
                  <c:v>I' 22</c:v>
                </c:pt>
                <c:pt idx="7">
                  <c:v>II</c:v>
                </c:pt>
                <c:pt idx="8">
                  <c:v>III </c:v>
                </c:pt>
                <c:pt idx="9">
                  <c:v>IV</c:v>
                </c:pt>
                <c:pt idx="10">
                  <c:v>I' 23</c:v>
                </c:pt>
                <c:pt idx="11">
                  <c:v>II</c:v>
                </c:pt>
                <c:pt idx="12">
                  <c:v>III </c:v>
                </c:pt>
                <c:pt idx="13">
                  <c:v>IV</c:v>
                </c:pt>
                <c:pt idx="14">
                  <c:v>I' 24</c:v>
                </c:pt>
                <c:pt idx="15">
                  <c:v>II</c:v>
                </c:pt>
                <c:pt idx="16">
                  <c:v>III </c:v>
                </c:pt>
              </c:strCache>
            </c:strRef>
          </c:cat>
          <c:val>
            <c:numRef>
              <c:f>'Жилища и жил.сгради'!$Q$3:$AG$3</c:f>
              <c:numCache>
                <c:formatCode>General</c:formatCode>
                <c:ptCount val="17"/>
                <c:pt idx="0">
                  <c:v>899</c:v>
                </c:pt>
                <c:pt idx="1">
                  <c:v>928</c:v>
                </c:pt>
                <c:pt idx="2">
                  <c:v>952</c:v>
                </c:pt>
                <c:pt idx="3">
                  <c:v>867</c:v>
                </c:pt>
                <c:pt idx="4">
                  <c:v>858</c:v>
                </c:pt>
                <c:pt idx="5">
                  <c:v>1221</c:v>
                </c:pt>
                <c:pt idx="6">
                  <c:v>1271</c:v>
                </c:pt>
                <c:pt idx="7">
                  <c:v>1197</c:v>
                </c:pt>
                <c:pt idx="8">
                  <c:v>1336</c:v>
                </c:pt>
                <c:pt idx="9">
                  <c:v>1586</c:v>
                </c:pt>
                <c:pt idx="10">
                  <c:v>1345</c:v>
                </c:pt>
                <c:pt idx="11">
                  <c:v>1289</c:v>
                </c:pt>
                <c:pt idx="12">
                  <c:v>1311</c:v>
                </c:pt>
                <c:pt idx="13">
                  <c:v>1474</c:v>
                </c:pt>
                <c:pt idx="14">
                  <c:v>1026</c:v>
                </c:pt>
                <c:pt idx="15">
                  <c:v>1039</c:v>
                </c:pt>
                <c:pt idx="16">
                  <c:v>1177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64-48FE-9179-4C9D48730BAE}"/>
            </c:ext>
          </c:extLst>
        </c:ser>
        <c:ser>
          <c:idx val="1"/>
          <c:order val="1"/>
          <c:tx>
            <c:strRef>
              <c:f>'Жилища и жил.сгради'!$A$4</c:f>
              <c:strCache>
                <c:ptCount val="1"/>
                <c:pt idx="0">
                  <c:v>Жилища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'Жилища и жил.сгради'!$Q$2:$AG$2</c:f>
              <c:strCache>
                <c:ptCount val="17"/>
                <c:pt idx="0">
                  <c:v>III' 20 </c:v>
                </c:pt>
                <c:pt idx="1">
                  <c:v>IV</c:v>
                </c:pt>
                <c:pt idx="2">
                  <c:v>I' 21</c:v>
                </c:pt>
                <c:pt idx="3">
                  <c:v>II</c:v>
                </c:pt>
                <c:pt idx="4">
                  <c:v>III </c:v>
                </c:pt>
                <c:pt idx="5">
                  <c:v>IV</c:v>
                </c:pt>
                <c:pt idx="6">
                  <c:v>I' 22</c:v>
                </c:pt>
                <c:pt idx="7">
                  <c:v>II</c:v>
                </c:pt>
                <c:pt idx="8">
                  <c:v>III </c:v>
                </c:pt>
                <c:pt idx="9">
                  <c:v>IV</c:v>
                </c:pt>
                <c:pt idx="10">
                  <c:v>I' 23</c:v>
                </c:pt>
                <c:pt idx="11">
                  <c:v>II</c:v>
                </c:pt>
                <c:pt idx="12">
                  <c:v>III </c:v>
                </c:pt>
                <c:pt idx="13">
                  <c:v>IV</c:v>
                </c:pt>
                <c:pt idx="14">
                  <c:v>I' 24</c:v>
                </c:pt>
                <c:pt idx="15">
                  <c:v>II</c:v>
                </c:pt>
                <c:pt idx="16">
                  <c:v>III </c:v>
                </c:pt>
              </c:strCache>
            </c:strRef>
          </c:cat>
          <c:val>
            <c:numRef>
              <c:f>'Жилища и жил.сгради'!$Q$4:$AG$4</c:f>
              <c:numCache>
                <c:formatCode>General</c:formatCode>
                <c:ptCount val="17"/>
                <c:pt idx="0">
                  <c:v>3923</c:v>
                </c:pt>
                <c:pt idx="1">
                  <c:v>4309</c:v>
                </c:pt>
                <c:pt idx="2">
                  <c:v>4473</c:v>
                </c:pt>
                <c:pt idx="3">
                  <c:v>4168</c:v>
                </c:pt>
                <c:pt idx="4">
                  <c:v>3804</c:v>
                </c:pt>
                <c:pt idx="5">
                  <c:v>5423</c:v>
                </c:pt>
                <c:pt idx="6">
                  <c:v>4580</c:v>
                </c:pt>
                <c:pt idx="7">
                  <c:v>4077</c:v>
                </c:pt>
                <c:pt idx="8">
                  <c:v>5941</c:v>
                </c:pt>
                <c:pt idx="9">
                  <c:v>5249</c:v>
                </c:pt>
                <c:pt idx="10">
                  <c:v>4938</c:v>
                </c:pt>
                <c:pt idx="11">
                  <c:v>5988</c:v>
                </c:pt>
                <c:pt idx="12">
                  <c:v>5557</c:v>
                </c:pt>
                <c:pt idx="13">
                  <c:v>6166</c:v>
                </c:pt>
                <c:pt idx="14">
                  <c:v>3475</c:v>
                </c:pt>
                <c:pt idx="15">
                  <c:v>5090</c:v>
                </c:pt>
                <c:pt idx="16">
                  <c:v>4398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64-48FE-9179-4C9D48730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overlap val="27"/>
        <c:axId val="1851355264"/>
        <c:axId val="1851350272"/>
      </c:barChart>
      <c:catAx>
        <c:axId val="185135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851350272"/>
        <c:crosses val="autoZero"/>
        <c:auto val="1"/>
        <c:lblAlgn val="ctr"/>
        <c:lblOffset val="100"/>
        <c:noMultiLvlLbl val="0"/>
      </c:catAx>
      <c:valAx>
        <c:axId val="185135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85135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77739720566521"/>
          <c:y val="0.93011785593890628"/>
          <c:w val="0.50937538124038495"/>
          <c:h val="5.66754596481485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9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Брой</a:t>
            </a:r>
            <a:endParaRPr lang="en-US" sz="9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5.5537605862394888E-2"/>
          <c:y val="1.9323662554813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'брой стаи бг'!$B$4</c:f>
              <c:strCache>
                <c:ptCount val="1"/>
                <c:pt idx="0">
                  <c:v>Трето тримесечие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бг'!$B$5:$B$10</c:f>
              <c:numCache>
                <c:formatCode>General</c:formatCode>
                <c:ptCount val="6"/>
                <c:pt idx="0">
                  <c:v>654</c:v>
                </c:pt>
                <c:pt idx="1">
                  <c:v>2044</c:v>
                </c:pt>
                <c:pt idx="2">
                  <c:v>1837</c:v>
                </c:pt>
                <c:pt idx="3">
                  <c:v>523</c:v>
                </c:pt>
                <c:pt idx="4">
                  <c:v>290</c:v>
                </c:pt>
                <c:pt idx="5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0A-486A-88E9-EB7CBD16CF66}"/>
            </c:ext>
          </c:extLst>
        </c:ser>
        <c:ser>
          <c:idx val="1"/>
          <c:order val="1"/>
          <c:tx>
            <c:strRef>
              <c:f>'брой стаи бг'!$C$4</c:f>
              <c:strCache>
                <c:ptCount val="1"/>
                <c:pt idx="0">
                  <c:v>Трето тримесечие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бг'!$C$5:$C$10</c:f>
              <c:numCache>
                <c:formatCode>General</c:formatCode>
                <c:ptCount val="6"/>
                <c:pt idx="0">
                  <c:v>247</c:v>
                </c:pt>
                <c:pt idx="1">
                  <c:v>1746</c:v>
                </c:pt>
                <c:pt idx="2">
                  <c:v>1449</c:v>
                </c:pt>
                <c:pt idx="3">
                  <c:v>507</c:v>
                </c:pt>
                <c:pt idx="4">
                  <c:v>271</c:v>
                </c:pt>
                <c:pt idx="5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0A-486A-88E9-EB7CBD16CF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7"/>
        <c:axId val="2037350000"/>
        <c:axId val="2037350416"/>
      </c:barChart>
      <c:catAx>
        <c:axId val="203735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7350416"/>
        <c:crosses val="autoZero"/>
        <c:auto val="1"/>
        <c:lblAlgn val="ctr"/>
        <c:lblOffset val="100"/>
        <c:noMultiLvlLbl val="0"/>
      </c:catAx>
      <c:valAx>
        <c:axId val="203735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735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9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Хил. м</a:t>
            </a:r>
            <a:r>
              <a:rPr lang="bg-BG" sz="900" baseline="300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2</a:t>
            </a:r>
            <a:endParaRPr lang="en-US" sz="900" baseline="300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4.5744544634714591E-2"/>
          <c:y val="1.6913407688931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7721909787855297E-2"/>
          <c:y val="0.13729753716441093"/>
          <c:w val="0.94015178785194897"/>
          <c:h val="0.608680809729047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'Полезна и жилищна площ'!$A$3</c:f>
              <c:strCache>
                <c:ptCount val="1"/>
                <c:pt idx="0">
                  <c:v>Полезна площ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'Полезна и жилищна площ'!$Q$2:$AG$2</c:f>
              <c:strCache>
                <c:ptCount val="17"/>
                <c:pt idx="0">
                  <c:v>III' 20 </c:v>
                </c:pt>
                <c:pt idx="1">
                  <c:v>IV</c:v>
                </c:pt>
                <c:pt idx="2">
                  <c:v>I' 21</c:v>
                </c:pt>
                <c:pt idx="3">
                  <c:v>II</c:v>
                </c:pt>
                <c:pt idx="4">
                  <c:v>III </c:v>
                </c:pt>
                <c:pt idx="5">
                  <c:v>IV</c:v>
                </c:pt>
                <c:pt idx="6">
                  <c:v>I' 22</c:v>
                </c:pt>
                <c:pt idx="7">
                  <c:v>II</c:v>
                </c:pt>
                <c:pt idx="8">
                  <c:v>III </c:v>
                </c:pt>
                <c:pt idx="9">
                  <c:v>IV</c:v>
                </c:pt>
                <c:pt idx="10">
                  <c:v>I' 23</c:v>
                </c:pt>
                <c:pt idx="11">
                  <c:v>II</c:v>
                </c:pt>
                <c:pt idx="12">
                  <c:v>III </c:v>
                </c:pt>
                <c:pt idx="13">
                  <c:v>IV</c:v>
                </c:pt>
                <c:pt idx="14">
                  <c:v>I' 24</c:v>
                </c:pt>
                <c:pt idx="15">
                  <c:v>II</c:v>
                </c:pt>
                <c:pt idx="16">
                  <c:v>III </c:v>
                </c:pt>
              </c:strCache>
            </c:strRef>
          </c:cat>
          <c:val>
            <c:numRef>
              <c:f>'Полезна и жилищна площ'!$Q$3:$AG$3</c:f>
              <c:numCache>
                <c:formatCode>General</c:formatCode>
                <c:ptCount val="17"/>
                <c:pt idx="0">
                  <c:v>359224</c:v>
                </c:pt>
                <c:pt idx="1">
                  <c:v>416290</c:v>
                </c:pt>
                <c:pt idx="2">
                  <c:v>435036</c:v>
                </c:pt>
                <c:pt idx="3">
                  <c:v>412199</c:v>
                </c:pt>
                <c:pt idx="4">
                  <c:v>369830</c:v>
                </c:pt>
                <c:pt idx="5">
                  <c:v>530623</c:v>
                </c:pt>
                <c:pt idx="6">
                  <c:v>469013</c:v>
                </c:pt>
                <c:pt idx="7">
                  <c:v>425079</c:v>
                </c:pt>
                <c:pt idx="8">
                  <c:v>560747</c:v>
                </c:pt>
                <c:pt idx="9">
                  <c:v>583974</c:v>
                </c:pt>
                <c:pt idx="10">
                  <c:v>517943</c:v>
                </c:pt>
                <c:pt idx="11">
                  <c:v>581968</c:v>
                </c:pt>
                <c:pt idx="12">
                  <c:v>515861</c:v>
                </c:pt>
                <c:pt idx="13">
                  <c:v>624923</c:v>
                </c:pt>
                <c:pt idx="14">
                  <c:v>353238</c:v>
                </c:pt>
                <c:pt idx="15">
                  <c:v>430677</c:v>
                </c:pt>
                <c:pt idx="16">
                  <c:v>410181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AE-45DB-8C7E-28418143CD5A}"/>
            </c:ext>
          </c:extLst>
        </c:ser>
        <c:ser>
          <c:idx val="1"/>
          <c:order val="1"/>
          <c:tx>
            <c:strRef>
              <c:f>'Полезна и жилищна площ'!$A$4</c:f>
              <c:strCache>
                <c:ptCount val="1"/>
                <c:pt idx="0">
                  <c:v>Жилищна площ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'Полезна и жилищна площ'!$Q$2:$AG$2</c:f>
              <c:strCache>
                <c:ptCount val="17"/>
                <c:pt idx="0">
                  <c:v>III' 20 </c:v>
                </c:pt>
                <c:pt idx="1">
                  <c:v>IV</c:v>
                </c:pt>
                <c:pt idx="2">
                  <c:v>I' 21</c:v>
                </c:pt>
                <c:pt idx="3">
                  <c:v>II</c:v>
                </c:pt>
                <c:pt idx="4">
                  <c:v>III </c:v>
                </c:pt>
                <c:pt idx="5">
                  <c:v>IV</c:v>
                </c:pt>
                <c:pt idx="6">
                  <c:v>I' 22</c:v>
                </c:pt>
                <c:pt idx="7">
                  <c:v>II</c:v>
                </c:pt>
                <c:pt idx="8">
                  <c:v>III </c:v>
                </c:pt>
                <c:pt idx="9">
                  <c:v>IV</c:v>
                </c:pt>
                <c:pt idx="10">
                  <c:v>I' 23</c:v>
                </c:pt>
                <c:pt idx="11">
                  <c:v>II</c:v>
                </c:pt>
                <c:pt idx="12">
                  <c:v>III </c:v>
                </c:pt>
                <c:pt idx="13">
                  <c:v>IV</c:v>
                </c:pt>
                <c:pt idx="14">
                  <c:v>I' 24</c:v>
                </c:pt>
                <c:pt idx="15">
                  <c:v>II</c:v>
                </c:pt>
                <c:pt idx="16">
                  <c:v>III </c:v>
                </c:pt>
              </c:strCache>
            </c:strRef>
          </c:cat>
          <c:val>
            <c:numRef>
              <c:f>'Полезна и жилищна площ'!$Q$4:$AG$4</c:f>
              <c:numCache>
                <c:formatCode>General</c:formatCode>
                <c:ptCount val="17"/>
                <c:pt idx="0">
                  <c:v>275199</c:v>
                </c:pt>
                <c:pt idx="1">
                  <c:v>320197</c:v>
                </c:pt>
                <c:pt idx="2">
                  <c:v>342468</c:v>
                </c:pt>
                <c:pt idx="3">
                  <c:v>321855</c:v>
                </c:pt>
                <c:pt idx="4">
                  <c:v>285988</c:v>
                </c:pt>
                <c:pt idx="5">
                  <c:v>416263</c:v>
                </c:pt>
                <c:pt idx="6">
                  <c:v>372681</c:v>
                </c:pt>
                <c:pt idx="7">
                  <c:v>341405</c:v>
                </c:pt>
                <c:pt idx="8">
                  <c:v>446306</c:v>
                </c:pt>
                <c:pt idx="9">
                  <c:v>454989</c:v>
                </c:pt>
                <c:pt idx="10">
                  <c:v>404071</c:v>
                </c:pt>
                <c:pt idx="11">
                  <c:v>463314</c:v>
                </c:pt>
                <c:pt idx="12">
                  <c:v>410708</c:v>
                </c:pt>
                <c:pt idx="13">
                  <c:v>488461</c:v>
                </c:pt>
                <c:pt idx="14">
                  <c:v>274497</c:v>
                </c:pt>
                <c:pt idx="15">
                  <c:v>328188</c:v>
                </c:pt>
                <c:pt idx="16">
                  <c:v>318915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AE-45DB-8C7E-28418143CD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axId val="2036961872"/>
        <c:axId val="2036960208"/>
      </c:barChart>
      <c:catAx>
        <c:axId val="203696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6960208"/>
        <c:crosses val="autoZero"/>
        <c:auto val="1"/>
        <c:lblAlgn val="ctr"/>
        <c:lblOffset val="100"/>
        <c:noMultiLvlLbl val="0"/>
      </c:catAx>
      <c:valAx>
        <c:axId val="203696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6961872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C8A7-0EF7-4EB7-A8C4-432E9CA8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Kamelia Blagoeva</cp:lastModifiedBy>
  <cp:revision>39</cp:revision>
  <dcterms:created xsi:type="dcterms:W3CDTF">2024-08-02T10:55:00Z</dcterms:created>
  <dcterms:modified xsi:type="dcterms:W3CDTF">2024-11-04T13:53:00Z</dcterms:modified>
</cp:coreProperties>
</file>