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6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972A" w14:textId="437B4DDA" w:rsidR="00416EC7" w:rsidRPr="00492D6E" w:rsidRDefault="00416EC7" w:rsidP="0080131B">
      <w:pPr>
        <w:spacing w:before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НАУЧНОИЗСЛЕДОВАТЕЛСКА И РАЗВОЙНА ДЕЙНОСТ ПРЕЗ 20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</w:t>
      </w:r>
      <w:r w:rsidR="00492D6E"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3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  <w:bookmarkStart w:id="0" w:name="_GoBack"/>
      <w:bookmarkEnd w:id="0"/>
    </w:p>
    <w:p w14:paraId="1755DE62" w14:textId="77777777" w:rsidR="00416EC7" w:rsidRPr="00492D6E" w:rsidRDefault="00416EC7" w:rsidP="00416EC7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38E5A941" w14:textId="685BA3A9" w:rsidR="00416EC7" w:rsidRPr="00697524" w:rsidRDefault="00416EC7" w:rsidP="00416EC7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97524">
        <w:rPr>
          <w:rFonts w:ascii="Verdana" w:eastAsia="Times New Roman" w:hAnsi="Verdana" w:cs="Times New Roman"/>
          <w:bCs/>
          <w:sz w:val="20"/>
          <w:szCs w:val="20"/>
        </w:rPr>
        <w:t>През 20</w:t>
      </w:r>
      <w:r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г. разходите за научноизследователска и развойна дейност (НИРД) са 1 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млн. лв., което е с </w:t>
      </w:r>
      <w:r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>% повече в сравнение с предходната година.</w:t>
      </w:r>
      <w:r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>Запазва се тенденцията на ежегодното им нарастване през периода 201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- 202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година.</w:t>
      </w:r>
    </w:p>
    <w:p w14:paraId="5D9AFC00" w14:textId="77083137" w:rsidR="00416EC7" w:rsidRPr="00697524" w:rsidRDefault="00416EC7" w:rsidP="00416EC7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97524">
        <w:rPr>
          <w:rFonts w:ascii="Verdana" w:eastAsia="Times New Roman" w:hAnsi="Verdana" w:cs="Times New Roman"/>
          <w:bCs/>
          <w:sz w:val="20"/>
          <w:szCs w:val="20"/>
        </w:rPr>
        <w:t>Интензивността на НИРД (измерена като процент на разходите за НИРД от брутния вътрешен продукт) възлиза на 0.7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>% и е с 0.0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пункта по</w:t>
      </w:r>
      <w:r w:rsidRPr="00697524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висока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в сравнение с 202</w:t>
      </w:r>
      <w:r w:rsidR="00697524" w:rsidRPr="00697524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697524">
        <w:rPr>
          <w:rFonts w:ascii="Verdana" w:eastAsia="Times New Roman" w:hAnsi="Verdana" w:cs="Times New Roman"/>
          <w:bCs/>
          <w:sz w:val="20"/>
          <w:szCs w:val="20"/>
        </w:rPr>
        <w:t xml:space="preserve"> година.</w:t>
      </w:r>
    </w:p>
    <w:p w14:paraId="4CF77AAC" w14:textId="2AD677C5" w:rsidR="00416EC7" w:rsidRPr="00492D6E" w:rsidRDefault="00416EC7" w:rsidP="00416EC7">
      <w:pPr>
        <w:tabs>
          <w:tab w:val="left" w:pos="567"/>
        </w:tabs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Фиг. 1. Разходи за научноизследователска и развойна дейност</w:t>
      </w:r>
    </w:p>
    <w:p w14:paraId="00E58019" w14:textId="5E08EEB1" w:rsidR="00E30517" w:rsidRPr="00EB1214" w:rsidRDefault="00642B84" w:rsidP="00416EC7">
      <w:pPr>
        <w:tabs>
          <w:tab w:val="left" w:pos="567"/>
        </w:tabs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7B9DA30" wp14:editId="5FCEB070">
            <wp:extent cx="5112689" cy="3028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5ED98E" w14:textId="7C1FB557" w:rsidR="00416EC7" w:rsidRPr="00BE2282" w:rsidRDefault="00416EC7" w:rsidP="00416EC7">
      <w:pPr>
        <w:tabs>
          <w:tab w:val="left" w:pos="0"/>
        </w:tabs>
        <w:spacing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BE2282">
        <w:rPr>
          <w:rFonts w:ascii="Verdana" w:eastAsia="Times New Roman" w:hAnsi="Verdana" w:cs="Times New Roman"/>
          <w:bCs/>
          <w:sz w:val="20"/>
          <w:szCs w:val="20"/>
        </w:rPr>
        <w:t>Сектор „Предприятия“ е най-големият от четирите институционални сектора, в които се осъществява НИРД, с дял от 6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% от общите разходи за НИРД през 20</w:t>
      </w:r>
      <w:r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3 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година. Следва сектор „Държавно управление“, научни</w:t>
      </w:r>
      <w:r w:rsidR="005771E2">
        <w:rPr>
          <w:rFonts w:ascii="Verdana" w:eastAsia="Times New Roman" w:hAnsi="Verdana" w:cs="Times New Roman"/>
          <w:bCs/>
          <w:sz w:val="20"/>
          <w:szCs w:val="20"/>
        </w:rPr>
        <w:t>те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 xml:space="preserve"> институти и организации </w:t>
      </w:r>
      <w:r w:rsidR="005771E2">
        <w:rPr>
          <w:rFonts w:ascii="Verdana" w:eastAsia="Times New Roman" w:hAnsi="Verdana" w:cs="Times New Roman"/>
          <w:bCs/>
          <w:sz w:val="20"/>
          <w:szCs w:val="20"/>
        </w:rPr>
        <w:t xml:space="preserve">от който 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формират</w:t>
      </w:r>
      <w:r w:rsidR="005771E2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2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 xml:space="preserve">%. Направените разходи за наука от висшите училища и университетските болници възлизат на </w:t>
      </w:r>
      <w:r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BE2282" w:rsidRPr="00BE2282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BE2282">
        <w:rPr>
          <w:rFonts w:ascii="Verdana" w:eastAsia="Times New Roman" w:hAnsi="Verdana" w:cs="Times New Roman"/>
          <w:bCs/>
          <w:sz w:val="20"/>
          <w:szCs w:val="20"/>
        </w:rPr>
        <w:t>%, а от нетърговските организации - на 0.5%.</w:t>
      </w:r>
    </w:p>
    <w:p w14:paraId="137E1211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500DD93A" w14:textId="7EEB4578" w:rsidR="009A46DE" w:rsidRPr="00492D6E" w:rsidRDefault="009A46DE" w:rsidP="009A46DE">
      <w:pPr>
        <w:spacing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Фиг. 2. Разходи за НИРД по институционални сектори</w:t>
      </w:r>
    </w:p>
    <w:p w14:paraId="6687D45D" w14:textId="608D70A8" w:rsidR="00E30517" w:rsidRPr="00EB1214" w:rsidRDefault="0073387D" w:rsidP="00E30517">
      <w:pPr>
        <w:spacing w:after="160" w:line="360" w:lineRule="auto"/>
        <w:ind w:left="567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2D27CF73" wp14:editId="393BB164">
            <wp:extent cx="5017135" cy="3387255"/>
            <wp:effectExtent l="0" t="0" r="0" b="381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63F813" w14:textId="4EA9587B" w:rsidR="000702FD" w:rsidRPr="00D47550" w:rsidRDefault="000702FD" w:rsidP="000702FD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47550">
        <w:rPr>
          <w:rFonts w:ascii="Verdana" w:eastAsia="Times New Roman" w:hAnsi="Verdana" w:cs="Times New Roman"/>
          <w:bCs/>
          <w:sz w:val="20"/>
          <w:szCs w:val="20"/>
        </w:rPr>
        <w:t>Научноизследователската и развойна дейност се финансира от държавния бюджет, бизнеса, други национални източници и от чужбина (</w:t>
      </w:r>
      <w:r w:rsidR="00787023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>фиг. 3). През 20</w:t>
      </w:r>
      <w:r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 xml:space="preserve"> г. най-голям е делът на чуждестранните източници на средства за осъществяване на НИРД</w:t>
      </w:r>
      <w:r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- 4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%.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 xml:space="preserve"> Сектор „Предприятия“ финансира 3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>%, а държавният бюджет - 2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D47550" w:rsidRPr="00D47550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D47550">
        <w:rPr>
          <w:rFonts w:ascii="Verdana" w:eastAsia="Times New Roman" w:hAnsi="Verdana" w:cs="Times New Roman"/>
          <w:bCs/>
          <w:sz w:val="20"/>
          <w:szCs w:val="20"/>
        </w:rPr>
        <w:t>%.</w:t>
      </w:r>
    </w:p>
    <w:p w14:paraId="525C34F1" w14:textId="21006A57" w:rsidR="00E30517" w:rsidRPr="00492D6E" w:rsidRDefault="000702FD" w:rsidP="000702FD">
      <w:pPr>
        <w:spacing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3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. Структура на разходите за НИРД по източници на финансиране</w:t>
      </w:r>
    </w:p>
    <w:p w14:paraId="27FC3DF6" w14:textId="06497D2D" w:rsidR="000702FD" w:rsidRPr="000702FD" w:rsidRDefault="00F270A9" w:rsidP="000702FD">
      <w:pPr>
        <w:spacing w:after="160"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4C53D2F5" wp14:editId="281BE63B">
            <wp:extent cx="5231130" cy="2847975"/>
            <wp:effectExtent l="0" t="0" r="762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835ACB" w14:textId="1B2D90F1" w:rsidR="00663AB5" w:rsidRPr="00B85299" w:rsidRDefault="00663AB5" w:rsidP="00663AB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85299">
        <w:rPr>
          <w:rFonts w:ascii="Verdana" w:eastAsia="Times New Roman" w:hAnsi="Verdana" w:cs="Times New Roman"/>
          <w:bCs/>
          <w:sz w:val="20"/>
          <w:szCs w:val="20"/>
        </w:rPr>
        <w:lastRenderedPageBreak/>
        <w:t>По области на науката през 20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г., както и през предходната година, най-голям относителен дял имат разходите за НИРД в областта на техническите науки </w:t>
      </w:r>
      <w:r w:rsidR="00AE30B5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47.2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%, или 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93.5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млн. лв., следвани от медицинските и здравни науки </w:t>
      </w:r>
      <w:r w:rsidR="00C31D36">
        <w:rPr>
          <w:rFonts w:ascii="Verdana" w:eastAsia="Times New Roman" w:hAnsi="Verdana" w:cs="Times New Roman"/>
          <w:bCs/>
          <w:sz w:val="20"/>
          <w:szCs w:val="20"/>
        </w:rPr>
        <w:t xml:space="preserve">- 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с дял от 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%, или 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326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млн. лв., и естествените науки 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%, или </w:t>
      </w:r>
      <w:r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B85299" w:rsidRPr="00B85299">
        <w:rPr>
          <w:rFonts w:ascii="Verdana" w:eastAsia="Times New Roman" w:hAnsi="Verdana" w:cs="Times New Roman"/>
          <w:bCs/>
          <w:sz w:val="20"/>
          <w:szCs w:val="20"/>
          <w:lang w:val="en-US"/>
        </w:rPr>
        <w:t>73.9</w:t>
      </w:r>
      <w:r w:rsidRPr="00B85299">
        <w:rPr>
          <w:rFonts w:ascii="Verdana" w:eastAsia="Times New Roman" w:hAnsi="Verdana" w:cs="Times New Roman"/>
          <w:bCs/>
          <w:sz w:val="20"/>
          <w:szCs w:val="20"/>
        </w:rPr>
        <w:t xml:space="preserve"> млн. лева.</w:t>
      </w:r>
    </w:p>
    <w:p w14:paraId="35E10344" w14:textId="071578E9" w:rsidR="00663AB5" w:rsidRPr="00492D6E" w:rsidRDefault="00663AB5" w:rsidP="00663AB5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4.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Структура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на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разходи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те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за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НИРД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по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области на науката                         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през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20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2</w:t>
      </w:r>
      <w:r w:rsidR="00492D6E" w:rsidRPr="00492D6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3</w:t>
      </w: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92D6E">
        <w:rPr>
          <w:rFonts w:ascii="Verdana" w:eastAsia="Times New Roman" w:hAnsi="Verdana" w:cs="Times New Roman" w:hint="cs"/>
          <w:b/>
          <w:bCs/>
          <w:sz w:val="20"/>
          <w:szCs w:val="20"/>
        </w:rPr>
        <w:t>година</w:t>
      </w:r>
    </w:p>
    <w:p w14:paraId="08EEE3C8" w14:textId="1CDA27FA" w:rsidR="00E30517" w:rsidRPr="007674A6" w:rsidRDefault="006F3959" w:rsidP="00E30517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</w:rPr>
      </w:pPr>
      <w:r>
        <w:rPr>
          <w:noProof/>
          <w:lang w:eastAsia="bg-BG"/>
        </w:rPr>
        <w:drawing>
          <wp:inline distT="0" distB="0" distL="0" distR="0" wp14:anchorId="783C6F25" wp14:editId="284B122F">
            <wp:extent cx="4230094" cy="2425147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0FE309" w14:textId="4B59C7D4" w:rsidR="00663AB5" w:rsidRPr="00663AB5" w:rsidRDefault="00663AB5" w:rsidP="00663AB5">
      <w:pPr>
        <w:spacing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en-US"/>
        </w:rPr>
      </w:pPr>
      <w:r w:rsidRPr="00AE5D8C">
        <w:rPr>
          <w:rFonts w:ascii="Verdana" w:eastAsia="Times New Roman" w:hAnsi="Verdana" w:cs="Times New Roman"/>
          <w:bCs/>
          <w:sz w:val="20"/>
          <w:szCs w:val="20"/>
        </w:rPr>
        <w:t>През 20</w:t>
      </w:r>
      <w:r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 xml:space="preserve"> г. персоналът, зает с научноизследователска и развойна дейност, е 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25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411</w:t>
      </w:r>
      <w:r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 xml:space="preserve">души (в еквивалент на пълна заетост), което е с 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6.2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 xml:space="preserve">% 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</w:rPr>
        <w:t>по-малко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>в сравнение с предходната година (</w:t>
      </w:r>
      <w:r w:rsidR="00787023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>фиг. 5). Делът на жените от общия персонал, зает с НИРД, е 4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AE5D8C" w:rsidRPr="00AE5D8C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AE5D8C">
        <w:rPr>
          <w:rFonts w:ascii="Verdana" w:eastAsia="Times New Roman" w:hAnsi="Verdana" w:cs="Times New Roman"/>
          <w:bCs/>
          <w:sz w:val="20"/>
          <w:szCs w:val="20"/>
        </w:rPr>
        <w:t>%.</w:t>
      </w:r>
      <w:r w:rsidRPr="00663AB5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 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>Броят на изследователите в еквивалент на пълна заетост е 1</w:t>
      </w:r>
      <w:r w:rsidR="007A62D9" w:rsidRPr="007A62D9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7A62D9" w:rsidRPr="007A62D9">
        <w:rPr>
          <w:rFonts w:ascii="Verdana" w:eastAsia="Times New Roman" w:hAnsi="Verdana" w:cs="Times New Roman"/>
          <w:bCs/>
          <w:sz w:val="20"/>
          <w:szCs w:val="20"/>
          <w:lang w:val="en-US"/>
        </w:rPr>
        <w:t>357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 xml:space="preserve"> души, което е с </w:t>
      </w:r>
      <w:r w:rsidR="007A62D9" w:rsidRPr="007A62D9">
        <w:rPr>
          <w:rFonts w:ascii="Verdana" w:eastAsia="Times New Roman" w:hAnsi="Verdana" w:cs="Times New Roman"/>
          <w:bCs/>
          <w:sz w:val="20"/>
          <w:szCs w:val="20"/>
          <w:lang w:val="en-US"/>
        </w:rPr>
        <w:t>6.5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 xml:space="preserve">% </w:t>
      </w:r>
      <w:r w:rsidR="007A62D9" w:rsidRPr="007A62D9">
        <w:rPr>
          <w:rFonts w:ascii="Verdana" w:eastAsia="Times New Roman" w:hAnsi="Verdana" w:cs="Times New Roman"/>
          <w:bCs/>
          <w:sz w:val="20"/>
          <w:szCs w:val="20"/>
        </w:rPr>
        <w:t xml:space="preserve">по-малко 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>спрямо 202</w:t>
      </w:r>
      <w:r w:rsidR="007A62D9" w:rsidRPr="007A62D9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7A62D9">
        <w:rPr>
          <w:rFonts w:ascii="Verdana" w:eastAsia="Times New Roman" w:hAnsi="Verdana" w:cs="Times New Roman"/>
          <w:bCs/>
          <w:sz w:val="20"/>
          <w:szCs w:val="20"/>
        </w:rPr>
        <w:t xml:space="preserve"> година. </w:t>
      </w:r>
      <w:r w:rsidRPr="007A62D9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</w:p>
    <w:p w14:paraId="7240C12D" w14:textId="1A076CB7" w:rsidR="00663AB5" w:rsidRPr="00492D6E" w:rsidRDefault="00663AB5" w:rsidP="00663AB5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Фиг. 5. Персонал, зает с НИРД (в еквивалент на пълна заетост)</w:t>
      </w:r>
    </w:p>
    <w:p w14:paraId="13A84CCD" w14:textId="19ADB0CD" w:rsidR="00E30517" w:rsidRPr="007674A6" w:rsidRDefault="00B3224A" w:rsidP="00663AB5">
      <w:pPr>
        <w:spacing w:before="160" w:after="160" w:line="360" w:lineRule="auto"/>
        <w:ind w:left="567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</w:rPr>
      </w:pPr>
      <w:r>
        <w:rPr>
          <w:noProof/>
          <w:lang w:eastAsia="bg-BG"/>
        </w:rPr>
        <w:drawing>
          <wp:inline distT="0" distB="0" distL="0" distR="0" wp14:anchorId="37646324" wp14:editId="02F4B60B">
            <wp:extent cx="5247529" cy="272669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89EA772" w14:textId="6F52D2CA" w:rsidR="00663AB5" w:rsidRPr="00711145" w:rsidRDefault="00663AB5" w:rsidP="00663AB5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11145">
        <w:rPr>
          <w:rFonts w:ascii="Verdana" w:eastAsia="Times New Roman" w:hAnsi="Verdana" w:cs="Times New Roman"/>
          <w:bCs/>
          <w:sz w:val="20"/>
          <w:szCs w:val="20"/>
        </w:rPr>
        <w:lastRenderedPageBreak/>
        <w:t>Основната част от заетите с НИРД през 20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 г. е съсредоточена във фирмите и научните институти от сектор „Предприятия“ 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>% от общия персонал, зает с НИРД (в еквивалент на пълна заетост), или 1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</w:rPr>
        <w:t>228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 души. В организациите и институциите от сектор „Държавно управление“ научна дейност осъществяват 8 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122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 души, което съставлява 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0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%. В сектор „Висше образование“ 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</w:rPr>
        <w:t> 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923 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>души са ангажирани с провеждането на научни изследвания и разработки, като относителният им дял е 1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 w:rsidR="00711145" w:rsidRPr="00711145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711145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</w:p>
    <w:p w14:paraId="575BA48E" w14:textId="41B7C25D" w:rsidR="00663AB5" w:rsidRPr="00492D6E" w:rsidRDefault="00663AB5" w:rsidP="00663AB5">
      <w:pPr>
        <w:spacing w:before="160" w:after="160" w:line="360" w:lineRule="auto"/>
        <w:ind w:firstLine="567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492D6E">
        <w:rPr>
          <w:rFonts w:ascii="Verdana" w:eastAsia="Times New Roman" w:hAnsi="Verdana" w:cs="Times New Roman"/>
          <w:b/>
          <w:bCs/>
          <w:sz w:val="20"/>
          <w:szCs w:val="20"/>
        </w:rPr>
        <w:t>Фиг. 6. Персонал, зает с НИРД (в еквивалент на пълна заетост),                         по  институционални сектори</w:t>
      </w:r>
    </w:p>
    <w:p w14:paraId="40EEBB37" w14:textId="409E9478" w:rsidR="00663AB5" w:rsidRDefault="007C0373" w:rsidP="0026128F">
      <w:pPr>
        <w:spacing w:line="360" w:lineRule="auto"/>
        <w:ind w:firstLine="567"/>
        <w:jc w:val="center"/>
        <w:rPr>
          <w:rFonts w:ascii="Verdana" w:eastAsia="Μοντέρνα" w:hAnsi="Verdana" w:cs="Times New Roman"/>
          <w:b/>
          <w:color w:val="FF0000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06CE2BD" wp14:editId="2F67BA0B">
            <wp:extent cx="5112689" cy="3299791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1F7A59" w14:textId="041F5439" w:rsidR="00E30517" w:rsidRPr="00E8115B" w:rsidRDefault="00E30517" w:rsidP="0026128F">
      <w:pPr>
        <w:spacing w:before="32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14:paraId="6F6B6D98" w14:textId="732889CB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Научноизследователската и развойна дейност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включва всяка творческа и систематична работа, която се провежда с цел да се увеличи обемът на знанията, включително познанието за човека, културата и обществото, както</w:t>
      </w:r>
      <w:r w:rsidR="00A735B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 за разработването на нови приложения на наличните знания. Научноизследователската и развойна дейност обхваща фундаментални и приложни изследвания и експериментални разработки.</w:t>
      </w:r>
    </w:p>
    <w:p w14:paraId="075845C0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Показателят „разходи за научноизследователска и развойна дейност“ се дефинира като всички разходи за осъществена в рамките на статистическата единица научноизследователска и развойна дейност независимо от източника на финансиране. Разходите за НИРД включват текущите разходи и разходите за придобиване на дълготрайни материални и нематериални активи, предназначени за НИРД.</w:t>
      </w:r>
    </w:p>
    <w:p w14:paraId="60788F05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Показателят „персонал, зает с НИРД“ измерва човешките ресурси, пряко заети с НИРД, които са отговорни за създаването, прилагането и разпространяването на новите знания. Той обхваща лицата, пряко ангажирани с НИРД, и лицата, оказващи директна подкрепа за НИРД (мениджъри, администратори, техници, чиновници). Персоналът, зает с НИРД, включва изследователи и друг персонал, зает с НИРД. Персоналът в еквивалент на пълна заетост се изчислява на базата на използваното работно време за научноизследователска и развойна дейност през отчетната година.</w:t>
      </w:r>
    </w:p>
    <w:p w14:paraId="0C139C78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Съгласно методическото ръководство „</w:t>
      </w:r>
      <w:proofErr w:type="spellStart"/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Фраскати</w:t>
      </w:r>
      <w:proofErr w:type="spellEnd"/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“ (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Guidelines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for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Collecting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and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Reporting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Data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on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Research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and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Experimental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Development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proofErr w:type="spellStart"/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Frascati</w:t>
      </w:r>
      <w:proofErr w:type="spellEnd"/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Manual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>OECD</w:t>
      </w: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2015), възприето от Евростат, разходите и кадровият потенциал на НИРД се разпределят в четири институционални сектора:</w:t>
      </w:r>
    </w:p>
    <w:p w14:paraId="67665F6A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Сектор „Предприятия“ - обхваща всички предприятия, чиято основна дейност е производство на пазарни стоки и услуги (без попадащите в сектор „Висше образование“)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5D674BB5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Сектор „Държавно управление“ - обхваща държавните организации и институции, които са непазарни производители, предоставящи услуги за задоволяване на индивидуалните и колективните потребности на обществото и са финансирани предимно с бюджетни средства (без попадащите в сектор „Висше образование“)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5ED055AA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Сектор „Висше образование“ - включва университетите, колежите, висшите училища, научноизследователските сектори към висшите училища и университетските болници</w:t>
      </w:r>
      <w:r w:rsidRPr="00E8115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79733EB5" w14:textId="77777777" w:rsidR="00663AB5" w:rsidRPr="00E8115B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Сектор „Нетърговски организации“ - обхваща фондациите, асоциациите, сдруженията и други, предоставящи непазарни услуги.</w:t>
      </w:r>
    </w:p>
    <w:p w14:paraId="5539B1CB" w14:textId="77777777" w:rsidR="00663AB5" w:rsidRPr="00663AB5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E811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Повече   информация   и   данни   от  изследването   за   научноизследователската и развойна дейност могат да се намерят на сайта на НСИ </w:t>
      </w:r>
      <w:r w:rsidRPr="00663AB5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18" w:history="1">
        <w:r w:rsidRPr="00E8115B">
          <w:rPr>
            <w:rStyle w:val="Hyperlink"/>
            <w:rFonts w:ascii="Verdana" w:eastAsia="Μοντέρνα" w:hAnsi="Verdana" w:cs="Times New Roman"/>
            <w:bCs/>
            <w:color w:val="0070C0"/>
            <w:sz w:val="20"/>
            <w:szCs w:val="20"/>
            <w:lang w:val="en-GB" w:eastAsia="bg-BG"/>
          </w:rPr>
          <w:t>https://www.nsi.bg/bg/node/2670</w:t>
        </w:r>
      </w:hyperlink>
      <w:r w:rsidRPr="00663AB5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в Информационна система ИНФОСТАТ</w:t>
      </w:r>
      <w:r w:rsidRPr="00663AB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663AB5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19" w:history="1">
        <w:r w:rsidRPr="00E8115B">
          <w:rPr>
            <w:rStyle w:val="Hyperlink"/>
            <w:rFonts w:ascii="Verdana" w:eastAsia="Μοντέρνα" w:hAnsi="Verdana" w:cs="Times New Roman"/>
            <w:bCs/>
            <w:color w:val="0070C0"/>
            <w:sz w:val="20"/>
            <w:szCs w:val="20"/>
            <w:lang w:val="en-GB" w:eastAsia="bg-BG"/>
          </w:rPr>
          <w:t>https://infostat.nsi.bg/infostat/pages/module.jsf?x_2=88</w:t>
        </w:r>
      </w:hyperlink>
      <w:r w:rsidRPr="00663AB5">
        <w:rPr>
          <w:rFonts w:ascii="Verdana" w:eastAsia="Μοντέρνα" w:hAnsi="Verdana" w:cs="Times New Roman"/>
          <w:bCs/>
          <w:sz w:val="20"/>
          <w:szCs w:val="20"/>
          <w:lang w:eastAsia="bg-BG"/>
        </w:rPr>
        <w:t>)</w:t>
      </w:r>
      <w:r w:rsidRPr="00663AB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</w:p>
    <w:p w14:paraId="2166A552" w14:textId="77777777" w:rsidR="00663AB5" w:rsidRPr="00663AB5" w:rsidRDefault="00663AB5" w:rsidP="00663AB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0AA55657" w14:textId="77777777" w:rsidR="00E30517" w:rsidRPr="00AB5089" w:rsidRDefault="00E30517" w:rsidP="00E305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39D6C20C" w14:textId="77777777" w:rsidR="00171C36" w:rsidRPr="00E30517" w:rsidRDefault="00171C36" w:rsidP="00857A36">
      <w:pPr>
        <w:spacing w:line="360" w:lineRule="auto"/>
        <w:jc w:val="both"/>
        <w:rPr>
          <w:lang w:val="en-US"/>
        </w:rPr>
      </w:pPr>
    </w:p>
    <w:sectPr w:rsidR="00171C36" w:rsidRPr="00E30517" w:rsidSect="008748F1">
      <w:headerReference w:type="first" r:id="rId20"/>
      <w:footerReference w:type="first" r:id="rId21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5A3C" w14:textId="77777777" w:rsidR="00E76325" w:rsidRDefault="00E76325" w:rsidP="00214ACA">
      <w:r>
        <w:separator/>
      </w:r>
    </w:p>
  </w:endnote>
  <w:endnote w:type="continuationSeparator" w:id="0">
    <w:p w14:paraId="76EAC5A3" w14:textId="77777777" w:rsidR="00E76325" w:rsidRDefault="00E7632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22D2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54ED5C" wp14:editId="5F228B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B54BB" w14:textId="08B7A62B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E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4ED5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CFB54BB" w14:textId="08B7A62B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E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567BD1" wp14:editId="4FD8CB54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AFD3D84" wp14:editId="702DCF4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29CA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452BAE" wp14:editId="2EA976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621866B" wp14:editId="3F2E803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FCE9" w14:textId="1809B6B6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E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86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2FCE9" w14:textId="1809B6B6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E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8DE0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5D67FF8" wp14:editId="20F8383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D92729F" wp14:editId="26441E4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C6ACC" w14:textId="79549AB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E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92729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12C6ACC" w14:textId="79549AB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E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E4A151C" wp14:editId="1B18970F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54DB36C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102B" w14:textId="77777777" w:rsidR="00E76325" w:rsidRDefault="00E76325" w:rsidP="00214ACA">
      <w:r>
        <w:separator/>
      </w:r>
    </w:p>
  </w:footnote>
  <w:footnote w:type="continuationSeparator" w:id="0">
    <w:p w14:paraId="6FA64D86" w14:textId="77777777" w:rsidR="00E76325" w:rsidRDefault="00E76325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D86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061D5C4" wp14:editId="3E8224F9">
              <wp:simplePos x="0" y="0"/>
              <wp:positionH relativeFrom="margin">
                <wp:posOffset>-3810</wp:posOffset>
              </wp:positionH>
              <wp:positionV relativeFrom="paragraph">
                <wp:posOffset>-556895</wp:posOffset>
              </wp:positionV>
              <wp:extent cx="5701030" cy="506095"/>
              <wp:effectExtent l="0" t="0" r="0" b="825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F7049" w14:textId="1540E417" w:rsidR="009A46DE" w:rsidRPr="009A46DE" w:rsidRDefault="009A46DE" w:rsidP="0026128F">
                          <w:pPr>
                            <w:tabs>
                              <w:tab w:val="left" w:pos="284"/>
                              <w:tab w:val="left" w:pos="426"/>
                            </w:tabs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НАУЧНОИЗСЛЕДОВАТЕЛСКА И РАЗВОЙНА ДЕЙНОСТ ПРЕЗ 20</w:t>
                          </w: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(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ПРЕДВАРИТЕЛНИ ДАННИ)</w:t>
                          </w:r>
                        </w:p>
                        <w:p w14:paraId="1041C133" w14:textId="27F27CAE" w:rsidR="00E30517" w:rsidRPr="00101DE0" w:rsidRDefault="00E30517" w:rsidP="009A46DE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14:paraId="459D7049" w14:textId="77777777" w:rsidR="00101DE0" w:rsidRPr="00101DE0" w:rsidRDefault="00101DE0" w:rsidP="009A46DE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1D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3pt;margin-top:-43.85pt;width:448.9pt;height:39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" stroked="f">
              <v:textbox>
                <w:txbxContent>
                  <w:p w14:paraId="29BF7049" w14:textId="1540E417" w:rsidR="009A46DE" w:rsidRPr="009A46DE" w:rsidRDefault="009A46DE" w:rsidP="0026128F">
                    <w:pPr>
                      <w:tabs>
                        <w:tab w:val="left" w:pos="284"/>
                        <w:tab w:val="left" w:pos="426"/>
                      </w:tabs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>НАУЧНОИЗСЛЕДОВАТЕЛСКА И РАЗВОЙНА ДЕЙНОСТ ПРЕЗ 20</w:t>
                    </w: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2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3</w:t>
                    </w: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(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>ПРЕДВАРИТЕЛНИ ДАННИ)</w:t>
                    </w:r>
                  </w:p>
                  <w:p w14:paraId="1041C133" w14:textId="27F27CAE" w:rsidR="00E30517" w:rsidRPr="00101DE0" w:rsidRDefault="00E30517" w:rsidP="009A46DE">
                    <w:pPr>
                      <w:tabs>
                        <w:tab w:val="left" w:pos="284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14:paraId="459D7049" w14:textId="77777777" w:rsidR="00101DE0" w:rsidRPr="00101DE0" w:rsidRDefault="00101DE0" w:rsidP="009A46DE">
                    <w:pPr>
                      <w:tabs>
                        <w:tab w:val="left" w:pos="284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21CF074" wp14:editId="7B41473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07BC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7617A9" wp14:editId="557676D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CBA5579" wp14:editId="536DD95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83815BB" wp14:editId="5AA67E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48769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ABB6F1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815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58648769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3ABB6F1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F8242" wp14:editId="5F74F24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47F282B" wp14:editId="3D34D11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A95A3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5B69" w14:textId="77777777" w:rsidR="008748F1" w:rsidRPr="004F064E" w:rsidRDefault="00E30517" w:rsidP="009A46DE">
    <w:pPr>
      <w:pStyle w:val="Header"/>
      <w:tabs>
        <w:tab w:val="clear" w:pos="4536"/>
        <w:tab w:val="clear" w:pos="9072"/>
        <w:tab w:val="left" w:pos="284"/>
        <w:tab w:val="left" w:pos="426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5FA043D" wp14:editId="38E57FCE">
              <wp:simplePos x="0" y="0"/>
              <wp:positionH relativeFrom="margin">
                <wp:posOffset>104140</wp:posOffset>
              </wp:positionH>
              <wp:positionV relativeFrom="paragraph">
                <wp:posOffset>-534035</wp:posOffset>
              </wp:positionV>
              <wp:extent cx="5605145" cy="54038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CD492" w14:textId="1721D4AF" w:rsidR="009A46DE" w:rsidRPr="009A46DE" w:rsidRDefault="009A46DE" w:rsidP="004C4DF6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НАУЧНОИЗСЛЕДОВАТЕЛСКА И РАЗВОЙНА ДЕЙНОСТ ПРЕЗ 20</w:t>
                          </w: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9A46DE"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(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ПРЕДВАРИТЕЛНИ ДАННИ)</w:t>
                          </w:r>
                        </w:p>
                        <w:p w14:paraId="196A8E93" w14:textId="4C6BA5DA" w:rsidR="008748F1" w:rsidRPr="00101DE0" w:rsidRDefault="008748F1" w:rsidP="002D587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A04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.2pt;margin-top:-42.05pt;width:441.35pt;height:42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ppJAIAACMEAAAOAAAAZHJzL2Uyb0RvYy54bWysU9uO2yAQfa/Uf0C8N3bceJ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" stroked="f">
              <v:textbox>
                <w:txbxContent>
                  <w:p w14:paraId="777CD492" w14:textId="1721D4AF" w:rsidR="009A46DE" w:rsidRPr="009A46DE" w:rsidRDefault="009A46DE" w:rsidP="004C4DF6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>НАУЧНОИЗСЛЕДОВАТЕЛСКА И РАЗВОЙНА ДЕЙНОСТ ПРЕЗ 20</w:t>
                    </w: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2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3</w:t>
                    </w:r>
                    <w:r w:rsidRPr="009A46DE"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(</w:t>
                    </w:r>
                    <w:r>
                      <w:rPr>
                        <w:rFonts w:ascii="Verdana" w:eastAsia="Calibri" w:hAnsi="Verdana" w:cs="Times New Roman"/>
                        <w:b/>
                        <w:bCs/>
                        <w:sz w:val="20"/>
                        <w:szCs w:val="20"/>
                      </w:rPr>
                      <w:t>ПРЕДВАРИТЕЛНИ ДАННИ)</w:t>
                    </w:r>
                  </w:p>
                  <w:p w14:paraId="196A8E93" w14:textId="4C6BA5DA" w:rsidR="008748F1" w:rsidRPr="00101DE0" w:rsidRDefault="008748F1" w:rsidP="002D587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B91529E" wp14:editId="411B77F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1A58F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C1C"/>
    <w:multiLevelType w:val="hybridMultilevel"/>
    <w:tmpl w:val="F64A2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905A">
      <w:numFmt w:val="bullet"/>
      <w:lvlText w:val="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6EF2"/>
    <w:rsid w:val="00044A76"/>
    <w:rsid w:val="0006051E"/>
    <w:rsid w:val="000607BC"/>
    <w:rsid w:val="000702FD"/>
    <w:rsid w:val="00071DD1"/>
    <w:rsid w:val="00077C97"/>
    <w:rsid w:val="000A2FAF"/>
    <w:rsid w:val="000B17C2"/>
    <w:rsid w:val="000B2B10"/>
    <w:rsid w:val="000C0D56"/>
    <w:rsid w:val="000C2E35"/>
    <w:rsid w:val="000F0B88"/>
    <w:rsid w:val="000F794D"/>
    <w:rsid w:val="00101DE0"/>
    <w:rsid w:val="00137095"/>
    <w:rsid w:val="00143DFB"/>
    <w:rsid w:val="00171C36"/>
    <w:rsid w:val="001901A0"/>
    <w:rsid w:val="001A4286"/>
    <w:rsid w:val="001B03D8"/>
    <w:rsid w:val="001D51C0"/>
    <w:rsid w:val="001E5BA2"/>
    <w:rsid w:val="001E7AC3"/>
    <w:rsid w:val="00214ACA"/>
    <w:rsid w:val="0026128F"/>
    <w:rsid w:val="002704C2"/>
    <w:rsid w:val="00282056"/>
    <w:rsid w:val="002B03CE"/>
    <w:rsid w:val="002C2508"/>
    <w:rsid w:val="002C2541"/>
    <w:rsid w:val="002C72D4"/>
    <w:rsid w:val="002D5873"/>
    <w:rsid w:val="002F4968"/>
    <w:rsid w:val="00332C88"/>
    <w:rsid w:val="00336556"/>
    <w:rsid w:val="003456B4"/>
    <w:rsid w:val="00364357"/>
    <w:rsid w:val="0038746A"/>
    <w:rsid w:val="003905CB"/>
    <w:rsid w:val="003B2503"/>
    <w:rsid w:val="003B42F8"/>
    <w:rsid w:val="003B46BA"/>
    <w:rsid w:val="003C2111"/>
    <w:rsid w:val="003D5F6D"/>
    <w:rsid w:val="00402E31"/>
    <w:rsid w:val="00416EC7"/>
    <w:rsid w:val="00444B16"/>
    <w:rsid w:val="00446CF4"/>
    <w:rsid w:val="004760D3"/>
    <w:rsid w:val="00486232"/>
    <w:rsid w:val="00492D6E"/>
    <w:rsid w:val="004C4DF6"/>
    <w:rsid w:val="004F064E"/>
    <w:rsid w:val="00520539"/>
    <w:rsid w:val="00543FE0"/>
    <w:rsid w:val="0056656A"/>
    <w:rsid w:val="00575594"/>
    <w:rsid w:val="005771E2"/>
    <w:rsid w:val="005948FF"/>
    <w:rsid w:val="005B4023"/>
    <w:rsid w:val="006120F5"/>
    <w:rsid w:val="00642B84"/>
    <w:rsid w:val="00644D53"/>
    <w:rsid w:val="00654814"/>
    <w:rsid w:val="00663AB5"/>
    <w:rsid w:val="00697524"/>
    <w:rsid w:val="00697D86"/>
    <w:rsid w:val="006A212D"/>
    <w:rsid w:val="006C3DEE"/>
    <w:rsid w:val="006D1BE4"/>
    <w:rsid w:val="006D7D9B"/>
    <w:rsid w:val="006F05C7"/>
    <w:rsid w:val="006F3959"/>
    <w:rsid w:val="006F4C7E"/>
    <w:rsid w:val="006F5938"/>
    <w:rsid w:val="00704539"/>
    <w:rsid w:val="00711145"/>
    <w:rsid w:val="0073387D"/>
    <w:rsid w:val="00764226"/>
    <w:rsid w:val="00765B2B"/>
    <w:rsid w:val="007674A6"/>
    <w:rsid w:val="00787023"/>
    <w:rsid w:val="007A62D9"/>
    <w:rsid w:val="007C0373"/>
    <w:rsid w:val="007C61E0"/>
    <w:rsid w:val="007C7A6A"/>
    <w:rsid w:val="007F116A"/>
    <w:rsid w:val="007F17B3"/>
    <w:rsid w:val="007F6217"/>
    <w:rsid w:val="0080131B"/>
    <w:rsid w:val="00807D0D"/>
    <w:rsid w:val="00857A36"/>
    <w:rsid w:val="00870559"/>
    <w:rsid w:val="008748F1"/>
    <w:rsid w:val="00880760"/>
    <w:rsid w:val="00881B14"/>
    <w:rsid w:val="00883238"/>
    <w:rsid w:val="008B4A69"/>
    <w:rsid w:val="008D3797"/>
    <w:rsid w:val="008E71E8"/>
    <w:rsid w:val="009139A2"/>
    <w:rsid w:val="0094060D"/>
    <w:rsid w:val="00941782"/>
    <w:rsid w:val="00947EBF"/>
    <w:rsid w:val="00954F53"/>
    <w:rsid w:val="009A46DE"/>
    <w:rsid w:val="009C013A"/>
    <w:rsid w:val="009C4EA0"/>
    <w:rsid w:val="009E4021"/>
    <w:rsid w:val="00A0446A"/>
    <w:rsid w:val="00A14E83"/>
    <w:rsid w:val="00A24613"/>
    <w:rsid w:val="00A26F4E"/>
    <w:rsid w:val="00A359D0"/>
    <w:rsid w:val="00A41EB0"/>
    <w:rsid w:val="00A675D8"/>
    <w:rsid w:val="00A7142A"/>
    <w:rsid w:val="00A735B8"/>
    <w:rsid w:val="00A869E9"/>
    <w:rsid w:val="00AA3B0B"/>
    <w:rsid w:val="00AC3D78"/>
    <w:rsid w:val="00AE30B5"/>
    <w:rsid w:val="00AE4196"/>
    <w:rsid w:val="00AE5D8C"/>
    <w:rsid w:val="00AF2D94"/>
    <w:rsid w:val="00B0333E"/>
    <w:rsid w:val="00B07D27"/>
    <w:rsid w:val="00B3224A"/>
    <w:rsid w:val="00B32676"/>
    <w:rsid w:val="00B36A45"/>
    <w:rsid w:val="00B40894"/>
    <w:rsid w:val="00B55B11"/>
    <w:rsid w:val="00B77149"/>
    <w:rsid w:val="00B85299"/>
    <w:rsid w:val="00BE2282"/>
    <w:rsid w:val="00BE58B4"/>
    <w:rsid w:val="00BF44F8"/>
    <w:rsid w:val="00BF631F"/>
    <w:rsid w:val="00C01695"/>
    <w:rsid w:val="00C14799"/>
    <w:rsid w:val="00C22E8B"/>
    <w:rsid w:val="00C23742"/>
    <w:rsid w:val="00C267AA"/>
    <w:rsid w:val="00C31D36"/>
    <w:rsid w:val="00C4018D"/>
    <w:rsid w:val="00C43C2F"/>
    <w:rsid w:val="00C616FD"/>
    <w:rsid w:val="00C93974"/>
    <w:rsid w:val="00CA0766"/>
    <w:rsid w:val="00CA6D8D"/>
    <w:rsid w:val="00CF10B6"/>
    <w:rsid w:val="00D13E15"/>
    <w:rsid w:val="00D270D5"/>
    <w:rsid w:val="00D42B83"/>
    <w:rsid w:val="00D47550"/>
    <w:rsid w:val="00D53CCB"/>
    <w:rsid w:val="00D82477"/>
    <w:rsid w:val="00D95B43"/>
    <w:rsid w:val="00DD11CB"/>
    <w:rsid w:val="00DD2C95"/>
    <w:rsid w:val="00DE20CA"/>
    <w:rsid w:val="00DE4F56"/>
    <w:rsid w:val="00DF4157"/>
    <w:rsid w:val="00E13DB4"/>
    <w:rsid w:val="00E14553"/>
    <w:rsid w:val="00E30517"/>
    <w:rsid w:val="00E462B5"/>
    <w:rsid w:val="00E563C3"/>
    <w:rsid w:val="00E67823"/>
    <w:rsid w:val="00E725F5"/>
    <w:rsid w:val="00E76325"/>
    <w:rsid w:val="00E8115B"/>
    <w:rsid w:val="00EB1214"/>
    <w:rsid w:val="00EB5089"/>
    <w:rsid w:val="00EC57FD"/>
    <w:rsid w:val="00ED6D6E"/>
    <w:rsid w:val="00F05BD8"/>
    <w:rsid w:val="00F126B2"/>
    <w:rsid w:val="00F270A9"/>
    <w:rsid w:val="00F50224"/>
    <w:rsid w:val="00F72D74"/>
    <w:rsid w:val="00F737F5"/>
    <w:rsid w:val="00FA00EF"/>
    <w:rsid w:val="00FA2C28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99BB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hyperlink" Target="https://www.nsi.bg/bg/node/267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infostat.nsi.bg/infostat/pages/module.jsf?x_2=8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67105523639406E-2"/>
          <c:y val="8.3667554858976145E-2"/>
          <c:w val="0.8871339333756959"/>
          <c:h val="0.76001907975277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'фиг.1. bg'!$A$6</c:f>
              <c:strCache>
                <c:ptCount val="1"/>
                <c:pt idx="0">
                  <c:v>Разходи за НИРД (лява скала)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1.0307190983129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40-4DD9-95D6-37E65A95D15B}"/>
                </c:ext>
              </c:extLst>
            </c:dLbl>
            <c:dLbl>
              <c:idx val="1"/>
              <c:layout>
                <c:manualLayout>
                  <c:x val="0"/>
                  <c:y val="1.013524823631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40-4DD9-95D6-37E65A95D15B}"/>
                </c:ext>
              </c:extLst>
            </c:dLbl>
            <c:dLbl>
              <c:idx val="2"/>
              <c:layout>
                <c:manualLayout>
                  <c:x val="2.3148958232072844E-3"/>
                  <c:y val="1.3502326449642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40-4DD9-95D6-37E65A95D15B}"/>
                </c:ext>
              </c:extLst>
            </c:dLbl>
            <c:dLbl>
              <c:idx val="3"/>
              <c:layout>
                <c:manualLayout>
                  <c:x val="-2.3147338064224963E-3"/>
                  <c:y val="1.020407889975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40-4DD9-95D6-37E65A95D15B}"/>
                </c:ext>
              </c:extLst>
            </c:dLbl>
            <c:dLbl>
              <c:idx val="4"/>
              <c:layout>
                <c:manualLayout>
                  <c:x val="2.3148958232072844E-3"/>
                  <c:y val="1.3605438533012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40-4DD9-95D6-37E65A95D1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'фиг.1.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'фиг.1. bg'!$B$6:$F$6</c:f>
              <c:numCache>
                <c:formatCode>General</c:formatCode>
                <c:ptCount val="5"/>
                <c:pt idx="0">
                  <c:v>1002.1</c:v>
                </c:pt>
                <c:pt idx="1">
                  <c:v>1023.8</c:v>
                </c:pt>
                <c:pt idx="2" formatCode="0.0">
                  <c:v>1074</c:v>
                </c:pt>
                <c:pt idx="3" formatCode="0.0">
                  <c:v>1265.5999999999999</c:v>
                </c:pt>
                <c:pt idx="4" formatCode="0.0">
                  <c:v>1467.5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40-4DD9-95D6-37E65A95D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1209680"/>
        <c:axId val="321203448"/>
      </c:barChart>
      <c:lineChart>
        <c:grouping val="standard"/>
        <c:varyColors val="0"/>
        <c:ser>
          <c:idx val="1"/>
          <c:order val="1"/>
          <c:tx>
            <c:strRef>
              <c:f>'фиг.1. bg'!$A$7</c:f>
              <c:strCache>
                <c:ptCount val="1"/>
                <c:pt idx="0">
                  <c:v>Разходи за НИРД в % от БВП (дясна скала)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53E-2"/>
                  <c:y val="3.7037027217840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40-4DD9-95D6-37E65A95D15B}"/>
                </c:ext>
              </c:extLst>
            </c:dLbl>
            <c:dLbl>
              <c:idx val="1"/>
              <c:layout>
                <c:manualLayout>
                  <c:x val="-3.9985965296004664E-2"/>
                  <c:y val="3.8173164558046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40-4DD9-95D6-37E65A95D15B}"/>
                </c:ext>
              </c:extLst>
            </c:dLbl>
            <c:dLbl>
              <c:idx val="2"/>
              <c:layout>
                <c:manualLayout>
                  <c:x val="-4.2500000000000003E-2"/>
                  <c:y val="4.0658835326253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40-4DD9-95D6-37E65A95D15B}"/>
                </c:ext>
              </c:extLst>
            </c:dLbl>
            <c:dLbl>
              <c:idx val="3"/>
              <c:layout>
                <c:manualLayout>
                  <c:x val="-4.2592592592592675E-2"/>
                  <c:y val="3.9697489409186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40-4DD9-95D6-37E65A95D15B}"/>
                </c:ext>
              </c:extLst>
            </c:dLbl>
            <c:dLbl>
              <c:idx val="4"/>
              <c:layout>
                <c:manualLayout>
                  <c:x val="-3.7037037037037035E-2"/>
                  <c:y val="4.0404029692189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40-4DD9-95D6-37E65A95D15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'фиг.1.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'фиг.1. bg'!$B$7:$F$7</c:f>
              <c:numCache>
                <c:formatCode>General</c:formatCode>
                <c:ptCount val="5"/>
                <c:pt idx="0">
                  <c:v>0.84</c:v>
                </c:pt>
                <c:pt idx="1">
                  <c:v>0.85</c:v>
                </c:pt>
                <c:pt idx="2">
                  <c:v>0.77</c:v>
                </c:pt>
                <c:pt idx="3">
                  <c:v>0.75</c:v>
                </c:pt>
                <c:pt idx="4">
                  <c:v>0.79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B940-4DD9-95D6-37E65A95D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80"/>
          <c:upBars>
            <c:spPr>
              <a:solidFill>
                <a:schemeClr val="lt1"/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downBars>
        </c:upDownBars>
        <c:marker val="1"/>
        <c:smooth val="0"/>
        <c:axId val="524336552"/>
        <c:axId val="524332288"/>
      </c:lineChart>
      <c:catAx>
        <c:axId val="321209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Млн. лв.</a:t>
                </a:r>
                <a:endParaRPr lang="en-GB" sz="80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1814239850215663E-2"/>
              <c:y val="7.445484408788522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321203448"/>
        <c:crosses val="autoZero"/>
        <c:auto val="1"/>
        <c:lblAlgn val="ctr"/>
        <c:lblOffset val="100"/>
        <c:noMultiLvlLbl val="0"/>
      </c:catAx>
      <c:valAx>
        <c:axId val="321203448"/>
        <c:scaling>
          <c:orientation val="minMax"/>
          <c:max val="150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##0.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321209680"/>
        <c:crosses val="autoZero"/>
        <c:crossBetween val="between"/>
        <c:majorUnit val="100"/>
      </c:valAx>
      <c:valAx>
        <c:axId val="524332288"/>
        <c:scaling>
          <c:orientation val="minMax"/>
          <c:max val="1.2"/>
          <c:min val="0.4"/>
        </c:scaling>
        <c:delete val="0"/>
        <c:axPos val="r"/>
        <c:numFmt formatCode="#,##0.0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524336552"/>
        <c:crosses val="max"/>
        <c:crossBetween val="between"/>
      </c:valAx>
      <c:catAx>
        <c:axId val="524336552"/>
        <c:scaling>
          <c:orientation val="minMax"/>
        </c:scaling>
        <c:delete val="1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%</a:t>
                </a:r>
                <a:endParaRPr lang="en-GB" sz="80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913148168614067"/>
              <c:y val="1.23957146866075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crossAx val="524332288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030375255384719E-2"/>
          <c:y val="0.91264719249901094"/>
          <c:w val="0.92687639917572717"/>
          <c:h val="5.7118413235129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Млн. лв.</a:t>
            </a:r>
            <a:endParaRPr lang="en-GB" sz="8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4.3514481742413777E-2"/>
          <c:y val="3.5650613878306769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9.3378090896532664E-2"/>
          <c:y val="7.1218656936411953E-2"/>
          <c:w val="0.88089091495142058"/>
          <c:h val="0.799524299067744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'фиг.2. bg'!$A$6</c:f>
              <c:strCache>
                <c:ptCount val="1"/>
                <c:pt idx="0">
                  <c:v>Предприятия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'фиг.2.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'фиг.2. bg'!$B$6:$F$6</c:f>
              <c:numCache>
                <c:formatCode>0.0</c:formatCode>
                <c:ptCount val="5"/>
                <c:pt idx="0">
                  <c:v>673.1</c:v>
                </c:pt>
                <c:pt idx="1">
                  <c:v>691.1</c:v>
                </c:pt>
                <c:pt idx="2" formatCode="General">
                  <c:v>707.2</c:v>
                </c:pt>
                <c:pt idx="3">
                  <c:v>858.3</c:v>
                </c:pt>
                <c:pt idx="4">
                  <c:v>943.8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9-4D41-BE5D-765845071914}"/>
            </c:ext>
          </c:extLst>
        </c:ser>
        <c:ser>
          <c:idx val="1"/>
          <c:order val="1"/>
          <c:tx>
            <c:strRef>
              <c:f>'фиг.2. bg'!$A$7</c:f>
              <c:strCache>
                <c:ptCount val="1"/>
                <c:pt idx="0">
                  <c:v>Държавно управление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'фиг.2.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'фиг.2. bg'!$B$7:$F$7</c:f>
              <c:numCache>
                <c:formatCode>0.0</c:formatCode>
                <c:ptCount val="5"/>
                <c:pt idx="0">
                  <c:v>249.4</c:v>
                </c:pt>
                <c:pt idx="1">
                  <c:v>263.60000000000002</c:v>
                </c:pt>
                <c:pt idx="2" formatCode="General">
                  <c:v>291.3</c:v>
                </c:pt>
                <c:pt idx="3">
                  <c:v>321.89999999999998</c:v>
                </c:pt>
                <c:pt idx="4">
                  <c:v>421.8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D9-4D41-BE5D-765845071914}"/>
            </c:ext>
          </c:extLst>
        </c:ser>
        <c:ser>
          <c:idx val="2"/>
          <c:order val="2"/>
          <c:tx>
            <c:strRef>
              <c:f>'фиг.2. bg'!$A$8</c:f>
              <c:strCache>
                <c:ptCount val="1"/>
                <c:pt idx="0">
                  <c:v>Висше образование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FED9-4D41-BE5D-76584507191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ED9-4D41-BE5D-7658450719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'фиг.2.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'фиг.2. bg'!$B$8:$F$8</c:f>
              <c:numCache>
                <c:formatCode>0.0</c:formatCode>
                <c:ptCount val="5"/>
                <c:pt idx="0">
                  <c:v>73.3</c:v>
                </c:pt>
                <c:pt idx="1">
                  <c:v>62.2</c:v>
                </c:pt>
                <c:pt idx="2" formatCode="General">
                  <c:v>69.3</c:v>
                </c:pt>
                <c:pt idx="3">
                  <c:v>79.099999999999994</c:v>
                </c:pt>
                <c:pt idx="4">
                  <c:v>95.3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D9-4D41-BE5D-765845071914}"/>
            </c:ext>
          </c:extLst>
        </c:ser>
        <c:ser>
          <c:idx val="3"/>
          <c:order val="3"/>
          <c:tx>
            <c:strRef>
              <c:f>'фиг.2. bg'!$A$9</c:f>
              <c:strCache>
                <c:ptCount val="1"/>
                <c:pt idx="0">
                  <c:v>Нетърговски организации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982140996924521E-3"/>
                  <c:y val="-2.3174968100235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459097091877294E-2"/>
                      <c:h val="4.81869129459643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ED9-4D41-BE5D-765845071914}"/>
                </c:ext>
              </c:extLst>
            </c:dLbl>
            <c:dLbl>
              <c:idx val="1"/>
              <c:layout>
                <c:manualLayout>
                  <c:x val="9.4520162385352269E-3"/>
                  <c:y val="-2.13903683269840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088152107882103E-2"/>
                      <c:h val="5.17563139049246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FED9-4D41-BE5D-765845071914}"/>
                </c:ext>
              </c:extLst>
            </c:dLbl>
            <c:dLbl>
              <c:idx val="2"/>
              <c:layout>
                <c:manualLayout>
                  <c:x val="4.7101529091494957E-3"/>
                  <c:y val="-2.85290695386760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D9-4D41-BE5D-765845071914}"/>
                </c:ext>
              </c:extLst>
            </c:dLbl>
            <c:dLbl>
              <c:idx val="3"/>
              <c:layout>
                <c:manualLayout>
                  <c:x val="4.7418031992413128E-3"/>
                  <c:y val="-2.6653424278684994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008542496108479E-2"/>
                      <c:h val="4.03508130926751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FED9-4D41-BE5D-765845071914}"/>
                </c:ext>
              </c:extLst>
            </c:dLbl>
            <c:dLbl>
              <c:idx val="4"/>
              <c:layout>
                <c:manualLayout>
                  <c:x val="7.0947261595881205E-3"/>
                  <c:y val="-2.4955171696617783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750432464098854E-2"/>
                      <c:h val="4.3859506129813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ED9-4D41-BE5D-76584507191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'фиг.2. bg'!$B$5:$F$5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'фиг.2. bg'!$B$9:$F$9</c:f>
              <c:numCache>
                <c:formatCode>0.0</c:formatCode>
                <c:ptCount val="5"/>
                <c:pt idx="0">
                  <c:v>6.3</c:v>
                </c:pt>
                <c:pt idx="1">
                  <c:v>6.9</c:v>
                </c:pt>
                <c:pt idx="2" formatCode="General">
                  <c:v>6.3</c:v>
                </c:pt>
                <c:pt idx="3">
                  <c:v>6.3</c:v>
                </c:pt>
                <c:pt idx="4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D9-4D41-BE5D-7658450719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358879743"/>
        <c:axId val="358882655"/>
      </c:barChart>
      <c:catAx>
        <c:axId val="3588797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58882655"/>
        <c:crosses val="autoZero"/>
        <c:auto val="1"/>
        <c:lblAlgn val="ctr"/>
        <c:lblOffset val="100"/>
        <c:noMultiLvlLbl val="0"/>
      </c:catAx>
      <c:valAx>
        <c:axId val="358882655"/>
        <c:scaling>
          <c:orientation val="minMax"/>
          <c:max val="15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58879743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1952730093132318"/>
          <c:w val="0.9839414283740846"/>
          <c:h val="7.30233853166834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9372431535996"/>
          <c:y val="1.9784879831197571E-2"/>
          <c:w val="0.84661436929466638"/>
          <c:h val="0.850199313321128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'фиг.3. bg'!$A$5</c:f>
              <c:strCache>
                <c:ptCount val="1"/>
                <c:pt idx="0">
                  <c:v>  Държавно управление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'фиг.3.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'фиг.3. bg'!$B$5:$F$5</c:f>
              <c:numCache>
                <c:formatCode>0.0</c:formatCode>
                <c:ptCount val="5"/>
                <c:pt idx="0">
                  <c:v>23.6</c:v>
                </c:pt>
                <c:pt idx="1">
                  <c:v>25.3</c:v>
                </c:pt>
                <c:pt idx="2" formatCode="General">
                  <c:v>26.1</c:v>
                </c:pt>
                <c:pt idx="3">
                  <c:v>24.6</c:v>
                </c:pt>
                <c:pt idx="4">
                  <c:v>26.4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95-43D7-9535-FED324FB4AE7}"/>
            </c:ext>
          </c:extLst>
        </c:ser>
        <c:ser>
          <c:idx val="1"/>
          <c:order val="1"/>
          <c:tx>
            <c:strRef>
              <c:f>'фиг.3. bg'!$A$6</c:f>
              <c:strCache>
                <c:ptCount val="1"/>
                <c:pt idx="0">
                  <c:v>  Предприятия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3795831905183766E-3"/>
                  <c:y val="-6.05053516420752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95-43D7-9535-FED324FB4AE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'фиг.3.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'фиг.3. bg'!$B$6:$F$6</c:f>
              <c:numCache>
                <c:formatCode>0.0</c:formatCode>
                <c:ptCount val="5"/>
                <c:pt idx="0">
                  <c:v>37.6</c:v>
                </c:pt>
                <c:pt idx="1">
                  <c:v>35.4</c:v>
                </c:pt>
                <c:pt idx="2" formatCode="General">
                  <c:v>32.9</c:v>
                </c:pt>
                <c:pt idx="3">
                  <c:v>34.700000000000003</c:v>
                </c:pt>
                <c:pt idx="4">
                  <c:v>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95-43D7-9535-FED324FB4AE7}"/>
            </c:ext>
          </c:extLst>
        </c:ser>
        <c:ser>
          <c:idx val="2"/>
          <c:order val="2"/>
          <c:tx>
            <c:strRef>
              <c:f>'фиг.3. bg'!$A$7</c:f>
              <c:strCache>
                <c:ptCount val="1"/>
                <c:pt idx="0">
                  <c:v>  Други национални източници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01851851851850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95-43D7-9535-FED324FB4AE7}"/>
                </c:ext>
              </c:extLst>
            </c:dLbl>
            <c:dLbl>
              <c:idx val="1"/>
              <c:layout>
                <c:manualLayout>
                  <c:x val="6.5681433668820077E-3"/>
                  <c:y val="-6.213043544995472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95-43D7-9535-FED324FB4AE7}"/>
                </c:ext>
              </c:extLst>
            </c:dLbl>
            <c:dLbl>
              <c:idx val="2"/>
              <c:layout>
                <c:manualLayout>
                  <c:x val="9.3458991167656488E-3"/>
                  <c:y val="-6.01851084403923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95-43D7-9535-FED324FB4AE7}"/>
                </c:ext>
              </c:extLst>
            </c:dLbl>
            <c:dLbl>
              <c:idx val="3"/>
              <c:layout>
                <c:manualLayout>
                  <c:x val="8.5689274066728886E-3"/>
                  <c:y val="-7.1717087995579507E-2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95-43D7-9535-FED324FB4AE7}"/>
                </c:ext>
              </c:extLst>
            </c:dLbl>
            <c:dLbl>
              <c:idx val="4"/>
              <c:layout>
                <c:manualLayout>
                  <c:x val="4.0644912378209209E-3"/>
                  <c:y val="-7.455725928995717E-2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95-43D7-9535-FED324FB4AE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'фиг.3.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'фиг.3. bg'!$B$7:$F$7</c:f>
              <c:numCache>
                <c:formatCode>0.0</c:formatCode>
                <c:ptCount val="5"/>
                <c:pt idx="0">
                  <c:v>0.4</c:v>
                </c:pt>
                <c:pt idx="1">
                  <c:v>0.5</c:v>
                </c:pt>
                <c:pt idx="2" formatCode="General">
                  <c:v>0.9</c:v>
                </c:pt>
                <c:pt idx="3">
                  <c:v>0.7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95-43D7-9535-FED324FB4AE7}"/>
            </c:ext>
          </c:extLst>
        </c:ser>
        <c:ser>
          <c:idx val="3"/>
          <c:order val="3"/>
          <c:tx>
            <c:strRef>
              <c:f>'фиг.3. bg'!$A$8</c:f>
              <c:strCache>
                <c:ptCount val="1"/>
                <c:pt idx="0">
                  <c:v>  Чужбина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3795831905182985E-3"/>
                  <c:y val="-6.05053516420752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95-43D7-9535-FED324FB4A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'фиг.3.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'фиг.3. bg'!$B$8:$F$8</c:f>
              <c:numCache>
                <c:formatCode>0.0</c:formatCode>
                <c:ptCount val="5"/>
                <c:pt idx="0">
                  <c:v>38.4</c:v>
                </c:pt>
                <c:pt idx="1">
                  <c:v>38.799999999999997</c:v>
                </c:pt>
                <c:pt idx="2" formatCode="General">
                  <c:v>40.1</c:v>
                </c:pt>
                <c:pt idx="3">
                  <c:v>40</c:v>
                </c:pt>
                <c:pt idx="4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495-43D7-9535-FED324FB4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3"/>
        <c:overlap val="100"/>
        <c:axId val="85463040"/>
        <c:axId val="85464576"/>
      </c:barChart>
      <c:catAx>
        <c:axId val="8546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85464576"/>
        <c:crosses val="autoZero"/>
        <c:auto val="1"/>
        <c:lblAlgn val="ctr"/>
        <c:lblOffset val="100"/>
        <c:noMultiLvlLbl val="0"/>
      </c:catAx>
      <c:valAx>
        <c:axId val="85464576"/>
        <c:scaling>
          <c:orientation val="minMax"/>
          <c:max val="100"/>
        </c:scaling>
        <c:delete val="0"/>
        <c:axPos val="b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 baseline="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4554364346535613"/>
              <c:y val="0.8291651778821764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85463040"/>
        <c:crosses val="autoZero"/>
        <c:crossBetween val="between"/>
        <c:majorUnit val="20"/>
        <c:minorUnit val="4"/>
      </c:valAx>
    </c:plotArea>
    <c:legend>
      <c:legendPos val="b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3.7082427697266176E-2"/>
          <c:y val="0.92505616797900281"/>
          <c:w val="0.91618369262472932"/>
          <c:h val="6.216990202957303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4339457567804"/>
          <c:y val="0.11342592592592593"/>
          <c:w val="0.52500000000000002"/>
          <c:h val="0.875"/>
        </c:manualLayout>
      </c:layout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2.2222222222222195E-2"/>
                  <c:y val="-9.259259259259263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0A-4352-B350-4DC9B77BAC2F}"/>
                </c:ext>
              </c:extLst>
            </c:dLbl>
            <c:dLbl>
              <c:idx val="5"/>
              <c:layout>
                <c:manualLayout>
                  <c:x val="2.5000000000000001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0A-4352-B350-4DC9B77BAC2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'фиг.4. bg'!$A$4:$A$9</c:f>
              <c:strCache>
                <c:ptCount val="6"/>
                <c:pt idx="0">
                  <c:v>Естествени науки</c:v>
                </c:pt>
                <c:pt idx="1">
                  <c:v>Технически науки</c:v>
                </c:pt>
                <c:pt idx="2">
                  <c:v>Медицински и здравни науки</c:v>
                </c:pt>
                <c:pt idx="3">
                  <c:v>Селскостопански и ветеринарни науки</c:v>
                </c:pt>
                <c:pt idx="4">
                  <c:v>Обществени науки</c:v>
                </c:pt>
                <c:pt idx="5">
                  <c:v>Хуманитарни науки и изкуства</c:v>
                </c:pt>
              </c:strCache>
            </c:strRef>
          </c:cat>
          <c:val>
            <c:numRef>
              <c:f>'фиг.4. bg'!$B$4:$B$9</c:f>
              <c:numCache>
                <c:formatCode>0.0</c:formatCode>
                <c:ptCount val="6"/>
                <c:pt idx="0">
                  <c:v>18.7</c:v>
                </c:pt>
                <c:pt idx="1">
                  <c:v>47.2</c:v>
                </c:pt>
                <c:pt idx="2">
                  <c:v>22.3</c:v>
                </c:pt>
                <c:pt idx="3">
                  <c:v>5.6</c:v>
                </c:pt>
                <c:pt idx="4">
                  <c:v>2.2999999999999998</c:v>
                </c:pt>
                <c:pt idx="5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0A-4352-B350-4DC9B77BA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6475699912510933"/>
          <c:y val="0.14914333624963549"/>
          <c:w val="0.31857633420822395"/>
          <c:h val="0.77578740157480319"/>
        </c:manualLayout>
      </c:layout>
      <c:overlay val="0"/>
      <c:txPr>
        <a:bodyPr/>
        <a:lstStyle/>
        <a:p>
          <a:pPr>
            <a:defRPr sz="800" baseline="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460105444934566E-2"/>
          <c:y val="2.056555269922879E-2"/>
          <c:w val="0.85314707132633683"/>
          <c:h val="0.833579908240393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'фиг.5. bg'!$A$5</c:f>
              <c:strCache>
                <c:ptCount val="1"/>
                <c:pt idx="0">
                  <c:v>Изследователи</c:v>
                </c:pt>
              </c:strCache>
            </c:strRef>
          </c:tx>
          <c:spPr>
            <a:solidFill>
              <a:srgbClr val="993366"/>
            </a:solidFill>
          </c:spPr>
          <c:invertIfNegative val="0"/>
          <c:dLbls>
            <c:dLbl>
              <c:idx val="0"/>
              <c:layout>
                <c:manualLayout>
                  <c:x val="6.9808027923212021E-3"/>
                  <c:y val="-1.256769257758271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1A-4778-AAA3-90CF41D56D83}"/>
                </c:ext>
              </c:extLst>
            </c:dLbl>
            <c:dLbl>
              <c:idx val="1"/>
              <c:layout>
                <c:manualLayout>
                  <c:x val="-2.32693426410703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1A-4778-AAA3-90CF41D56D83}"/>
                </c:ext>
              </c:extLst>
            </c:dLbl>
            <c:dLbl>
              <c:idx val="2"/>
              <c:layout>
                <c:manualLayout>
                  <c:x val="-4.6538685282140778E-3"/>
                  <c:y val="-6.283846288791359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1A-4778-AAA3-90CF41D56D83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'фиг.5.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'фиг.5. bg'!$B$5:$F$5</c:f>
              <c:numCache>
                <c:formatCode>0</c:formatCode>
                <c:ptCount val="5"/>
                <c:pt idx="0">
                  <c:v>16940</c:v>
                </c:pt>
                <c:pt idx="1">
                  <c:v>16691</c:v>
                </c:pt>
                <c:pt idx="2">
                  <c:v>16230</c:v>
                </c:pt>
                <c:pt idx="3">
                  <c:v>17487</c:v>
                </c:pt>
                <c:pt idx="4">
                  <c:v>16357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1A-4778-AAA3-90CF41D56D83}"/>
            </c:ext>
          </c:extLst>
        </c:ser>
        <c:ser>
          <c:idx val="1"/>
          <c:order val="1"/>
          <c:tx>
            <c:strRef>
              <c:f>'фиг.5. bg'!$A$6</c:f>
              <c:strCache>
                <c:ptCount val="1"/>
                <c:pt idx="0">
                  <c:v>Персонал, зает с НИРД - общо</c:v>
                </c:pt>
              </c:strCache>
            </c:strRef>
          </c:tx>
          <c:spPr>
            <a:solidFill>
              <a:srgbClr val="9999FF"/>
            </a:solidFill>
          </c:spPr>
          <c:invertIfNegative val="0"/>
          <c:dLbls>
            <c:dLbl>
              <c:idx val="1"/>
              <c:layout>
                <c:manualLayout>
                  <c:x val="-3.0639604640306782E-3"/>
                  <c:y val="-1.7137995151631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934129865319991E-2"/>
                      <c:h val="4.38124612625564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61A-4778-AAA3-90CF41D56D83}"/>
                </c:ext>
              </c:extLst>
            </c:dLbl>
            <c:dLbl>
              <c:idx val="3"/>
              <c:layout>
                <c:manualLayout>
                  <c:x val="-2.45730433714215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1A-4778-AAA3-90CF41D56D83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'фиг.5. bg'!$B$4:$F$4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'фиг.5. bg'!$B$6:$F$6</c:f>
              <c:numCache>
                <c:formatCode>0</c:formatCode>
                <c:ptCount val="5"/>
                <c:pt idx="0">
                  <c:v>26399</c:v>
                </c:pt>
                <c:pt idx="1">
                  <c:v>26085</c:v>
                </c:pt>
                <c:pt idx="2">
                  <c:v>25122</c:v>
                </c:pt>
                <c:pt idx="3">
                  <c:v>27090</c:v>
                </c:pt>
                <c:pt idx="4">
                  <c:v>25411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1A-4778-AAA3-90CF41D56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1403392"/>
        <c:axId val="71404928"/>
      </c:barChart>
      <c:catAx>
        <c:axId val="71403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71404928"/>
        <c:crosses val="autoZero"/>
        <c:auto val="1"/>
        <c:lblAlgn val="ctr"/>
        <c:lblOffset val="100"/>
        <c:noMultiLvlLbl val="0"/>
      </c:catAx>
      <c:valAx>
        <c:axId val="71404928"/>
        <c:scaling>
          <c:orientation val="minMax"/>
          <c:max val="30000"/>
          <c:min val="0"/>
        </c:scaling>
        <c:delete val="0"/>
        <c:axPos val="b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Брой</a:t>
                </a:r>
                <a:endParaRPr lang="en-GB" sz="800"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0.93258666109419697"/>
              <c:y val="0.81927825157589373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71403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67981342599634"/>
          <c:y val="0.93953120581099381"/>
          <c:w val="0.5970957295259558"/>
          <c:h val="6.0468728394757726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378090896532664E-2"/>
          <c:y val="6.3119328062921087E-2"/>
          <c:w val="0.88089091495142058"/>
          <c:h val="0.831686666845997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'фиг.6. bg '!$A$6</c:f>
              <c:strCache>
                <c:ptCount val="1"/>
                <c:pt idx="0">
                  <c:v>Предприятия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'фиг.6. bg 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'фиг.6. bg '!$B$6:$F$6</c:f>
              <c:numCache>
                <c:formatCode>0</c:formatCode>
                <c:ptCount val="5"/>
                <c:pt idx="0">
                  <c:v>13826</c:v>
                </c:pt>
                <c:pt idx="1">
                  <c:v>13663</c:v>
                </c:pt>
                <c:pt idx="2" formatCode="General">
                  <c:v>13056</c:v>
                </c:pt>
                <c:pt idx="3">
                  <c:v>14762</c:v>
                </c:pt>
                <c:pt idx="4">
                  <c:v>13228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5-4D35-9EE4-882C7E7CD688}"/>
            </c:ext>
          </c:extLst>
        </c:ser>
        <c:ser>
          <c:idx val="1"/>
          <c:order val="1"/>
          <c:tx>
            <c:strRef>
              <c:f>'фиг.6. bg '!$A$7</c:f>
              <c:strCache>
                <c:ptCount val="1"/>
                <c:pt idx="0">
                  <c:v>Държавно управление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'фиг.6. bg 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'фиг.6. bg '!$B$7:$F$7</c:f>
              <c:numCache>
                <c:formatCode>0</c:formatCode>
                <c:ptCount val="5"/>
                <c:pt idx="0">
                  <c:v>8307</c:v>
                </c:pt>
                <c:pt idx="1">
                  <c:v>8210</c:v>
                </c:pt>
                <c:pt idx="2" formatCode="General">
                  <c:v>8148</c:v>
                </c:pt>
                <c:pt idx="3">
                  <c:v>8230</c:v>
                </c:pt>
                <c:pt idx="4">
                  <c:v>8122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45-4D35-9EE4-882C7E7CD688}"/>
            </c:ext>
          </c:extLst>
        </c:ser>
        <c:ser>
          <c:idx val="2"/>
          <c:order val="2"/>
          <c:tx>
            <c:strRef>
              <c:f>'фиг.6. bg '!$A$8</c:f>
              <c:strCache>
                <c:ptCount val="1"/>
                <c:pt idx="0">
                  <c:v>Висше образование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'фиг.6. bg 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'фиг.6. bg '!$B$8:$F$8</c:f>
              <c:numCache>
                <c:formatCode>0</c:formatCode>
                <c:ptCount val="5"/>
                <c:pt idx="0">
                  <c:v>4123</c:v>
                </c:pt>
                <c:pt idx="1">
                  <c:v>4059</c:v>
                </c:pt>
                <c:pt idx="2" formatCode="General">
                  <c:v>3794</c:v>
                </c:pt>
                <c:pt idx="3">
                  <c:v>4008</c:v>
                </c:pt>
                <c:pt idx="4">
                  <c:v>3923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45-4D35-9EE4-882C7E7CD688}"/>
            </c:ext>
          </c:extLst>
        </c:ser>
        <c:ser>
          <c:idx val="3"/>
          <c:order val="3"/>
          <c:tx>
            <c:strRef>
              <c:f>'фиг.6. bg '!$A$9</c:f>
              <c:strCache>
                <c:ptCount val="1"/>
                <c:pt idx="0">
                  <c:v>Нетърговски организации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442247424033671E-17"/>
                  <c:y val="-2.1390368326984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45-4D35-9EE4-882C7E7CD688}"/>
                </c:ext>
              </c:extLst>
            </c:dLbl>
            <c:dLbl>
              <c:idx val="1"/>
              <c:layout>
                <c:manualLayout>
                  <c:x val="2.3391812865496647E-3"/>
                  <c:y val="-2.1390368326984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45-4D35-9EE4-882C7E7CD688}"/>
                </c:ext>
              </c:extLst>
            </c:dLbl>
            <c:dLbl>
              <c:idx val="2"/>
              <c:layout>
                <c:manualLayout>
                  <c:x val="2.3391812865497076E-3"/>
                  <c:y val="-2.1390368326984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45-4D35-9EE4-882C7E7CD688}"/>
                </c:ext>
              </c:extLst>
            </c:dLbl>
            <c:dLbl>
              <c:idx val="3"/>
              <c:layout>
                <c:manualLayout>
                  <c:x val="-8.5768989696134682E-17"/>
                  <c:y val="-2.13903683269840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45-4D35-9EE4-882C7E7CD688}"/>
                </c:ext>
              </c:extLst>
            </c:dLbl>
            <c:dLbl>
              <c:idx val="4"/>
              <c:layout>
                <c:manualLayout>
                  <c:x val="0"/>
                  <c:y val="-2.4955429714814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45-4D35-9EE4-882C7E7CD6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'фиг.6. bg 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'фиг.6. bg '!$B$9:$F$9</c:f>
              <c:numCache>
                <c:formatCode>0</c:formatCode>
                <c:ptCount val="5"/>
                <c:pt idx="0">
                  <c:v>143</c:v>
                </c:pt>
                <c:pt idx="1">
                  <c:v>153</c:v>
                </c:pt>
                <c:pt idx="2" formatCode="General">
                  <c:v>124</c:v>
                </c:pt>
                <c:pt idx="3">
                  <c:v>90</c:v>
                </c:pt>
                <c:pt idx="4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45-4D35-9EE4-882C7E7CD6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358879743"/>
        <c:axId val="358882655"/>
      </c:barChart>
      <c:catAx>
        <c:axId val="35887974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Брой</a:t>
                </a:r>
                <a:endParaRPr lang="en-GB" sz="800"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5.8642169728783902E-2"/>
              <c:y val="1.7181106871681593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58882655"/>
        <c:crosses val="autoZero"/>
        <c:auto val="1"/>
        <c:lblAlgn val="ctr"/>
        <c:lblOffset val="100"/>
        <c:noMultiLvlLbl val="0"/>
      </c:catAx>
      <c:valAx>
        <c:axId val="358882655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58879743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045512352193084"/>
          <c:w val="0.98160224708753507"/>
          <c:h val="4.95448764780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354A-1EEF-4E75-89A3-6CFBE8B9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Reni Petkova</cp:lastModifiedBy>
  <cp:revision>6</cp:revision>
  <cp:lastPrinted>2024-10-23T06:48:00Z</cp:lastPrinted>
  <dcterms:created xsi:type="dcterms:W3CDTF">2024-10-25T14:53:00Z</dcterms:created>
  <dcterms:modified xsi:type="dcterms:W3CDTF">2024-10-28T08:01:00Z</dcterms:modified>
</cp:coreProperties>
</file>