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5F99" w14:textId="35EFC293" w:rsidR="00301A12" w:rsidRDefault="00301A12" w:rsidP="00E245D5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От юли 2024 г. НСИ </w:t>
      </w:r>
      <w:bookmarkStart w:id="0" w:name="_GoBack"/>
      <w:bookmarkEnd w:id="0"/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публикува Индекси на цени на производител на вътрешния и международния пазар в промишлеността при базова година 2021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=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06C01157" w14:textId="1AEAF503" w:rsidR="00B66E79" w:rsidRPr="00C969F8" w:rsidRDefault="00B66E79" w:rsidP="00686E46">
      <w:pPr>
        <w:snapToGrid w:val="0"/>
        <w:spacing w:before="160" w:after="160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>ИНДЕКСИ НА ЦЕНИ НА ПРОИЗВОДИТЕЛ В ПРОМИШЛЕНОСТТА,</w:t>
      </w:r>
    </w:p>
    <w:p w14:paraId="1165E49D" w14:textId="7E1B9C86" w:rsidR="00B66E79" w:rsidRPr="0063027D" w:rsidRDefault="009B3D8C" w:rsidP="00AE4FF4">
      <w:pPr>
        <w:snapToGrid w:val="0"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</w:rPr>
        <w:t>СЕПТЕМВРИ</w:t>
      </w:r>
      <w:r w:rsidR="00E4192C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 </w:t>
      </w:r>
      <w:r w:rsidR="00B66E79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2024 ГОДИНА </w:t>
      </w:r>
    </w:p>
    <w:p w14:paraId="0D0022BF" w14:textId="77777777" w:rsidR="00B66E79" w:rsidRPr="0063027D" w:rsidRDefault="00B66E79" w:rsidP="00AE4FF4">
      <w:pPr>
        <w:numPr>
          <w:ilvl w:val="0"/>
          <w:numId w:val="1"/>
        </w:numPr>
        <w:spacing w:before="160" w:after="160" w:line="360" w:lineRule="auto"/>
        <w:ind w:left="0" w:firstLine="567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 индекс на цените на производител в промишлеността</w:t>
      </w:r>
    </w:p>
    <w:p w14:paraId="5941A658" w14:textId="75BAF1D1" w:rsidR="00B66E79" w:rsidRPr="0092422B" w:rsidRDefault="00B66E7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Общият индекс на цените на производител </w:t>
      </w:r>
      <w:r w:rsidR="0008760C">
        <w:rPr>
          <w:rFonts w:ascii="Verdana" w:hAnsi="Verdana"/>
          <w:sz w:val="20"/>
          <w:szCs w:val="20"/>
        </w:rPr>
        <w:t>намалява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08760C">
        <w:rPr>
          <w:rFonts w:ascii="Verdana" w:eastAsia="Μοντέρνα" w:hAnsi="Verdana" w:cs="Times New Roman"/>
          <w:sz w:val="20"/>
          <w:szCs w:val="20"/>
          <w:lang w:val="en-US" w:eastAsia="bg-BG"/>
        </w:rPr>
        <w:t>0.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A007C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предходния месец. 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По-ниски цени 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се наблюдава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производството и разпределението на електриче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ска и топлоенергия и газ 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1.8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349F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както 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>и в преработващата промишленост - с 0.8%,</w:t>
      </w:r>
      <w:r w:rsidR="008F146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докато</w:t>
      </w:r>
      <w:r w:rsidR="00A26962" w:rsidRPr="00AE4FF4">
        <w:rPr>
          <w:rFonts w:ascii="Verdana" w:hAnsi="Verdana"/>
          <w:sz w:val="20"/>
          <w:szCs w:val="20"/>
        </w:rPr>
        <w:t xml:space="preserve"> </w:t>
      </w:r>
      <w:r w:rsidR="00854F85">
        <w:rPr>
          <w:rFonts w:ascii="Verdana" w:hAnsi="Verdana"/>
          <w:sz w:val="20"/>
          <w:szCs w:val="20"/>
        </w:rPr>
        <w:t>в</w:t>
      </w:r>
      <w:r w:rsidR="00DE3DCC" w:rsidRPr="00AE4FF4">
        <w:rPr>
          <w:rFonts w:ascii="Verdana" w:hAnsi="Verdana"/>
          <w:sz w:val="20"/>
          <w:szCs w:val="20"/>
        </w:rPr>
        <w:t xml:space="preserve"> 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добивната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 </w:t>
      </w:r>
      <w:r w:rsidR="00DE3DCC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854F85">
        <w:rPr>
          <w:rFonts w:ascii="Verdana" w:eastAsia="Μοντέρνα" w:hAnsi="Verdana" w:cs="Times New Roman"/>
          <w:sz w:val="20"/>
          <w:szCs w:val="20"/>
          <w:lang w:val="en-US" w:eastAsia="bg-BG"/>
        </w:rPr>
        <w:t>регистрирано</w:t>
      </w:r>
      <w:r w:rsidR="00854F85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E6097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2.8%.</w:t>
      </w:r>
    </w:p>
    <w:p w14:paraId="46975735" w14:textId="4CCABF5A" w:rsidR="00B66E79" w:rsidRPr="00E60970" w:rsidRDefault="0008760C" w:rsidP="00AE4FF4">
      <w:pPr>
        <w:spacing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Понижение на цените в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преработващата промишленост </w:t>
      </w:r>
      <w:r w:rsidR="00917D44">
        <w:rPr>
          <w:rFonts w:ascii="Verdana" w:eastAsia="Μοντέρνα" w:hAnsi="Verdana" w:cs="Times New Roman"/>
          <w:sz w:val="20"/>
          <w:szCs w:val="20"/>
          <w:lang w:eastAsia="bg-BG"/>
        </w:rPr>
        <w:t>е</w:t>
      </w:r>
      <w:r w:rsidR="00917D44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</w:t>
      </w:r>
      <w:r w:rsidR="00917D44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917D44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6A160B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хартия, картон и из</w:t>
      </w:r>
      <w:r w:rsidR="00387CB8">
        <w:rPr>
          <w:rFonts w:ascii="Verdana" w:eastAsia="Μοντέρνα" w:hAnsi="Verdana" w:cs="Times New Roman"/>
          <w:sz w:val="20"/>
          <w:szCs w:val="20"/>
          <w:lang w:eastAsia="bg-BG"/>
        </w:rPr>
        <w:t>делия от хартия и картон - с 4.</w:t>
      </w:r>
      <w:r w:rsidR="00387CB8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6A16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дървен материал и изделия от него, без мебели - с 0.9%. 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71525B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цените се наблюдава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 </w:t>
      </w:r>
      <w:r w:rsidR="00FA5C07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автомобили, рема</w:t>
      </w:r>
      <w:r w:rsidR="00E245D5">
        <w:rPr>
          <w:rFonts w:ascii="Verdana" w:eastAsia="Μοντέρνα" w:hAnsi="Verdana" w:cs="Times New Roman"/>
          <w:sz w:val="20"/>
          <w:szCs w:val="20"/>
          <w:lang w:eastAsia="bg-BG"/>
        </w:rPr>
        <w:t>ркета и полуремаркета - с 2.2%,</w:t>
      </w:r>
      <w:r w:rsidR="00AE1A5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17D4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при </w:t>
      </w:r>
      <w:r w:rsidR="00FA5C07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облекло - с 0.9%.</w:t>
      </w:r>
    </w:p>
    <w:p w14:paraId="36F972E8" w14:textId="0AB7D14E" w:rsidR="00B66E79" w:rsidRPr="00E60970" w:rsidRDefault="00B66E7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индекс на цените на производител</w:t>
      </w:r>
      <w:r w:rsidR="00FA5C0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септември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</w:t>
      </w:r>
      <w:r w:rsidRPr="00E6097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FA5C07">
        <w:rPr>
          <w:rFonts w:ascii="Verdana" w:eastAsia="Times New Roman" w:hAnsi="Verdana" w:cs="Times New Roman"/>
          <w:sz w:val="20"/>
          <w:szCs w:val="20"/>
          <w:lang w:eastAsia="bg-BG"/>
        </w:rPr>
        <w:t>е с 0.8% под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нивото </w:t>
      </w:r>
      <w:r w:rsidR="00E9479E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същия месец на 2023 година. </w:t>
      </w:r>
      <w:r w:rsidR="00FA5C07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="00DE3DCC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цените е </w:t>
      </w:r>
      <w:r w:rsidR="003C6979" w:rsidRPr="00E60970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DE3DCC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преработващата промишленост - с 2.3%, а 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ръст 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>се наблюдава в до</w:t>
      </w:r>
      <w:r w:rsidR="00E245D5">
        <w:rPr>
          <w:rFonts w:ascii="Verdana" w:eastAsia="Times New Roman" w:hAnsi="Verdana" w:cs="Times New Roman"/>
          <w:sz w:val="20"/>
          <w:szCs w:val="20"/>
          <w:lang w:eastAsia="bg-BG"/>
        </w:rPr>
        <w:t>бивната промишленост - с 13.5%,</w:t>
      </w:r>
      <w:r w:rsidR="002754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>и при производството и разпределението на електрическа и топлоенергия и газ - с 1.6%.</w:t>
      </w:r>
    </w:p>
    <w:p w14:paraId="1ABA0247" w14:textId="3603BF04" w:rsidR="00B66E79" w:rsidRPr="0063027D" w:rsidRDefault="00917D4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на цените в преработва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>щата промишленост е регистриран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при: 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>обработка на кожи</w:t>
      </w:r>
      <w:r w:rsidR="002875C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; 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 на обувки и други изделия от обработени кожи без косъм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995C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10.3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>%, производство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дървен материал и изделия от него, без мебели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995C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6.6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химични продукти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995C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6.1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>%. По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>високи цени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при: 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мебели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995C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11.2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ремонта и инсталирането на машини и оборудване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995C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10.0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производството на </w:t>
      </w:r>
      <w:r w:rsidR="00995C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изделия от каучук и пластмаси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995CB0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95CB0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95CB0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CF62905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A908CBE" w14:textId="77777777" w:rsidR="00AE6F60" w:rsidRPr="0063027D" w:rsidRDefault="00AE6F60" w:rsidP="001D648B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1. Общ индекс на цените на производител в промишлеността</w:t>
      </w:r>
    </w:p>
    <w:p w14:paraId="56742C77" w14:textId="40861782" w:rsidR="004760D3" w:rsidRPr="008153C0" w:rsidRDefault="00F23A91">
      <w:pPr>
        <w:keepNext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="00AE6F60"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  <w:r w:rsidR="008153C0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41DAAA18" w14:textId="2DA175CC" w:rsidR="004760D3" w:rsidRPr="004760D3" w:rsidRDefault="002635CA" w:rsidP="004760D3">
      <w:pPr>
        <w:rPr>
          <w:rFonts w:eastAsia="Μοντέρνα" w:cs="Times New Roman"/>
          <w:szCs w:val="20"/>
          <w:lang w:val="ru-RU" w:eastAsia="bg-BG"/>
        </w:rPr>
      </w:pPr>
      <w:r>
        <w:rPr>
          <w:rFonts w:eastAsia="Μοντέρνα" w:cs="Times New Roman"/>
          <w:noProof/>
          <w:szCs w:val="20"/>
          <w:lang w:eastAsia="bg-BG"/>
        </w:rPr>
        <w:drawing>
          <wp:inline distT="0" distB="0" distL="0" distR="0" wp14:anchorId="79106811" wp14:editId="3EEC07D2">
            <wp:extent cx="5624195" cy="36502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138" cy="3704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C44E4" w14:textId="77777777" w:rsidR="00B66E79" w:rsidRPr="00B66E79" w:rsidRDefault="00B66E79" w:rsidP="00AE4FF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AE6F60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Индекси на цените на производител на вътрешния пазар</w:t>
      </w:r>
    </w:p>
    <w:p w14:paraId="5DABC76D" w14:textId="36D822F1" w:rsidR="00B66E79" w:rsidRPr="00AE7948" w:rsidRDefault="00B66E7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Индексът на цените на производител на вътрешния пазар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>се понижава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>0.6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през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септември </w:t>
      </w:r>
      <w:r w:rsidR="008B7A9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2024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>спрямо август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година.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се наблюдава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преработващата промишленост </w:t>
      </w:r>
      <w:r w:rsidR="00BA10F1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0.7%, и при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и разпределението на електрическа и топлоенергия и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газ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0.6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t>В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отчетено повишение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0.2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220E9051" w14:textId="56781E17" w:rsidR="004760D3" w:rsidRPr="00AE7948" w:rsidRDefault="002F7535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По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ниски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в преработващата промишленост 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регистрирани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при: </w:t>
      </w:r>
      <w:r w:rsidR="00B743C1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B743C1" w:rsidRPr="00B743C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B743C1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B743C1" w:rsidRPr="00B743C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дървен материал и изделия от него, без мебели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387CB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387CB8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BA10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1.2%, ремонта и инсталирането на машини и оборудване - с 0.6%.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Нарастване на цените е отчетено при: </w:t>
      </w:r>
      <w:r w:rsidR="00BA10F1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текстил и изделия от текстил, без облекло - с 0.8%, производството на химични продукти - с 0.4%.</w:t>
      </w:r>
    </w:p>
    <w:p w14:paraId="23C34699" w14:textId="3233AAF0" w:rsidR="00B66E79" w:rsidRPr="00AE7948" w:rsidRDefault="00B66E79" w:rsidP="00B0335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Индексът на цените на производител на вътрешния пазар</w:t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намалява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>7% в сравнение със септември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година. </w:t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>Понижение</w:t>
      </w:r>
      <w:r w:rsidR="00854F85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на цените е отчетен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в</w:t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преработващата промишленост - с 2.8%, а повишение в</w:t>
      </w:r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добивната промишленост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>с 11.3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1D0DF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както 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 на електрическа и топлоенергия и газ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0.7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%. </w:t>
      </w:r>
    </w:p>
    <w:p w14:paraId="077F2B1A" w14:textId="7EC3BAC8" w:rsidR="009A684B" w:rsidRDefault="001D0DF2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8E66B4">
        <w:rPr>
          <w:rFonts w:ascii="Verdana" w:eastAsia="Times New Roman" w:hAnsi="Verdana" w:cs="Times New Roman"/>
          <w:sz w:val="20"/>
          <w:szCs w:val="20"/>
          <w:lang w:eastAsia="bg-BG"/>
        </w:rPr>
        <w:t>септември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по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>ниски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в преработващата промишленост </w:t>
      </w:r>
      <w:r w:rsidR="008471C4" w:rsidRPr="008471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спрямо септември 2023 г. 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>са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регистриран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лекарствени вещества и 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продукти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8E6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 7.9%, производството на дървен материал и изделия от него, без мебели - със 7.8%, производството на химични продукти - с 6.3%.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Ръст на цените е отчетен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</w:t>
      </w:r>
      <w:r w:rsidR="00E83B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текстил и изделия от текстил, без облекло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E64A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9.</w:t>
      </w:r>
      <w:r w:rsidR="00E64A09">
        <w:rPr>
          <w:rFonts w:ascii="Verdana" w:eastAsia="Times New Roman" w:hAnsi="Verdana" w:cs="Times New Roman"/>
          <w:sz w:val="20"/>
          <w:szCs w:val="20"/>
          <w:lang w:val="en-US" w:eastAsia="bg-BG"/>
        </w:rPr>
        <w:t>7</w:t>
      </w:r>
      <w:r w:rsidR="00E83B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ремонта и инсталирането на машини и оборудване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E64A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8.</w:t>
      </w:r>
      <w:r w:rsidR="00E64A09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="00E64A09">
        <w:rPr>
          <w:rFonts w:ascii="Verdana" w:eastAsia="Times New Roman" w:hAnsi="Verdana" w:cs="Times New Roman"/>
          <w:sz w:val="20"/>
          <w:szCs w:val="20"/>
          <w:lang w:eastAsia="bg-BG"/>
        </w:rPr>
        <w:t>%, производството на автомобили, ремаркета и полуремаркета - със 7.5%.</w:t>
      </w:r>
    </w:p>
    <w:p w14:paraId="033C6DA9" w14:textId="35D7334F" w:rsidR="00B021C2" w:rsidRDefault="00B66E79" w:rsidP="00EB1308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Pr="007717CE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. Индекси на цените на пр</w:t>
      </w:r>
      <w:r w:rsidR="00846FF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оизводител на вътрешния пазар в 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промишлеността</w:t>
      </w:r>
      <w:r w:rsid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F23A91"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</w:t>
      </w:r>
      <w:r w:rsidR="00846FF5" w:rsidRPr="00846FF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100) </w:t>
      </w:r>
    </w:p>
    <w:p w14:paraId="1BD83F8F" w14:textId="2D5751B5" w:rsidR="002635CA" w:rsidRDefault="002635CA" w:rsidP="00EB1308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59A2869B" wp14:editId="749A27F8">
            <wp:extent cx="5805100" cy="4688840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98" cy="469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2A4A" w14:textId="6FF41E54" w:rsidR="00B66E79" w:rsidRPr="00B66E79" w:rsidRDefault="00B66E79" w:rsidP="00A2553A">
      <w:pPr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. Индекси на цените на производител на международния пазар</w:t>
      </w:r>
    </w:p>
    <w:p w14:paraId="62CA0623" w14:textId="505BE07F" w:rsidR="008153C0" w:rsidRPr="00B411B6" w:rsidRDefault="00B66E79" w:rsidP="00B411B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Индексът на цените на производител на международния пазар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F5513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="00D06B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122E02">
        <w:rPr>
          <w:rFonts w:ascii="Verdana" w:eastAsia="Μοντέρνα" w:hAnsi="Verdana" w:cs="Times New Roman"/>
          <w:sz w:val="20"/>
          <w:szCs w:val="20"/>
          <w:lang w:val="en-US" w:eastAsia="bg-BG"/>
        </w:rPr>
        <w:t>1.0</w:t>
      </w:r>
      <w:r w:rsidR="007B138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през </w:t>
      </w:r>
      <w:r w:rsidR="00122E02"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предходния месец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22E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>спрямо съответния месец на 2023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="009765F4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7B5A61D4" w14:textId="178DEAFA" w:rsidR="00D06B2B" w:rsidRDefault="00D06B2B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3A7C427A" w14:textId="77777777" w:rsidR="00917D44" w:rsidRDefault="00917D44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5567EF2F" w14:textId="582D9149" w:rsidR="00B66E79" w:rsidRPr="00326A06" w:rsidRDefault="00B66E79" w:rsidP="00A2553A">
      <w:pPr>
        <w:keepNext/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326A06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F4FD0F1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326A06">
        <w:rPr>
          <w:rFonts w:ascii="Verdana" w:hAnsi="Verdana"/>
          <w:lang w:val="ru-RU"/>
        </w:rPr>
        <w:t>.</w:t>
      </w:r>
      <w:r w:rsidRPr="00326A06">
        <w:rPr>
          <w:rFonts w:ascii="Verdana" w:hAnsi="Verdana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040F727D" w14:textId="453E3DCA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326A06">
        <w:rPr>
          <w:rFonts w:ascii="Verdana" w:hAnsi="Verdana"/>
          <w:lang w:val="ru-RU"/>
        </w:rPr>
        <w:t xml:space="preserve"> </w:t>
      </w:r>
      <w:r w:rsidRPr="00326A06">
        <w:rPr>
          <w:rFonts w:ascii="Verdana" w:hAnsi="Verdana"/>
        </w:rPr>
        <w:t>претеглени със структурата на оборота на вътрешния и на международния пазар към</w:t>
      </w:r>
      <w:r w:rsidR="001B648E">
        <w:rPr>
          <w:rFonts w:ascii="Verdana" w:hAnsi="Verdana"/>
        </w:rPr>
        <w:t xml:space="preserve"> общия оборот през базисната 2021</w:t>
      </w:r>
      <w:r w:rsidRPr="00326A06">
        <w:rPr>
          <w:rFonts w:ascii="Verdana" w:hAnsi="Verdana"/>
        </w:rPr>
        <w:t xml:space="preserve"> година.</w:t>
      </w:r>
    </w:p>
    <w:p w14:paraId="5FA7DD15" w14:textId="20DA6062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вътрешния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Pr="00326A0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вътрешния пазар</w:t>
      </w:r>
      <w:r w:rsidR="00326A06">
        <w:rPr>
          <w:rFonts w:ascii="Verdana" w:hAnsi="Verdana"/>
        </w:rPr>
        <w:t>.</w:t>
      </w:r>
    </w:p>
    <w:p w14:paraId="45D946E5" w14:textId="74B04480" w:rsidR="00B66E79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международния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="006B1DE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международния пазар.</w:t>
      </w:r>
    </w:p>
    <w:p w14:paraId="30DEC376" w14:textId="3E372383" w:rsidR="00686E46" w:rsidRPr="00CB7E9F" w:rsidRDefault="00686E46" w:rsidP="00042FBB">
      <w:pPr>
        <w:pStyle w:val="CommentText"/>
        <w:spacing w:line="360" w:lineRule="auto"/>
        <w:ind w:firstLine="567"/>
        <w:jc w:val="both"/>
        <w:rPr>
          <w:rFonts w:ascii="Verdana" w:hAnsi="Verdana"/>
        </w:rPr>
      </w:pPr>
      <w:r w:rsidRPr="00CB7E9F">
        <w:rPr>
          <w:rFonts w:ascii="Verdana" w:hAnsi="Verdana"/>
        </w:rPr>
        <w:t>От юли 2024</w:t>
      </w:r>
      <w:r w:rsidR="006D1B1F">
        <w:rPr>
          <w:rFonts w:ascii="Verdana" w:hAnsi="Verdana"/>
        </w:rPr>
        <w:t xml:space="preserve"> </w:t>
      </w:r>
      <w:r w:rsidRPr="00CB7E9F">
        <w:rPr>
          <w:rFonts w:ascii="Verdana" w:hAnsi="Verdana"/>
        </w:rPr>
        <w:t>г. всички динамични редове са преизчислени при база 2021 г. и са публикувани в ИС Инфостат.</w:t>
      </w:r>
    </w:p>
    <w:p w14:paraId="2BCFA68A" w14:textId="77777777" w:rsidR="00686E46" w:rsidRPr="00326A06" w:rsidRDefault="00686E46" w:rsidP="00326A06">
      <w:pPr>
        <w:pStyle w:val="BodyText"/>
        <w:spacing w:line="360" w:lineRule="auto"/>
        <w:ind w:firstLine="567"/>
        <w:jc w:val="both"/>
        <w:rPr>
          <w:rFonts w:ascii="Verdana" w:hAnsi="Verdana"/>
          <w:lang w:val="ru-RU"/>
        </w:rPr>
      </w:pPr>
    </w:p>
    <w:p w14:paraId="3B8197F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5B05B63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9AED1B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AF15F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1EB8EE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D7429D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23481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90958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C47444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5AD3F06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257BFB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B62B6F5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511A90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18D303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08008FE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AE5F60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31B5668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CED01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F4E043F" w14:textId="77777777" w:rsidR="00B66E79" w:rsidRPr="00B66E79" w:rsidRDefault="00B66E79" w:rsidP="00AE4FF4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3F05AE2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57F773D2" w14:textId="4A7EE5FF" w:rsidR="00B66E79" w:rsidRDefault="000559B4" w:rsidP="00A2553A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бщ индекс на ц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</w:t>
      </w:r>
      <w:r w:rsidR="009B3D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ните на производител през септември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="00B66E79"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409"/>
        <w:gridCol w:w="1278"/>
        <w:gridCol w:w="1757"/>
        <w:gridCol w:w="1563"/>
      </w:tblGrid>
      <w:tr w:rsidR="00A2553A" w:rsidRPr="00B66E79" w14:paraId="3A991F1E" w14:textId="77777777" w:rsidTr="00F807F0">
        <w:trPr>
          <w:trHeight w:val="62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8086C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4F27EE00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5CE0" w14:textId="510F0D78" w:rsidR="00A2553A" w:rsidRPr="00F856E7" w:rsidRDefault="00D80173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A2553A"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0C11E647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0A9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360C4615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606F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F807F0" w:rsidRPr="00B66E79" w14:paraId="6BC9AC12" w14:textId="77777777" w:rsidTr="00F807F0">
        <w:trPr>
          <w:trHeight w:val="193"/>
        </w:trPr>
        <w:tc>
          <w:tcPr>
            <w:tcW w:w="4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B9BAA" w14:textId="22B30506" w:rsidR="00F807F0" w:rsidRPr="00F856E7" w:rsidRDefault="00F807F0" w:rsidP="00F807F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F9376" w14:textId="6416BC79" w:rsidR="00F807F0" w:rsidRPr="00F807F0" w:rsidRDefault="00F807F0" w:rsidP="00F807F0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122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E8F361" w14:textId="10A1BD9A" w:rsidR="00F807F0" w:rsidRPr="00F807F0" w:rsidRDefault="00F807F0" w:rsidP="00F807F0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D9E17" w14:textId="5D89C1A5" w:rsidR="00F807F0" w:rsidRPr="00F807F0" w:rsidRDefault="00F807F0" w:rsidP="00F807F0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807F0" w:rsidRPr="00B66E79" w14:paraId="22C7FB5A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DB0D8D" w14:textId="77777777" w:rsidR="00F807F0" w:rsidRPr="00F856E7" w:rsidRDefault="00F807F0" w:rsidP="00F807F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399FD" w14:textId="071FFBF9" w:rsidR="00F807F0" w:rsidRPr="00F807F0" w:rsidRDefault="00F807F0" w:rsidP="00F807F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122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57487D" w14:textId="70E0DA72" w:rsidR="00F807F0" w:rsidRPr="00F807F0" w:rsidRDefault="00F807F0" w:rsidP="00F807F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4CB7C" w14:textId="1D5067A5" w:rsidR="00F807F0" w:rsidRPr="00F807F0" w:rsidRDefault="00F807F0" w:rsidP="00F807F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113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807F0" w:rsidRPr="00B66E79" w14:paraId="6EB2A789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027460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7680F" w14:textId="511D00CC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FD18D" w14:textId="7D5382E0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700B6" w14:textId="22BC2F21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F807F0" w:rsidRPr="00B66E79" w14:paraId="136F6468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D23691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445FF" w14:textId="33B40F53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E2200" w14:textId="6AF6419A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B3615" w14:textId="168DBDD2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807F0" w:rsidRPr="00B66E79" w14:paraId="3A55B493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36B9CE2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E5F4C" w14:textId="46021E94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AAE3E" w14:textId="6B48B3D1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0B4CE1" w14:textId="3BCDBD01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F807F0" w:rsidRPr="00B66E79" w14:paraId="07E2F59B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FD42EC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FD1135" w14:textId="06168B49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147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89DDF1" w14:textId="49076F60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44F87" w14:textId="469917CE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F807F0" w:rsidRPr="00B66E79" w14:paraId="4DF955DE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F4E2F3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33B20" w14:textId="634426C1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012F7" w14:textId="4936F1C6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46D7D" w14:textId="26EEC445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807F0" w:rsidRPr="00B66E79" w14:paraId="1D48A1AE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601178" w14:textId="77777777" w:rsidR="00F807F0" w:rsidRPr="00F856E7" w:rsidRDefault="00F807F0" w:rsidP="00F807F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110C" w14:textId="2AED871B" w:rsidR="00F807F0" w:rsidRPr="00F807F0" w:rsidRDefault="00F807F0" w:rsidP="00F807F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122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9B4EE" w14:textId="122468C2" w:rsidR="00F807F0" w:rsidRPr="00F807F0" w:rsidRDefault="00F807F0" w:rsidP="00F807F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ED173" w14:textId="47F4AC94" w:rsidR="00F807F0" w:rsidRPr="00F807F0" w:rsidRDefault="00F807F0" w:rsidP="00F807F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97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807F0" w:rsidRPr="00B66E79" w14:paraId="3AFC5646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6F5F44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A65904" w14:textId="01D748AC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1D9D2" w14:textId="493309DC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E58BB" w14:textId="50BA810F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F807F0" w:rsidRPr="00B66E79" w14:paraId="5440C3AB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86975D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69C61E" w14:textId="58C2BE1C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24624" w14:textId="5F64F233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9935F" w14:textId="57E03406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F807F0" w:rsidRPr="00B66E79" w14:paraId="6F9BB328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9F5F0C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E26BA" w14:textId="17BE0D71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07F77" w14:textId="7E35B11B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6E687" w14:textId="0266821B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807F0" w:rsidRPr="00B66E79" w14:paraId="7BD7F7EB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34ED4F" w14:textId="10DA1CF4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0B934" w14:textId="0CB09270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DE0FF" w14:textId="399AB483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D800F" w14:textId="77646FD0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F807F0" w:rsidRPr="00B66E79" w14:paraId="1EFD06F9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4EE829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2D350E" w14:textId="0D69ECB6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90A7D" w14:textId="7F1A54B8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44449" w14:textId="1CA52E3F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807F0" w:rsidRPr="00B66E79" w14:paraId="3C4C01D3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013D05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EDC5C" w14:textId="477071E0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A86C7F" w14:textId="00108A62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70B05" w14:textId="5774BFFD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89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807F0" w:rsidRPr="00B66E79" w14:paraId="093A73CE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EEDE2F" w14:textId="39441A31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E8571" w14:textId="70CACDA9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22E1F" w14:textId="202C74A3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02E95" w14:textId="580A4479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807F0" w:rsidRPr="00B66E79" w14:paraId="5A82015D" w14:textId="77777777" w:rsidTr="00F807F0">
        <w:trPr>
          <w:trHeight w:val="402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795378" w14:textId="56DEC940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картон и изделия от хартия и картон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3EDD3" w14:textId="13C71FB6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77938" w14:textId="5263ACAF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20A59" w14:textId="0BBE067F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807F0" w:rsidRPr="00B66E79" w14:paraId="152E652B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7B3503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D80F8" w14:textId="55EAB871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96B81" w14:textId="1B7CF922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E23A8" w14:textId="5834F43D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807F0" w:rsidRPr="00B66E79" w14:paraId="3CF4CB34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EBEBAD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BD2983" w14:textId="40125746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E3C03" w14:textId="2B569027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12C7C" w14:textId="159F2302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807F0" w:rsidRPr="00B66E79" w14:paraId="7CBE4B13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246D2C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CFE50" w14:textId="1CA76738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3507EB" w14:textId="7B7A3130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DBFCD" w14:textId="57ADC588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F807F0" w:rsidRPr="00B66E79" w14:paraId="5C88AB61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531CE7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88D48" w14:textId="5A68CDD8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0C1F2" w14:textId="2228E59F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3D42FE" w14:textId="32B2DFE0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807F0" w:rsidRPr="00B66E79" w14:paraId="5D9449FF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39FAE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B177DB" w14:textId="10546947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FD564" w14:textId="273CE17F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A3D16" w14:textId="31B390FB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807F0" w:rsidRPr="00B66E79" w14:paraId="12981264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E7A776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101BF3" w14:textId="2F393755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D416C" w14:textId="192E3844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93A7B9" w14:textId="4DB6A2E1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807F0" w:rsidRPr="00B66E79" w14:paraId="659BE13C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F063681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5EB32" w14:textId="3A16C60D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CD294" w14:textId="3FC1351C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274372" w14:textId="6906A552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F807F0" w:rsidRPr="00B66E79" w14:paraId="2333A102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CB54E" w14:textId="3D6755AC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44A7F" w14:textId="10347E04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AF02F" w14:textId="1A3077AD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D1344" w14:textId="66A754F4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F807F0" w:rsidRPr="00B66E79" w14:paraId="2E6B7BFC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B48FB7" w14:textId="7965C6FD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електронни и оптични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A059F" w14:textId="4E1DEBBD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669B1" w14:textId="51FE4C7F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1AFB2" w14:textId="3EC6AD50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807F0" w:rsidRPr="00B66E79" w14:paraId="66687A83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80323C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410C6" w14:textId="25075762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441D6" w14:textId="1E1F22DE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E9AA3" w14:textId="4D11CBD9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F807F0" w:rsidRPr="00B66E79" w14:paraId="478DB768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30CF60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08345" w14:textId="78C61F47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8CF66" w14:textId="25A8A2B6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95405" w14:textId="2C8353F4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F807F0" w:rsidRPr="00B66E79" w14:paraId="66ED907F" w14:textId="77777777" w:rsidTr="00F807F0">
        <w:trPr>
          <w:trHeight w:val="325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1FC01" w14:textId="48CFD7F8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ремаркета и полуремаркета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D896F" w14:textId="30324843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E1D59" w14:textId="694182DE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8B7BF" w14:textId="5BE4D5C8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807F0" w:rsidRPr="00B66E79" w14:paraId="709B4AEF" w14:textId="77777777" w:rsidTr="00F807F0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CD459B" w14:textId="2B9F5C5A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автомобили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4339C" w14:textId="2B2078E5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6CBB84" w14:textId="5319EB1F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29A9C" w14:textId="25E6511E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807F0" w:rsidRPr="00B66E79" w14:paraId="7E187225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96B221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C66D9" w14:textId="736EEF0D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140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42318E" w14:textId="0CE3B96C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DA33" w14:textId="4B42633E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F807F0" w:rsidRPr="00B66E79" w14:paraId="140DB18A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DFDFFE" w14:textId="444645B8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некласифицирано другаде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0D223" w14:textId="24216F72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A71C4" w14:textId="6F67E1E1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DB3901" w14:textId="7E922D3D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807F0" w:rsidRPr="00B66E79" w14:paraId="380638B9" w14:textId="77777777" w:rsidTr="00F807F0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60AE88" w14:textId="77777777" w:rsidR="00F807F0" w:rsidRPr="00F856E7" w:rsidRDefault="00F807F0" w:rsidP="00F807F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8879" w14:textId="1E8E7A6B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4678B" w14:textId="1CFABBBF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51451" w14:textId="2D93C8C1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807F0" w:rsidRPr="00B66E79" w14:paraId="22F61F0F" w14:textId="77777777" w:rsidTr="00F807F0">
        <w:trPr>
          <w:trHeight w:val="402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ECB1" w14:textId="77777777" w:rsidR="00F807F0" w:rsidRPr="00F856E7" w:rsidRDefault="00F807F0" w:rsidP="00F807F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73A2F" w14:textId="17CB88E2" w:rsidR="00F807F0" w:rsidRPr="00F807F0" w:rsidRDefault="00F807F0" w:rsidP="00F807F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121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00EE4" w14:textId="7087CC3A" w:rsidR="00F807F0" w:rsidRPr="00F807F0" w:rsidRDefault="00F807F0" w:rsidP="00F807F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8174B" w14:textId="4E34BBE5" w:rsidR="00F807F0" w:rsidRPr="00F807F0" w:rsidRDefault="00F807F0" w:rsidP="00F807F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5F0B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807F0" w:rsidRPr="00B66E79" w14:paraId="6FE8D6F4" w14:textId="77777777" w:rsidTr="00F80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3FD0" w14:textId="77777777" w:rsidR="00F807F0" w:rsidRPr="00F856E7" w:rsidRDefault="00F807F0" w:rsidP="00F807F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2705B2" w14:textId="7CE88CD5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27686" w14:textId="52099EA2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9CC13" w14:textId="68002652" w:rsidR="00F807F0" w:rsidRPr="00F807F0" w:rsidRDefault="00F807F0" w:rsidP="00F807F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5F0BBE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807F0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</w:tbl>
    <w:p w14:paraId="528B40F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58B6266F" w14:textId="3D767945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</w:t>
      </w:r>
      <w:r w:rsidR="009B3D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л на вътрешния пазар през септември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B66E79" w:rsidRPr="00B66E79" w14:paraId="1F79F052" w14:textId="77777777" w:rsidTr="00A41067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6416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25922F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E805" w14:textId="569F7AA8" w:rsidR="00B66E79" w:rsidRPr="0042667B" w:rsidRDefault="00D80173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2082E494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D6A9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6E42E383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BCB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A41067" w:rsidRPr="00B66E79" w14:paraId="5B1CAD27" w14:textId="77777777" w:rsidTr="00A41067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54EC3" w14:textId="1BBB5649" w:rsidR="00A41067" w:rsidRPr="0042667B" w:rsidRDefault="00A41067" w:rsidP="00A41067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AB4190" w14:textId="6AA7474E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125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FF3065" w14:textId="0B97D0F6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F04890" w14:textId="5F25F003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41067" w:rsidRPr="00B66E79" w14:paraId="7D3BEE76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A022" w14:textId="77777777" w:rsidR="00A41067" w:rsidRPr="0042667B" w:rsidRDefault="00A41067" w:rsidP="00A41067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AB38EF" w14:textId="5CA910B1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3D09C" w14:textId="2CAB9188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6DBD2" w14:textId="35E4490A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111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41067" w:rsidRPr="00B66E79" w14:paraId="7BDBB35C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29B6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A52D45" w14:textId="6ED8022E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C6772C" w14:textId="1DB388B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D6BB49" w14:textId="163711F3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A41067" w:rsidRPr="00B66E79" w14:paraId="231796E3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CDA71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D4EB01" w14:textId="33D7A8C2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4869EA" w14:textId="73E4EE0C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142D37" w14:textId="32BE8869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A41067" w:rsidRPr="00B66E79" w14:paraId="3C9263E4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3843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EF4C37" w14:textId="5E986AE6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4BA6B5" w14:textId="1CCB9799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474799" w14:textId="1E6160BC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A41067" w:rsidRPr="00B66E79" w14:paraId="65EF65F5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FB37" w14:textId="77777777" w:rsidR="00A41067" w:rsidRPr="0042667B" w:rsidRDefault="00A41067" w:rsidP="00A41067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C86191" w14:textId="7D729D9F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53E9CB" w14:textId="06C68635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3CDCCD" w14:textId="3ACDE91E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A41067" w:rsidRPr="00B66E79" w14:paraId="5D669458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5EC4" w14:textId="77777777" w:rsidR="00A41067" w:rsidRPr="006B56F9" w:rsidRDefault="00A41067" w:rsidP="00A41067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6B56F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6B5B38" w14:textId="14B62D95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976144" w14:textId="0331DD8E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7B332A" w14:textId="3968AF6C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A41067" w:rsidRPr="00B66E79" w14:paraId="6728CACE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D5C0" w14:textId="77777777" w:rsidR="00A41067" w:rsidRPr="0042667B" w:rsidRDefault="00A41067" w:rsidP="00A41067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60229" w14:textId="518BA9AF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130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BDCFD0" w14:textId="0DCA25D4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DA2E22" w14:textId="45DE38E8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97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41067" w:rsidRPr="00B66E79" w14:paraId="245E6538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35BA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8EE1D5" w14:textId="26960EE4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7A8A3B" w14:textId="30477549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16022D" w14:textId="504906C8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A41067" w:rsidRPr="00B66E79" w14:paraId="2F1FADC1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EC42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3D94CA" w14:textId="38EBAE55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81EA09" w14:textId="1B18BB02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C679C" w14:textId="4E5A5DCD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A41067" w:rsidRPr="00B66E79" w14:paraId="07758D09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99609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DDB7B4" w14:textId="71553385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DD4589" w14:textId="1730B820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C18E1B" w14:textId="7DEE0480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A41067" w:rsidRPr="00B66E79" w14:paraId="596DF80D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042F9" w14:textId="374AD1FC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626D8" w14:textId="5F8F01D5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D04E2" w14:textId="2681E497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138D4" w14:textId="115EDC7C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A41067" w:rsidRPr="00B66E79" w14:paraId="41F6EA25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FF29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36AC14" w14:textId="75D6A133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742932" w14:textId="1A3B92AB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5D4A45" w14:textId="2140C37B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A41067" w:rsidRPr="00B66E79" w14:paraId="495CA8AF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1664F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EA882" w14:textId="6C7F7EC9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138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D36BD4" w14:textId="3D74B17C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DC6D5E" w14:textId="229FB77D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A41067" w:rsidRPr="00B66E79" w14:paraId="3A0198F3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0CE2" w14:textId="79B149E5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ървен материал и изделия от него,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ADC45" w14:textId="382E6FA2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11650" w14:textId="42B63C87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1E457" w14:textId="255FFD4B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A41067" w:rsidRPr="00B66E79" w14:paraId="5A95027E" w14:textId="77777777" w:rsidTr="00A41067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76B8" w14:textId="4D30E200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B865E1" w14:textId="602E9373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95E4E" w14:textId="7A121361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1389A9" w14:textId="3087CC5E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A41067" w:rsidRPr="00B66E79" w14:paraId="5A9AFD3F" w14:textId="77777777" w:rsidTr="00A41067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7D68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10CC42" w14:textId="24C2FB05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78D2C6" w14:textId="5EA3058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3AC4C2" w14:textId="729D2065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A41067" w:rsidRPr="00B66E79" w14:paraId="57D00BC7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251A0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224A5" w14:textId="7E1C9A0D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4864A" w14:textId="2DA8E154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908F23" w14:textId="1F7FFB50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A41067" w:rsidRPr="00B66E79" w14:paraId="3329B830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0B7DE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7AB30B" w14:textId="0A30296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3355FB" w14:textId="30B4B809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7665BD" w14:textId="0DDAF62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A41067" w:rsidRPr="00B66E79" w14:paraId="2FD9DD19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993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0F8D3" w14:textId="6E15BCF9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68A20" w14:textId="5557C7EF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DAE70" w14:textId="20F32B98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A41067" w:rsidRPr="00B66E79" w14:paraId="582C7F47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3DCD3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3B7534" w14:textId="494D5257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0C0A9C" w14:textId="091FC3A7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FFB76B" w14:textId="17EF72BE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A41067" w:rsidRPr="00B66E79" w14:paraId="2DE97495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BA6DA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CCDCA" w14:textId="724117A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F9AFF" w14:textId="2A423E97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9EF98" w14:textId="01FB2A34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A41067" w:rsidRPr="00B66E79" w14:paraId="7BB53F3C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A5437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DA4E3" w14:textId="4046C18C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DB6951" w14:textId="1B63901E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63FB87" w14:textId="79DA5267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A41067" w:rsidRPr="00B66E79" w14:paraId="6D23FAEC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7CECA" w14:textId="149290C5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D50E1A" w14:textId="058A72A8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B285" w14:textId="50344067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F5F34" w14:textId="1986333D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A41067" w:rsidRPr="00B66E79" w14:paraId="524186D1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0FF2" w14:textId="0BAFBCB4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967314" w14:textId="5CE7D666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C9C101" w14:textId="46FD4A84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DE4DC" w14:textId="4AA9710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A41067" w:rsidRPr="00B66E79" w14:paraId="1A708E0C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DD0ED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A4D522" w14:textId="4BE4EDC2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916CAB" w14:textId="698535D8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02A493" w14:textId="6D3F9A69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A41067" w:rsidRPr="00B66E79" w14:paraId="77EE896F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61263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FC4A5C" w14:textId="4E6B01BB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BDA8EE" w14:textId="27370890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066F74" w14:textId="2E66EC83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A41067" w:rsidRPr="00B66E79" w14:paraId="1241504D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4E6E" w14:textId="729911E8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ремаркета и полуремаркета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9C830A" w14:textId="4848F58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5BEF80" w14:textId="1C303785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FC54E" w14:textId="0D679617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A41067" w:rsidRPr="00B66E79" w14:paraId="58F14A1D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26353" w14:textId="2F3314C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9960B0" w14:textId="0EC25D9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1F0B64" w14:textId="5E0449D4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4D1CC" w14:textId="12DEA06E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A41067" w:rsidRPr="00B66E79" w14:paraId="1B30027F" w14:textId="77777777" w:rsidTr="00A41067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0D8E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D5E451" w14:textId="404D0DB4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4C833" w14:textId="37A52C98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A11F07" w14:textId="5DAF1022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A41067" w:rsidRPr="00B66E79" w14:paraId="22A3782A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8965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8FB790" w14:textId="41FE791D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820148" w14:textId="51A19063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77E545" w14:textId="716CA2F1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A41067" w:rsidRPr="00B66E79" w14:paraId="3E00482C" w14:textId="77777777" w:rsidTr="00A4106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A38B" w14:textId="77777777" w:rsidR="00A41067" w:rsidRPr="0042667B" w:rsidRDefault="00A41067" w:rsidP="00A4106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A005DB" w14:textId="23D3456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0D6DDC" w14:textId="66BEAA8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3C7FD1" w14:textId="664438C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A41067" w:rsidRPr="00B66E79" w14:paraId="678DD0B0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9242" w14:textId="77777777" w:rsidR="00A41067" w:rsidRPr="0042667B" w:rsidRDefault="00A41067" w:rsidP="00A41067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40B262" w14:textId="258EB400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118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085396" w14:textId="1748FBBF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B703E" w14:textId="07E99BEA" w:rsidR="00A41067" w:rsidRPr="000261AC" w:rsidRDefault="00A41067" w:rsidP="00A4106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41067" w:rsidRPr="00B66E79" w14:paraId="7C411839" w14:textId="77777777" w:rsidTr="00A41067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EBCB" w14:textId="77777777" w:rsidR="00A41067" w:rsidRPr="0042667B" w:rsidRDefault="00A41067" w:rsidP="00A41067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1AE41" w14:textId="662C538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6AF7B" w14:textId="72364B7A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E6E08B" w14:textId="48A3A91D" w:rsidR="00A41067" w:rsidRPr="000261AC" w:rsidRDefault="00A41067" w:rsidP="00A4106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</w:tbl>
    <w:p w14:paraId="684B39D7" w14:textId="77777777" w:rsidR="00F44F9E" w:rsidRDefault="00F44F9E" w:rsidP="00F44F9E">
      <w:pPr>
        <w:widowControl w:val="0"/>
        <w:autoSpaceDE w:val="0"/>
        <w:autoSpaceDN w:val="0"/>
      </w:pPr>
    </w:p>
    <w:p w14:paraId="28F6E61E" w14:textId="77777777" w:rsidR="00F44F9E" w:rsidRDefault="00F44F9E" w:rsidP="00F44F9E">
      <w:pPr>
        <w:widowControl w:val="0"/>
        <w:autoSpaceDE w:val="0"/>
        <w:autoSpaceDN w:val="0"/>
        <w:spacing w:before="160" w:after="16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2E6CDCA" w14:textId="77777777" w:rsidR="00B66E79" w:rsidRPr="00B66E79" w:rsidRDefault="00B66E79" w:rsidP="00A2553A">
      <w:pPr>
        <w:keepNext/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Таблица </w:t>
      </w:r>
      <w:r w:rsidRPr="00B66E7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</w:p>
    <w:p w14:paraId="1BE482AE" w14:textId="3FA46AD7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производител н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</w:t>
      </w:r>
      <w:r w:rsidR="009B3D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международния пазар през септември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B66E79" w:rsidRPr="00B66E79" w14:paraId="77D04E0D" w14:textId="77777777" w:rsidTr="00D45E41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611C6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94941F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5621" w14:textId="5ED358E5" w:rsidR="00B66E79" w:rsidRPr="00B66E79" w:rsidRDefault="00D80173" w:rsidP="00500CC8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120C2D46" w14:textId="77777777" w:rsidR="00B66E79" w:rsidRPr="00B66E79" w:rsidRDefault="00B66E79" w:rsidP="00657C6E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7E83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1DCF6E9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3CC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D45E41" w:rsidRPr="00E50C11" w14:paraId="5D839E92" w14:textId="77777777" w:rsidTr="00D45E41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D4F30CD" w14:textId="37E55364" w:rsidR="00D45E41" w:rsidRPr="00B66E79" w:rsidRDefault="00D45E41" w:rsidP="00D45E4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FE77D" w14:textId="672D839E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117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07709" w14:textId="2F9891B9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5358D5" w14:textId="12AC1CEB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45E41" w:rsidRPr="00E50C11" w14:paraId="57F65D1D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D6733EA" w14:textId="77777777" w:rsidR="00D45E41" w:rsidRPr="00B66E79" w:rsidRDefault="00D45E41" w:rsidP="00D45E4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F4890" w14:textId="2FC37421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119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F8AC3" w14:textId="5C128634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115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3B7F" w14:textId="777E1DEC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D45E41" w:rsidRPr="00E50C11" w14:paraId="047EDB4C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5F038B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7B573" w14:textId="3627650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8E156" w14:textId="2202F37B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94A94" w14:textId="4573610E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D45E41" w:rsidRPr="00E50C11" w14:paraId="5876225F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1AFA9AF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0D6575" w14:textId="3C8D8AF8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0CE6" w14:textId="67C2DFA7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DB3C3" w14:textId="4F453E35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D45E41" w:rsidRPr="00E50C11" w14:paraId="74C8C29B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7116AF5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4107AF" w14:textId="27650610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06D6A" w14:textId="2E738C3E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022EC3" w14:textId="72BBADA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D45E41" w:rsidRPr="00E50C11" w14:paraId="1DD2AAF3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DEB75B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D126B" w14:textId="3FEFF130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89671" w14:textId="5D32B416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06BC1" w14:textId="6356D355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D45E41" w:rsidRPr="00E50C11" w14:paraId="5C4EC369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F4EBF8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D4BB5" w14:textId="003A7696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1E2496" w14:textId="0F6CE920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E736C" w14:textId="6674581B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D45E41" w:rsidRPr="00E50C11" w14:paraId="27885F8F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AB706E" w14:textId="77777777" w:rsidR="00D45E41" w:rsidRPr="00B66E79" w:rsidRDefault="00D45E41" w:rsidP="00D45E4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050B45" w14:textId="5E8FBA83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116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8E31B4" w14:textId="54417AE3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5A5DA" w14:textId="408A51D1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45E41" w:rsidRPr="00E50C11" w14:paraId="58A76F67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C6AFBD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0C7BE" w14:textId="2B15860D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94F3" w14:textId="2F4824C2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E859" w14:textId="5E4CE359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D45E41" w:rsidRPr="00E50C11" w14:paraId="2FD1F1B0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A69B0CA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FFE37" w14:textId="06330F4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84CBD" w14:textId="103D5629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4B073" w14:textId="0A90FB4A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D45E41" w:rsidRPr="00E50C11" w14:paraId="06EFF173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31C97A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B0D50" w14:textId="2BD5407D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A6E2F" w14:textId="5AF2E142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1DCCA" w14:textId="5BF6BD25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D45E41" w:rsidRPr="00E50C11" w14:paraId="62284D08" w14:textId="77777777" w:rsidTr="00D45E4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E0E87DE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F273D" w14:textId="421DFFE5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135F5" w14:textId="732938F0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0004C" w14:textId="7D478A9C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D45E41" w:rsidRPr="00E50C11" w14:paraId="13FDA903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201B8D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DBC6D" w14:textId="4B470B7E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C27105" w14:textId="7EC2E36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6BB57" w14:textId="46C292DC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45E41" w:rsidRPr="00E50C11" w14:paraId="5C7BD927" w14:textId="77777777" w:rsidTr="00D45E4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49989B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034D8" w14:textId="262B625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827B3" w14:textId="49C923EE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7C0C9" w14:textId="5B7810B3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45E41" w:rsidRPr="00E50C11" w14:paraId="4A9BFC17" w14:textId="77777777" w:rsidTr="00D45E4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6468A02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9243A" w14:textId="5672FAD2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F9312" w14:textId="4F6BFF6C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9F6C0" w14:textId="50E13A51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D45E41" w:rsidRPr="00E50C11" w14:paraId="09A563BF" w14:textId="77777777" w:rsidTr="00D45E41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22DE1D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FDD9F" w14:textId="495B90E2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5E37E" w14:textId="199421F2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88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854498" w14:textId="639878B9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D45E41" w:rsidRPr="00E50C11" w14:paraId="4A00C8EC" w14:textId="77777777" w:rsidTr="00D45E41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8F058DA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D5B18" w14:textId="4C6D0686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C6E86" w14:textId="4A2861F9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8FD79" w14:textId="6392EE61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D45E41" w:rsidRPr="00E50C11" w14:paraId="22445CAC" w14:textId="77777777" w:rsidTr="00D45E4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28E7E5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4EDB9" w14:textId="1EE8133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08828" w14:textId="04766C8B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437FA" w14:textId="75B05BA4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D45E41" w:rsidRPr="00E50C11" w14:paraId="46B17039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3A3E6B6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69EBF" w14:textId="7971402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DBEF" w14:textId="0ADCD2F2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C60B6F" w14:textId="0C4053D5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D45E41" w:rsidRPr="00E50C11" w14:paraId="3C57AA9F" w14:textId="77777777" w:rsidTr="00D45E4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02B1ED0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49DED1" w14:textId="52A7B387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5B5D0" w14:textId="6A70463B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CEE1D" w14:textId="5F09326B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D45E41" w:rsidRPr="00E50C11" w14:paraId="67652D12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A3978AC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708F8" w14:textId="33A3B7B8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FEB8F" w14:textId="5773AF14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CA225" w14:textId="6E88B424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D45E41" w:rsidRPr="00E50C11" w14:paraId="026EE866" w14:textId="77777777" w:rsidTr="00D45E4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F7EFE41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E0FA" w14:textId="54C75FF3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F96BC" w14:textId="0AF65401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681D0" w14:textId="68E4E28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D45E41" w:rsidRPr="00E50C11" w14:paraId="73B1F740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650BE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471FF" w14:textId="3BAE5B72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646D5" w14:textId="590DD99E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85BAD" w14:textId="0214450B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D45E41" w:rsidRPr="00E50C11" w14:paraId="3C6E469A" w14:textId="77777777" w:rsidTr="00D45E4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D6758C0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47306" w14:textId="1E73AAA7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D8CA4" w14:textId="1A520006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932CA" w14:textId="3D062B57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D45E41" w:rsidRPr="00E50C11" w14:paraId="018B48D6" w14:textId="77777777" w:rsidTr="00D45E41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D9745E7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1A574" w14:textId="248D573E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53AC4" w14:textId="170D0F38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C5310" w14:textId="6B6FF1C4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D45E41" w:rsidRPr="00E50C11" w14:paraId="3067E61F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775D9CF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1D083" w14:textId="72EFDB4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90FA1" w14:textId="5F56AFBE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794563" w14:textId="16A0E1C5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D45E41" w:rsidRPr="00E50C11" w14:paraId="1693BA7F" w14:textId="77777777" w:rsidTr="00D45E4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CF3F02E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51E209" w14:textId="478D7247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595E7E" w14:textId="2266A227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8ADED8" w14:textId="6247C607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D45E41" w:rsidRPr="00E50C11" w14:paraId="5543DADD" w14:textId="77777777" w:rsidTr="00D45E41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3C664C30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автомобили, ремаркета и полуремаркета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85B42A" w14:textId="0C877AAE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D8A39" w14:textId="35FC8B64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C73D1" w14:textId="7659D26A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D45E41" w:rsidRPr="00E50C11" w14:paraId="4159252D" w14:textId="77777777" w:rsidTr="00D45E4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7302422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6E9A4" w14:textId="1EFE8D21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E28BF" w14:textId="103F37A3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8DFE14" w14:textId="5F36D6E9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D45E41" w:rsidRPr="00E50C11" w14:paraId="376AC06C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F3F602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16938" w14:textId="10650DCC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E4F8E" w14:textId="5897E147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B5A1" w14:textId="149DFE7F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45E41" w:rsidRPr="00E50C11" w14:paraId="6EFED768" w14:textId="77777777" w:rsidTr="00D45E4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564CE65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EC664" w14:textId="03B07442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1DD208" w14:textId="601B30BB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F3F5F" w14:textId="1948CF77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45E41" w:rsidRPr="00E50C11" w14:paraId="1A0AD0EA" w14:textId="77777777" w:rsidTr="00D45E41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19A9DF4" w14:textId="77777777" w:rsidR="00D45E41" w:rsidRPr="00B66E79" w:rsidRDefault="00D45E41" w:rsidP="00D45E4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AA6624" w14:textId="01709973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D5E61" w14:textId="0F025B91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A66E9" w14:textId="518DA24A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D45E41" w:rsidRPr="00E50C11" w14:paraId="07D864C5" w14:textId="77777777" w:rsidTr="00D45E41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FD5370" w14:textId="77777777" w:rsidR="00D45E41" w:rsidRPr="00711C47" w:rsidRDefault="00D45E41" w:rsidP="00D45E4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6AC88" w14:textId="4068D7CE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139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C5A3C3" w14:textId="4A4D5A03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91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85F2F" w14:textId="7EB21300" w:rsidR="00D45E41" w:rsidRPr="00E50C11" w:rsidRDefault="00D45E41" w:rsidP="00D45E4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107</w:t>
            </w:r>
            <w:r w:rsidR="006E661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D45E41" w:rsidRPr="00E50C11" w14:paraId="37490691" w14:textId="77777777" w:rsidTr="00D45E41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E931D" w14:textId="77777777" w:rsidR="00D45E41" w:rsidRPr="00711C47" w:rsidRDefault="00D45E41" w:rsidP="00D45E41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E8631" w14:textId="7E28ED83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EEAA8" w14:textId="46D08602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ACF53D" w14:textId="5F0C3F91" w:rsidR="00D45E41" w:rsidRPr="00E50C11" w:rsidRDefault="00D45E41" w:rsidP="00D45E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6E661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078DC79D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430A2" w14:textId="77777777" w:rsidR="00C1731A" w:rsidRDefault="00C1731A" w:rsidP="00214ACA">
      <w:r>
        <w:separator/>
      </w:r>
    </w:p>
  </w:endnote>
  <w:endnote w:type="continuationSeparator" w:id="0">
    <w:p w14:paraId="0A0BF286" w14:textId="77777777" w:rsidR="00C1731A" w:rsidRDefault="00C1731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3CA6" w14:textId="77777777" w:rsidR="0008760C" w:rsidRPr="00A7142A" w:rsidRDefault="0008760C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78F969" wp14:editId="4405006B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E5BA" w14:textId="654DC910" w:rsidR="0008760C" w:rsidRPr="00DD11CB" w:rsidRDefault="0008760C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4A6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85E5BA" w14:textId="654DC910" w:rsidR="0008760C" w:rsidRPr="00DD11CB" w:rsidRDefault="0008760C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84A6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EDE975" wp14:editId="5821E62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8725EF" wp14:editId="06C70B6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DDDD" w14:textId="77777777" w:rsidR="0008760C" w:rsidRDefault="0008760C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363D220" wp14:editId="7780C4E7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0EC35D" wp14:editId="2B697A90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27A" w14:textId="4E5638C7" w:rsidR="0008760C" w:rsidRPr="00DD11CB" w:rsidRDefault="0008760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4A6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EC35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8127A" w14:textId="4E5638C7" w:rsidR="0008760C" w:rsidRPr="00DD11CB" w:rsidRDefault="0008760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84A6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10BA" w14:textId="77777777" w:rsidR="0008760C" w:rsidRPr="00171C36" w:rsidRDefault="0008760C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1EE64A8" wp14:editId="719869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F109597" wp14:editId="3A47C7C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56F0" w14:textId="0E47AAF4" w:rsidR="0008760C" w:rsidRPr="00DD11CB" w:rsidRDefault="0008760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4A6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6B8F328" w14:textId="77777777" w:rsidR="0008760C" w:rsidRDefault="0008760C" w:rsidP="00C969F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0550154" w14:textId="77777777" w:rsidR="0008760C" w:rsidRPr="005E1084" w:rsidRDefault="0008760C" w:rsidP="00C969F8">
                          <w:pPr>
                            <w:rPr>
                              <w:b/>
                            </w:rPr>
                          </w:pPr>
                          <w:r w:rsidRPr="005E1084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095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4E956F0" w14:textId="0E47AAF4" w:rsidR="0008760C" w:rsidRPr="00DD11CB" w:rsidRDefault="0008760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84A6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06B8F328" w14:textId="77777777" w:rsidR="0008760C" w:rsidRDefault="0008760C" w:rsidP="00C969F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0550154" w14:textId="77777777" w:rsidR="0008760C" w:rsidRPr="005E1084" w:rsidRDefault="0008760C" w:rsidP="00C969F8">
                    <w:pPr>
                      <w:rPr>
                        <w:b/>
                      </w:rPr>
                    </w:pPr>
                    <w:r w:rsidRPr="005E1084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EC7015D" wp14:editId="638C4D3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E88989F" w14:textId="77777777" w:rsidR="0008760C" w:rsidRDefault="0008760C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CCE08" w14:textId="77777777" w:rsidR="00C1731A" w:rsidRDefault="00C1731A" w:rsidP="00214ACA">
      <w:r>
        <w:separator/>
      </w:r>
    </w:p>
  </w:footnote>
  <w:footnote w:type="continuationSeparator" w:id="0">
    <w:p w14:paraId="7AFB2765" w14:textId="77777777" w:rsidR="00C1731A" w:rsidRDefault="00C1731A" w:rsidP="00214ACA">
      <w:r>
        <w:continuationSeparator/>
      </w:r>
    </w:p>
  </w:footnote>
  <w:footnote w:id="1">
    <w:p w14:paraId="187AF759" w14:textId="77777777" w:rsidR="0008760C" w:rsidRPr="004938FA" w:rsidRDefault="0008760C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406FC5EF" w14:textId="77777777" w:rsidR="0008760C" w:rsidRPr="004938FA" w:rsidRDefault="0008760C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B0928EF" w14:textId="77777777" w:rsidR="0008760C" w:rsidRPr="00A2553A" w:rsidRDefault="0008760C" w:rsidP="00B66E7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49741AC3" w14:textId="77777777" w:rsidR="0008760C" w:rsidRPr="00A2553A" w:rsidRDefault="0008760C" w:rsidP="00B66E79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C857" w14:textId="77777777" w:rsidR="0008760C" w:rsidRPr="00B77149" w:rsidRDefault="0008760C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5408BD1" wp14:editId="3C0778BE">
              <wp:simplePos x="0" y="0"/>
              <wp:positionH relativeFrom="margin">
                <wp:posOffset>255905</wp:posOffset>
              </wp:positionH>
              <wp:positionV relativeFrom="paragraph">
                <wp:posOffset>-680085</wp:posOffset>
              </wp:positionV>
              <wp:extent cx="5086350" cy="627380"/>
              <wp:effectExtent l="0" t="0" r="0" b="127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FE33C" w14:textId="77777777" w:rsidR="0008760C" w:rsidRPr="00C969F8" w:rsidRDefault="0008760C" w:rsidP="00E245D5">
                          <w:pPr>
                            <w:snapToGrid w:val="0"/>
                            <w:spacing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2B0D183D" w14:textId="6D2A39D3" w:rsidR="0008760C" w:rsidRPr="00101DE0" w:rsidRDefault="0008760C" w:rsidP="00E245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СЕПТЕМВРИ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3067B2C8" w14:textId="77777777" w:rsidR="0008760C" w:rsidRPr="00101DE0" w:rsidRDefault="0008760C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8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15pt;margin-top:-53.55pt;width:400.5pt;height:49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WBHwIAABs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" stroked="f">
              <v:textbox>
                <w:txbxContent>
                  <w:p w14:paraId="008FE33C" w14:textId="77777777" w:rsidR="0008760C" w:rsidRPr="00C969F8" w:rsidRDefault="0008760C" w:rsidP="00E245D5">
                    <w:pPr>
                      <w:snapToGrid w:val="0"/>
                      <w:spacing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2B0D183D" w14:textId="6D2A39D3" w:rsidR="0008760C" w:rsidRPr="00101DE0" w:rsidRDefault="0008760C" w:rsidP="00E245D5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СЕПТЕМВРИ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3067B2C8" w14:textId="77777777" w:rsidR="0008760C" w:rsidRPr="00101DE0" w:rsidRDefault="0008760C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E215537" wp14:editId="5FCF22D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3A1" w14:textId="77777777" w:rsidR="0008760C" w:rsidRPr="009E4021" w:rsidRDefault="0008760C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D0D567F" wp14:editId="23BC051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1B99EB" wp14:editId="60ECBB6A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4DEB2D6" wp14:editId="1E7FBA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7CEF5" w14:textId="77777777" w:rsidR="0008760C" w:rsidRDefault="0008760C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B4B5921" w14:textId="77777777" w:rsidR="0008760C" w:rsidRPr="00FD731D" w:rsidRDefault="0008760C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B2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C77CEF5" w14:textId="77777777" w:rsidR="0008760C" w:rsidRDefault="0008760C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B4B5921" w14:textId="77777777" w:rsidR="0008760C" w:rsidRPr="00FD731D" w:rsidRDefault="0008760C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1227F9" wp14:editId="4494305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0FF60B" wp14:editId="735EB57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46EB4" w14:textId="77777777" w:rsidR="0008760C" w:rsidRPr="004F064E" w:rsidRDefault="0008760C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1D62" w14:textId="77777777" w:rsidR="0008760C" w:rsidRPr="004F064E" w:rsidRDefault="0008760C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88FAD80" wp14:editId="64A56F87">
              <wp:simplePos x="0" y="0"/>
              <wp:positionH relativeFrom="margin">
                <wp:posOffset>-219075</wp:posOffset>
              </wp:positionH>
              <wp:positionV relativeFrom="paragraph">
                <wp:posOffset>-618490</wp:posOffset>
              </wp:positionV>
              <wp:extent cx="5857875" cy="626110"/>
              <wp:effectExtent l="0" t="0" r="9525" b="254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FF842" w14:textId="77777777" w:rsidR="0008760C" w:rsidRPr="00C969F8" w:rsidRDefault="0008760C" w:rsidP="00E245D5">
                          <w:pPr>
                            <w:snapToGrid w:val="0"/>
                            <w:spacing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1BF3CAE1" w14:textId="08807E34" w:rsidR="0008760C" w:rsidRPr="00101DE0" w:rsidRDefault="0008760C" w:rsidP="00E245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СЕПТЕМВРИ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AD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7.25pt;margin-top:-48.7pt;width:461.25pt;height:49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" stroked="f">
              <v:textbox>
                <w:txbxContent>
                  <w:p w14:paraId="494FF842" w14:textId="77777777" w:rsidR="0008760C" w:rsidRPr="00C969F8" w:rsidRDefault="0008760C" w:rsidP="00E245D5">
                    <w:pPr>
                      <w:snapToGrid w:val="0"/>
                      <w:spacing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1BF3CAE1" w14:textId="08807E34" w:rsidR="0008760C" w:rsidRPr="00101DE0" w:rsidRDefault="0008760C" w:rsidP="00E245D5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СЕПТЕМВРИ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D2B37B9" wp14:editId="4E0571D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99919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41C"/>
    <w:rsid w:val="000261AC"/>
    <w:rsid w:val="00034EE3"/>
    <w:rsid w:val="00042FBB"/>
    <w:rsid w:val="00047C94"/>
    <w:rsid w:val="00050665"/>
    <w:rsid w:val="000559B4"/>
    <w:rsid w:val="0006051E"/>
    <w:rsid w:val="000607BC"/>
    <w:rsid w:val="000732CD"/>
    <w:rsid w:val="00077AC6"/>
    <w:rsid w:val="00077C97"/>
    <w:rsid w:val="0008760C"/>
    <w:rsid w:val="00090DFC"/>
    <w:rsid w:val="000B17C2"/>
    <w:rsid w:val="000B2B10"/>
    <w:rsid w:val="000B728A"/>
    <w:rsid w:val="000C0D56"/>
    <w:rsid w:val="000D7A99"/>
    <w:rsid w:val="000D7E15"/>
    <w:rsid w:val="000E583A"/>
    <w:rsid w:val="000F0B88"/>
    <w:rsid w:val="00101DE0"/>
    <w:rsid w:val="00111EEE"/>
    <w:rsid w:val="00122E02"/>
    <w:rsid w:val="00145933"/>
    <w:rsid w:val="00171C36"/>
    <w:rsid w:val="00177BCC"/>
    <w:rsid w:val="001821B2"/>
    <w:rsid w:val="001901A0"/>
    <w:rsid w:val="001A10CA"/>
    <w:rsid w:val="001A51DA"/>
    <w:rsid w:val="001B03D8"/>
    <w:rsid w:val="001B648E"/>
    <w:rsid w:val="001D0DF2"/>
    <w:rsid w:val="001D648B"/>
    <w:rsid w:val="001E37BD"/>
    <w:rsid w:val="001E5BA2"/>
    <w:rsid w:val="001E7AC3"/>
    <w:rsid w:val="001F0F96"/>
    <w:rsid w:val="001F5503"/>
    <w:rsid w:val="00214ACA"/>
    <w:rsid w:val="0021603B"/>
    <w:rsid w:val="00221FDE"/>
    <w:rsid w:val="00242724"/>
    <w:rsid w:val="00245E49"/>
    <w:rsid w:val="00252BDE"/>
    <w:rsid w:val="002635CA"/>
    <w:rsid w:val="00263C2E"/>
    <w:rsid w:val="00267FB0"/>
    <w:rsid w:val="00275433"/>
    <w:rsid w:val="002875C4"/>
    <w:rsid w:val="002914C1"/>
    <w:rsid w:val="002919BA"/>
    <w:rsid w:val="00292234"/>
    <w:rsid w:val="002A2108"/>
    <w:rsid w:val="002C72D4"/>
    <w:rsid w:val="002D26AD"/>
    <w:rsid w:val="002E403E"/>
    <w:rsid w:val="002E78F4"/>
    <w:rsid w:val="002F3F36"/>
    <w:rsid w:val="002F7535"/>
    <w:rsid w:val="00301A12"/>
    <w:rsid w:val="003077CA"/>
    <w:rsid w:val="00326A06"/>
    <w:rsid w:val="00330D8B"/>
    <w:rsid w:val="00332C88"/>
    <w:rsid w:val="003335D6"/>
    <w:rsid w:val="00336556"/>
    <w:rsid w:val="0035528B"/>
    <w:rsid w:val="00364357"/>
    <w:rsid w:val="003733C0"/>
    <w:rsid w:val="00380058"/>
    <w:rsid w:val="00382779"/>
    <w:rsid w:val="00384173"/>
    <w:rsid w:val="00385985"/>
    <w:rsid w:val="0038746A"/>
    <w:rsid w:val="00387CB8"/>
    <w:rsid w:val="00396767"/>
    <w:rsid w:val="003B2503"/>
    <w:rsid w:val="003B42F8"/>
    <w:rsid w:val="003B46BA"/>
    <w:rsid w:val="003C2111"/>
    <w:rsid w:val="003C6979"/>
    <w:rsid w:val="003D5F6D"/>
    <w:rsid w:val="003E25A7"/>
    <w:rsid w:val="003F5513"/>
    <w:rsid w:val="003F7F21"/>
    <w:rsid w:val="00407975"/>
    <w:rsid w:val="00424AFA"/>
    <w:rsid w:val="0042667B"/>
    <w:rsid w:val="0043722F"/>
    <w:rsid w:val="00446CF4"/>
    <w:rsid w:val="00455597"/>
    <w:rsid w:val="0045722B"/>
    <w:rsid w:val="00461BEB"/>
    <w:rsid w:val="004745D5"/>
    <w:rsid w:val="004760D3"/>
    <w:rsid w:val="00486232"/>
    <w:rsid w:val="004926DC"/>
    <w:rsid w:val="004C7D10"/>
    <w:rsid w:val="004F064E"/>
    <w:rsid w:val="00500CC8"/>
    <w:rsid w:val="005029F5"/>
    <w:rsid w:val="00511ED8"/>
    <w:rsid w:val="00520539"/>
    <w:rsid w:val="0052767E"/>
    <w:rsid w:val="00535716"/>
    <w:rsid w:val="00563F77"/>
    <w:rsid w:val="005656D1"/>
    <w:rsid w:val="00567144"/>
    <w:rsid w:val="00572A30"/>
    <w:rsid w:val="00582C0F"/>
    <w:rsid w:val="005B4023"/>
    <w:rsid w:val="005F0BBE"/>
    <w:rsid w:val="006120F5"/>
    <w:rsid w:val="00615B1D"/>
    <w:rsid w:val="006171D8"/>
    <w:rsid w:val="00620E1B"/>
    <w:rsid w:val="006260B4"/>
    <w:rsid w:val="006271C3"/>
    <w:rsid w:val="00644231"/>
    <w:rsid w:val="00644D53"/>
    <w:rsid w:val="00651572"/>
    <w:rsid w:val="0065237F"/>
    <w:rsid w:val="00652E7D"/>
    <w:rsid w:val="00654814"/>
    <w:rsid w:val="00657C6E"/>
    <w:rsid w:val="0068401B"/>
    <w:rsid w:val="00684D59"/>
    <w:rsid w:val="00686E46"/>
    <w:rsid w:val="006A160B"/>
    <w:rsid w:val="006A212D"/>
    <w:rsid w:val="006B1DE6"/>
    <w:rsid w:val="006B2309"/>
    <w:rsid w:val="006B56F9"/>
    <w:rsid w:val="006C0B08"/>
    <w:rsid w:val="006D1B1F"/>
    <w:rsid w:val="006D1BE4"/>
    <w:rsid w:val="006D24DC"/>
    <w:rsid w:val="006E38C3"/>
    <w:rsid w:val="006E6616"/>
    <w:rsid w:val="00702BED"/>
    <w:rsid w:val="00704539"/>
    <w:rsid w:val="00711C47"/>
    <w:rsid w:val="0071525B"/>
    <w:rsid w:val="00727AA9"/>
    <w:rsid w:val="0073535F"/>
    <w:rsid w:val="007415FB"/>
    <w:rsid w:val="00746149"/>
    <w:rsid w:val="007567B5"/>
    <w:rsid w:val="00764226"/>
    <w:rsid w:val="00765831"/>
    <w:rsid w:val="007748C8"/>
    <w:rsid w:val="00780D32"/>
    <w:rsid w:val="00781D29"/>
    <w:rsid w:val="007A7C81"/>
    <w:rsid w:val="007B1385"/>
    <w:rsid w:val="007C018E"/>
    <w:rsid w:val="007C61E0"/>
    <w:rsid w:val="007C7A6A"/>
    <w:rsid w:val="007D185D"/>
    <w:rsid w:val="007D2C55"/>
    <w:rsid w:val="007E02DE"/>
    <w:rsid w:val="007F116A"/>
    <w:rsid w:val="007F17B3"/>
    <w:rsid w:val="0081456F"/>
    <w:rsid w:val="008153C0"/>
    <w:rsid w:val="00846FF5"/>
    <w:rsid w:val="008471C4"/>
    <w:rsid w:val="008519A5"/>
    <w:rsid w:val="00854F85"/>
    <w:rsid w:val="0085583E"/>
    <w:rsid w:val="00870559"/>
    <w:rsid w:val="008729CD"/>
    <w:rsid w:val="008748F1"/>
    <w:rsid w:val="00877F44"/>
    <w:rsid w:val="00881B14"/>
    <w:rsid w:val="00883238"/>
    <w:rsid w:val="008B7A9C"/>
    <w:rsid w:val="008C22E9"/>
    <w:rsid w:val="008C40A1"/>
    <w:rsid w:val="008C79E3"/>
    <w:rsid w:val="008D3797"/>
    <w:rsid w:val="008D44DA"/>
    <w:rsid w:val="008E12FA"/>
    <w:rsid w:val="008E3046"/>
    <w:rsid w:val="008E66B4"/>
    <w:rsid w:val="008E71E8"/>
    <w:rsid w:val="008F146E"/>
    <w:rsid w:val="009042D2"/>
    <w:rsid w:val="009164D3"/>
    <w:rsid w:val="00917103"/>
    <w:rsid w:val="00917D44"/>
    <w:rsid w:val="0092422B"/>
    <w:rsid w:val="0094060D"/>
    <w:rsid w:val="00944A1D"/>
    <w:rsid w:val="00944AD4"/>
    <w:rsid w:val="00947EBF"/>
    <w:rsid w:val="00961B29"/>
    <w:rsid w:val="0096572A"/>
    <w:rsid w:val="009710D2"/>
    <w:rsid w:val="009765F4"/>
    <w:rsid w:val="00977E8F"/>
    <w:rsid w:val="00995CB0"/>
    <w:rsid w:val="00996568"/>
    <w:rsid w:val="009A684B"/>
    <w:rsid w:val="009B3D8C"/>
    <w:rsid w:val="009C0908"/>
    <w:rsid w:val="009C38FB"/>
    <w:rsid w:val="009D1C1E"/>
    <w:rsid w:val="009D5221"/>
    <w:rsid w:val="009E4021"/>
    <w:rsid w:val="00A00156"/>
    <w:rsid w:val="00A007C2"/>
    <w:rsid w:val="00A07E01"/>
    <w:rsid w:val="00A14E83"/>
    <w:rsid w:val="00A2553A"/>
    <w:rsid w:val="00A26962"/>
    <w:rsid w:val="00A41067"/>
    <w:rsid w:val="00A410B7"/>
    <w:rsid w:val="00A47E6A"/>
    <w:rsid w:val="00A52609"/>
    <w:rsid w:val="00A62BE6"/>
    <w:rsid w:val="00A653A4"/>
    <w:rsid w:val="00A67CA6"/>
    <w:rsid w:val="00A7142A"/>
    <w:rsid w:val="00A869E9"/>
    <w:rsid w:val="00A9265C"/>
    <w:rsid w:val="00A96AD9"/>
    <w:rsid w:val="00A97AA8"/>
    <w:rsid w:val="00AC3D78"/>
    <w:rsid w:val="00AE1A5A"/>
    <w:rsid w:val="00AE4196"/>
    <w:rsid w:val="00AE4FF4"/>
    <w:rsid w:val="00AE6E51"/>
    <w:rsid w:val="00AE6F60"/>
    <w:rsid w:val="00AE7948"/>
    <w:rsid w:val="00AF2D94"/>
    <w:rsid w:val="00B021C2"/>
    <w:rsid w:val="00B0333E"/>
    <w:rsid w:val="00B0335B"/>
    <w:rsid w:val="00B052B5"/>
    <w:rsid w:val="00B07D27"/>
    <w:rsid w:val="00B12273"/>
    <w:rsid w:val="00B20B63"/>
    <w:rsid w:val="00B24A9E"/>
    <w:rsid w:val="00B30E6D"/>
    <w:rsid w:val="00B411B6"/>
    <w:rsid w:val="00B55B11"/>
    <w:rsid w:val="00B66E79"/>
    <w:rsid w:val="00B73E74"/>
    <w:rsid w:val="00B743C1"/>
    <w:rsid w:val="00B77149"/>
    <w:rsid w:val="00B852CD"/>
    <w:rsid w:val="00BA10F1"/>
    <w:rsid w:val="00BB20C3"/>
    <w:rsid w:val="00BD72BB"/>
    <w:rsid w:val="00C14799"/>
    <w:rsid w:val="00C1731A"/>
    <w:rsid w:val="00C22C35"/>
    <w:rsid w:val="00C22E8B"/>
    <w:rsid w:val="00C27D80"/>
    <w:rsid w:val="00C304D2"/>
    <w:rsid w:val="00C33C09"/>
    <w:rsid w:val="00C349FE"/>
    <w:rsid w:val="00C415C3"/>
    <w:rsid w:val="00C45B00"/>
    <w:rsid w:val="00C47C24"/>
    <w:rsid w:val="00C552B8"/>
    <w:rsid w:val="00C616FD"/>
    <w:rsid w:val="00C65EDA"/>
    <w:rsid w:val="00C819C1"/>
    <w:rsid w:val="00C9035A"/>
    <w:rsid w:val="00C93974"/>
    <w:rsid w:val="00C93F99"/>
    <w:rsid w:val="00C969F8"/>
    <w:rsid w:val="00CA0766"/>
    <w:rsid w:val="00CB7E9F"/>
    <w:rsid w:val="00CC79BE"/>
    <w:rsid w:val="00CD1081"/>
    <w:rsid w:val="00CD2DE0"/>
    <w:rsid w:val="00CF47AB"/>
    <w:rsid w:val="00D063D4"/>
    <w:rsid w:val="00D06B2B"/>
    <w:rsid w:val="00D231D5"/>
    <w:rsid w:val="00D24D5D"/>
    <w:rsid w:val="00D45E41"/>
    <w:rsid w:val="00D80173"/>
    <w:rsid w:val="00D82477"/>
    <w:rsid w:val="00D856C3"/>
    <w:rsid w:val="00D8759A"/>
    <w:rsid w:val="00D94B4C"/>
    <w:rsid w:val="00DD11CB"/>
    <w:rsid w:val="00DD2F8E"/>
    <w:rsid w:val="00DD4033"/>
    <w:rsid w:val="00DE0234"/>
    <w:rsid w:val="00DE20CA"/>
    <w:rsid w:val="00DE3DCC"/>
    <w:rsid w:val="00DE4F56"/>
    <w:rsid w:val="00DF04A1"/>
    <w:rsid w:val="00DF3FDA"/>
    <w:rsid w:val="00E13DB4"/>
    <w:rsid w:val="00E245D5"/>
    <w:rsid w:val="00E30780"/>
    <w:rsid w:val="00E30E72"/>
    <w:rsid w:val="00E31B52"/>
    <w:rsid w:val="00E4192C"/>
    <w:rsid w:val="00E41A5E"/>
    <w:rsid w:val="00E47424"/>
    <w:rsid w:val="00E50C11"/>
    <w:rsid w:val="00E563C3"/>
    <w:rsid w:val="00E60970"/>
    <w:rsid w:val="00E64A09"/>
    <w:rsid w:val="00E67823"/>
    <w:rsid w:val="00E71859"/>
    <w:rsid w:val="00E83B25"/>
    <w:rsid w:val="00E9479E"/>
    <w:rsid w:val="00EA75FA"/>
    <w:rsid w:val="00EB1308"/>
    <w:rsid w:val="00EB5089"/>
    <w:rsid w:val="00EC100E"/>
    <w:rsid w:val="00EC718F"/>
    <w:rsid w:val="00F1330B"/>
    <w:rsid w:val="00F1372C"/>
    <w:rsid w:val="00F23A91"/>
    <w:rsid w:val="00F43D2B"/>
    <w:rsid w:val="00F44F9E"/>
    <w:rsid w:val="00F45000"/>
    <w:rsid w:val="00F807F0"/>
    <w:rsid w:val="00F81EC8"/>
    <w:rsid w:val="00F84A6A"/>
    <w:rsid w:val="00F856E7"/>
    <w:rsid w:val="00F9034B"/>
    <w:rsid w:val="00F9583E"/>
    <w:rsid w:val="00F9660C"/>
    <w:rsid w:val="00FA00EF"/>
    <w:rsid w:val="00FA5C07"/>
    <w:rsid w:val="00FA7D0E"/>
    <w:rsid w:val="00FB0ACE"/>
    <w:rsid w:val="00FD731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42AEB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77BC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15E5-66D7-4F9E-9E6B-65140CFC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7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Biliana Kamenska</cp:lastModifiedBy>
  <cp:revision>50</cp:revision>
  <dcterms:created xsi:type="dcterms:W3CDTF">2024-09-24T09:38:00Z</dcterms:created>
  <dcterms:modified xsi:type="dcterms:W3CDTF">2024-10-28T10:16:00Z</dcterms:modified>
</cp:coreProperties>
</file>