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58" w:rsidRPr="00EA0058" w:rsidRDefault="00EA0058" w:rsidP="00DE6C51">
      <w:pPr>
        <w:spacing w:before="120" w:after="120"/>
        <w:jc w:val="center"/>
        <w:rPr>
          <w:rFonts w:asciiTheme="minorHAnsi" w:hAnsiTheme="minorHAnsi"/>
          <w:b/>
          <w:lang w:val="en-US"/>
        </w:rPr>
      </w:pPr>
    </w:p>
    <w:p w:rsidR="004948EF" w:rsidRPr="004948EF" w:rsidRDefault="00EA0058" w:rsidP="009D3292">
      <w:pPr>
        <w:spacing w:before="120" w:after="120"/>
        <w:jc w:val="center"/>
        <w:rPr>
          <w:rFonts w:asciiTheme="minorHAnsi" w:hAnsiTheme="minorHAnsi"/>
          <w:b/>
        </w:rPr>
      </w:pPr>
      <w:r w:rsidRPr="00EA0058">
        <w:rPr>
          <w:rFonts w:asciiTheme="minorHAnsi" w:hAnsiTheme="minorHAnsi"/>
          <w:b/>
          <w:lang w:val="en-US"/>
        </w:rPr>
        <w:tab/>
      </w:r>
    </w:p>
    <w:p w:rsidR="003F6C71" w:rsidRPr="005A7D4A" w:rsidRDefault="003F6C71" w:rsidP="003F6C71">
      <w:pPr>
        <w:spacing w:line="360" w:lineRule="auto"/>
        <w:jc w:val="center"/>
        <w:rPr>
          <w:rFonts w:eastAsia="Arial Unicode MS"/>
          <w:b/>
          <w:bCs/>
          <w:iCs/>
          <w:sz w:val="28"/>
          <w:szCs w:val="28"/>
        </w:rPr>
      </w:pPr>
      <w:r w:rsidRPr="005A7D4A">
        <w:rPr>
          <w:rFonts w:eastAsia="Arial Unicode MS"/>
          <w:b/>
          <w:bCs/>
          <w:iCs/>
          <w:sz w:val="28"/>
          <w:szCs w:val="28"/>
        </w:rPr>
        <w:t>СТАНОВИЩЕ НА</w:t>
      </w:r>
    </w:p>
    <w:p w:rsidR="003F6C71" w:rsidRPr="005A7D4A" w:rsidRDefault="003F6C71" w:rsidP="003F6C71">
      <w:pPr>
        <w:spacing w:line="360" w:lineRule="auto"/>
        <w:jc w:val="center"/>
        <w:rPr>
          <w:rFonts w:eastAsia="Arial Unicode MS"/>
          <w:b/>
          <w:bCs/>
          <w:iCs/>
          <w:sz w:val="28"/>
          <w:szCs w:val="28"/>
        </w:rPr>
      </w:pPr>
      <w:r w:rsidRPr="005A7D4A">
        <w:rPr>
          <w:rFonts w:eastAsia="Arial Unicode MS"/>
          <w:b/>
          <w:bCs/>
          <w:iCs/>
          <w:sz w:val="28"/>
          <w:szCs w:val="28"/>
        </w:rPr>
        <w:t xml:space="preserve"> КОНФЕДЕРАЦИЯТА НА НЕЗАВИСИМИТЕ СИНДИКАТИ В БЪЛГАРИЯ</w:t>
      </w:r>
    </w:p>
    <w:p w:rsidR="003F6C71" w:rsidRDefault="003F6C71" w:rsidP="003F6C71">
      <w:pPr>
        <w:spacing w:line="360" w:lineRule="auto"/>
        <w:ind w:firstLine="720"/>
        <w:jc w:val="both"/>
        <w:rPr>
          <w:rFonts w:eastAsia="Arial Unicode MS"/>
          <w:b/>
          <w:bCs/>
          <w:iCs/>
        </w:rPr>
      </w:pPr>
    </w:p>
    <w:p w:rsidR="003F6C71" w:rsidRPr="00BB1BE1" w:rsidRDefault="003F6C71" w:rsidP="003F6C71">
      <w:pPr>
        <w:spacing w:line="360" w:lineRule="auto"/>
        <w:ind w:firstLine="720"/>
        <w:jc w:val="both"/>
        <w:rPr>
          <w:b/>
          <w:i/>
          <w:sz w:val="28"/>
          <w:szCs w:val="28"/>
        </w:rPr>
      </w:pPr>
      <w:r w:rsidRPr="005A7D4A">
        <w:rPr>
          <w:rFonts w:eastAsia="Arial Unicode MS"/>
          <w:b/>
          <w:bCs/>
          <w:iCs/>
        </w:rPr>
        <w:t>Относно:</w:t>
      </w:r>
      <w:r>
        <w:rPr>
          <w:b/>
          <w:bCs/>
        </w:rPr>
        <w:t xml:space="preserve"> </w:t>
      </w:r>
      <w:r w:rsidRPr="009C738F">
        <w:rPr>
          <w:bCs/>
          <w:i/>
        </w:rPr>
        <w:t>Проект на Постановление на Министерски съвет за определяне на нов размер на минималната работна заплата през 2025 г.</w:t>
      </w:r>
    </w:p>
    <w:p w:rsidR="003F6C71" w:rsidRDefault="003F6C71" w:rsidP="003F6C71">
      <w:pPr>
        <w:spacing w:line="360" w:lineRule="auto"/>
        <w:ind w:firstLine="720"/>
        <w:jc w:val="both"/>
        <w:rPr>
          <w:rFonts w:eastAsia="Calibri"/>
        </w:rPr>
      </w:pPr>
    </w:p>
    <w:p w:rsidR="003F6C71" w:rsidRPr="006C0C99" w:rsidRDefault="003F6C71" w:rsidP="003F6C71">
      <w:pPr>
        <w:spacing w:line="360" w:lineRule="auto"/>
        <w:ind w:firstLine="720"/>
        <w:jc w:val="both"/>
        <w:rPr>
          <w:rFonts w:eastAsiaTheme="minorHAnsi"/>
        </w:rPr>
      </w:pPr>
      <w:r>
        <w:rPr>
          <w:rFonts w:eastAsia="Calibri"/>
        </w:rPr>
        <w:t>Конфедерацията на независимите синдикати в България</w:t>
      </w:r>
      <w:r w:rsidRPr="005A7D4A">
        <w:rPr>
          <w:rFonts w:eastAsia="Calibri"/>
        </w:rPr>
        <w:t xml:space="preserve"> подкрепя проекта за ПМС за определяне на нов размер на МРЗ от 1.01.202</w:t>
      </w:r>
      <w:r>
        <w:rPr>
          <w:rFonts w:eastAsia="Calibri"/>
        </w:rPr>
        <w:t>5</w:t>
      </w:r>
      <w:r w:rsidRPr="005A7D4A">
        <w:rPr>
          <w:rFonts w:eastAsia="Calibri"/>
        </w:rPr>
        <w:t xml:space="preserve"> г. от </w:t>
      </w:r>
      <w:r>
        <w:rPr>
          <w:rFonts w:eastAsia="Calibri"/>
        </w:rPr>
        <w:t>1077</w:t>
      </w:r>
      <w:r w:rsidRPr="005A7D4A">
        <w:rPr>
          <w:rFonts w:eastAsia="Calibri"/>
        </w:rPr>
        <w:t xml:space="preserve"> лв.. Този размер</w:t>
      </w:r>
      <w:r w:rsidRPr="005A7D4A">
        <w:rPr>
          <w:rFonts w:eastAsiaTheme="minorHAnsi"/>
        </w:rPr>
        <w:t xml:space="preserve"> се базира на законодателството (чл. 244 от КТ) и трябва да представлява 50% от средната работна заплата (СРЗ) за периода юли 202</w:t>
      </w:r>
      <w:r>
        <w:rPr>
          <w:rFonts w:eastAsiaTheme="minorHAnsi"/>
        </w:rPr>
        <w:t>3</w:t>
      </w:r>
      <w:r w:rsidRPr="005A7D4A">
        <w:rPr>
          <w:rFonts w:eastAsiaTheme="minorHAnsi"/>
        </w:rPr>
        <w:t xml:space="preserve"> г. – юни 202</w:t>
      </w:r>
      <w:r>
        <w:rPr>
          <w:rFonts w:eastAsiaTheme="minorHAnsi"/>
        </w:rPr>
        <w:t>4</w:t>
      </w:r>
      <w:r w:rsidRPr="005A7D4A">
        <w:rPr>
          <w:rFonts w:eastAsiaTheme="minorHAnsi"/>
        </w:rPr>
        <w:t xml:space="preserve"> г. </w:t>
      </w:r>
      <w:r>
        <w:rPr>
          <w:rFonts w:eastAsiaTheme="minorHAnsi"/>
        </w:rPr>
        <w:t>Нарастването представлява 15,4% ръст.</w:t>
      </w:r>
      <w:r w:rsidRPr="005A7D4A">
        <w:rPr>
          <w:iCs/>
        </w:rPr>
        <w:t xml:space="preserve"> Ако поглед</w:t>
      </w:r>
      <w:r w:rsidR="002C49AF">
        <w:rPr>
          <w:iCs/>
        </w:rPr>
        <w:t>нем данните на Евростат, растежът</w:t>
      </w:r>
      <w:r w:rsidRPr="005A7D4A">
        <w:rPr>
          <w:iCs/>
        </w:rPr>
        <w:t xml:space="preserve"> на МРЗ не е по-различен отколкото в другите страни от региона. Например в средата на 2024</w:t>
      </w:r>
      <w:r>
        <w:rPr>
          <w:iCs/>
        </w:rPr>
        <w:t xml:space="preserve"> </w:t>
      </w:r>
      <w:r w:rsidRPr="005A7D4A">
        <w:rPr>
          <w:iCs/>
        </w:rPr>
        <w:t>г., България заема четвърто място по ръст на МРЗ. Преди нас са Полша и Румъния с ръст от 23%, Хърватия с ръст от 20%. При това в тези страни абсолютния</w:t>
      </w:r>
      <w:r w:rsidR="002C49AF">
        <w:rPr>
          <w:iCs/>
        </w:rPr>
        <w:t>т</w:t>
      </w:r>
      <w:r w:rsidRPr="005A7D4A">
        <w:rPr>
          <w:iCs/>
        </w:rPr>
        <w:t xml:space="preserve"> размер е значително по-висок от този в България. </w:t>
      </w:r>
    </w:p>
    <w:p w:rsidR="003F6C71" w:rsidRDefault="003F6C71" w:rsidP="003F6C71">
      <w:pPr>
        <w:spacing w:line="360" w:lineRule="auto"/>
        <w:ind w:firstLine="720"/>
        <w:jc w:val="both"/>
      </w:pPr>
      <w:r w:rsidRPr="005A7D4A">
        <w:t>Освен това, ако се проследят данните за равнището на МРЗ към СРЗ по държави, то п</w:t>
      </w:r>
      <w:r w:rsidR="002C49AF">
        <w:t>рез 2023 г. България е страната</w:t>
      </w:r>
      <w:r w:rsidRPr="005A7D4A">
        <w:t xml:space="preserve"> с най-ниско ниво на съотношението (</w:t>
      </w:r>
      <w:r w:rsidRPr="005A7D4A">
        <w:rPr>
          <w:i/>
          <w:iCs/>
        </w:rPr>
        <w:t>Таблица 1</w:t>
      </w:r>
      <w:r w:rsidRPr="005A7D4A">
        <w:t xml:space="preserve">). Съответно може да се </w:t>
      </w:r>
      <w:r>
        <w:t>твърди дори</w:t>
      </w:r>
      <w:r w:rsidRPr="005A7D4A">
        <w:t>, че приложението на чл. 244 от КТ няма да допринесе за изменение на наблюдаваната картина, т.е. нивото на</w:t>
      </w:r>
      <w:r>
        <w:t xml:space="preserve"> текущото</w:t>
      </w:r>
      <w:r w:rsidRPr="005A7D4A">
        <w:t xml:space="preserve"> съотношение</w:t>
      </w:r>
      <w:r>
        <w:t>, което дава най-реална представа за ситуацията на пазара,</w:t>
      </w:r>
      <w:r w:rsidRPr="005A7D4A">
        <w:t xml:space="preserve"> ще е под 50%, тъй като ръстът на МРЗ няма да е изпреварващ спрямо темпото на нарастване на СРЗ. Така реално двете величини ще растат с еднакъв темп, естествено при запазване на сегашните текстове в КТ. </w:t>
      </w:r>
    </w:p>
    <w:p w:rsidR="002C49AF" w:rsidRPr="006C0C99" w:rsidRDefault="002C49AF" w:rsidP="003F6C71">
      <w:pPr>
        <w:spacing w:line="360" w:lineRule="auto"/>
        <w:ind w:firstLine="720"/>
        <w:jc w:val="both"/>
      </w:pPr>
    </w:p>
    <w:p w:rsidR="003F6C71" w:rsidRPr="00C46491" w:rsidRDefault="003F6C71" w:rsidP="003F6C71">
      <w:pPr>
        <w:spacing w:line="360" w:lineRule="auto"/>
        <w:jc w:val="center"/>
        <w:rPr>
          <w:b/>
          <w:bCs/>
        </w:rPr>
      </w:pPr>
      <w:r w:rsidRPr="00C46491">
        <w:rPr>
          <w:bCs/>
          <w:i/>
        </w:rPr>
        <w:t>Таблица 1</w:t>
      </w:r>
      <w:r w:rsidRPr="005A7D4A">
        <w:rPr>
          <w:bCs/>
        </w:rPr>
        <w:t xml:space="preserve">. </w:t>
      </w:r>
      <w:r w:rsidRPr="00C46491">
        <w:rPr>
          <w:b/>
          <w:bCs/>
        </w:rPr>
        <w:t>Съотношение на законоустановена МРЗ спрямо средните брутни месечни работни заплати в еднакъв интервал от време (%)</w:t>
      </w:r>
    </w:p>
    <w:tbl>
      <w:tblPr>
        <w:tblStyle w:val="TableGrid"/>
        <w:tblW w:w="0" w:type="auto"/>
        <w:jc w:val="center"/>
        <w:tblLook w:val="04A0" w:firstRow="1" w:lastRow="0" w:firstColumn="1" w:lastColumn="0" w:noHBand="0" w:noVBand="1"/>
      </w:tblPr>
      <w:tblGrid>
        <w:gridCol w:w="1685"/>
        <w:gridCol w:w="1080"/>
        <w:gridCol w:w="1080"/>
        <w:gridCol w:w="1080"/>
        <w:gridCol w:w="1080"/>
        <w:gridCol w:w="1080"/>
        <w:gridCol w:w="1080"/>
      </w:tblGrid>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 </w:t>
            </w:r>
          </w:p>
        </w:tc>
        <w:tc>
          <w:tcPr>
            <w:tcW w:w="1080"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2019</w:t>
            </w:r>
          </w:p>
        </w:tc>
        <w:tc>
          <w:tcPr>
            <w:tcW w:w="1080"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2020</w:t>
            </w:r>
          </w:p>
        </w:tc>
        <w:tc>
          <w:tcPr>
            <w:tcW w:w="1080"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2021</w:t>
            </w:r>
          </w:p>
        </w:tc>
        <w:tc>
          <w:tcPr>
            <w:tcW w:w="1080"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2022</w:t>
            </w:r>
          </w:p>
        </w:tc>
        <w:tc>
          <w:tcPr>
            <w:tcW w:w="1080"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2023</w:t>
            </w:r>
          </w:p>
        </w:tc>
        <w:tc>
          <w:tcPr>
            <w:tcW w:w="1080" w:type="dxa"/>
            <w:noWrap/>
            <w:hideMark/>
          </w:tcPr>
          <w:p w:rsidR="003F6C71" w:rsidRPr="005A7D4A" w:rsidRDefault="003F6C71" w:rsidP="001D224A">
            <w:pPr>
              <w:spacing w:line="360" w:lineRule="auto"/>
              <w:jc w:val="both"/>
              <w:rPr>
                <w:rFonts w:ascii="Times New Roman" w:hAnsi="Times New Roman" w:cs="Times New Roman"/>
                <w:b/>
                <w:bCs/>
              </w:rPr>
            </w:pPr>
            <w:r w:rsidRPr="005A7D4A">
              <w:rPr>
                <w:rFonts w:ascii="Times New Roman" w:hAnsi="Times New Roman" w:cs="Times New Roman"/>
                <w:b/>
                <w:bCs/>
              </w:rPr>
              <w:t>2024</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Белгия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България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43,2</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41,5</w:t>
            </w:r>
          </w:p>
        </w:tc>
        <w:tc>
          <w:tcPr>
            <w:tcW w:w="1080" w:type="dxa"/>
            <w:noWrap/>
            <w:hideMark/>
          </w:tcPr>
          <w:p w:rsidR="003F6C71" w:rsidRPr="00D91325" w:rsidRDefault="003F6C71" w:rsidP="001D224A">
            <w:pPr>
              <w:spacing w:line="360" w:lineRule="auto"/>
              <w:jc w:val="center"/>
              <w:rPr>
                <w:rFonts w:ascii="Times New Roman" w:hAnsi="Times New Roman" w:cs="Times New Roman"/>
              </w:rPr>
            </w:pPr>
            <w:r w:rsidRPr="00D91325">
              <w:rPr>
                <w:rFonts w:ascii="Times New Roman" w:hAnsi="Times New Roman" w:cs="Times New Roman"/>
              </w:rPr>
              <w:t>38,6</w:t>
            </w:r>
          </w:p>
        </w:tc>
        <w:tc>
          <w:tcPr>
            <w:tcW w:w="1080" w:type="dxa"/>
            <w:noWrap/>
            <w:hideMark/>
          </w:tcPr>
          <w:p w:rsidR="003F6C71" w:rsidRPr="00D91325" w:rsidRDefault="003F6C71" w:rsidP="001D224A">
            <w:pPr>
              <w:spacing w:line="360" w:lineRule="auto"/>
              <w:jc w:val="center"/>
              <w:rPr>
                <w:rFonts w:ascii="Times New Roman" w:hAnsi="Times New Roman" w:cs="Times New Roman"/>
                <w:b/>
                <w:bCs/>
              </w:rPr>
            </w:pPr>
            <w:r w:rsidRPr="00D91325">
              <w:rPr>
                <w:rFonts w:ascii="Times New Roman" w:hAnsi="Times New Roman" w:cs="Times New Roman"/>
                <w:b/>
                <w:bCs/>
              </w:rPr>
              <w:t>38,7</w:t>
            </w:r>
          </w:p>
        </w:tc>
        <w:tc>
          <w:tcPr>
            <w:tcW w:w="1080" w:type="dxa"/>
            <w:noWrap/>
            <w:hideMark/>
          </w:tcPr>
          <w:p w:rsidR="003F6C71" w:rsidRPr="00D91325" w:rsidRDefault="003F6C71" w:rsidP="001D224A">
            <w:pPr>
              <w:spacing w:line="360" w:lineRule="auto"/>
              <w:jc w:val="center"/>
              <w:rPr>
                <w:rFonts w:ascii="Times New Roman" w:hAnsi="Times New Roman" w:cs="Times New Roman"/>
              </w:rPr>
            </w:pPr>
            <w:r w:rsidRPr="00D91325">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Чехия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39,0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Германия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45,4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48,70</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lastRenderedPageBreak/>
              <w:t>Естония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38,5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37,9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38,8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Ирландия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45,9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Испания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53,2</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54,1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Франция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46,7</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49,0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47,2</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Хърватия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43,2</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Латвия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39,5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38,5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Литва</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44,8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44,3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45,4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Люксембург</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48,8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48,2</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49,9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49,5</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Унгария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41,8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Малта</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45,7</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51,0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46,7</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Нидерландия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43,7</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Полша</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46,1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50,1</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49,43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Португалия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49,8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50,8</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51,4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52,6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54,7</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54,8</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Румъния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48,4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48,3</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47,9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Словения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52,5</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53,6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55,2</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54,6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55,7</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r w:rsidR="003F6C71" w:rsidRPr="005A7D4A" w:rsidTr="001D224A">
        <w:trPr>
          <w:trHeight w:val="228"/>
          <w:jc w:val="center"/>
        </w:trPr>
        <w:tc>
          <w:tcPr>
            <w:tcW w:w="1685" w:type="dxa"/>
            <w:noWrap/>
            <w:hideMark/>
          </w:tcPr>
          <w:p w:rsidR="003F6C71" w:rsidRPr="005A7D4A" w:rsidRDefault="003F6C71" w:rsidP="001D224A">
            <w:pPr>
              <w:spacing w:line="360" w:lineRule="auto"/>
              <w:jc w:val="both"/>
              <w:rPr>
                <w:rFonts w:ascii="Times New Roman" w:hAnsi="Times New Roman" w:cs="Times New Roman"/>
                <w:b/>
                <w:bCs/>
                <w:lang w:val="bg-BG"/>
              </w:rPr>
            </w:pPr>
            <w:r w:rsidRPr="005A7D4A">
              <w:rPr>
                <w:rFonts w:ascii="Times New Roman" w:hAnsi="Times New Roman" w:cs="Times New Roman"/>
                <w:b/>
                <w:bCs/>
                <w:lang w:val="bg-BG"/>
              </w:rPr>
              <w:t>Словакия</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40,7</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43,6</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44,4</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42,9</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43,0</w:t>
            </w:r>
          </w:p>
        </w:tc>
        <w:tc>
          <w:tcPr>
            <w:tcW w:w="1080" w:type="dxa"/>
            <w:noWrap/>
            <w:hideMark/>
          </w:tcPr>
          <w:p w:rsidR="003F6C71" w:rsidRPr="005A7D4A" w:rsidRDefault="003F6C71" w:rsidP="001D224A">
            <w:pPr>
              <w:spacing w:line="360" w:lineRule="auto"/>
              <w:jc w:val="center"/>
              <w:rPr>
                <w:rFonts w:ascii="Times New Roman" w:hAnsi="Times New Roman" w:cs="Times New Roman"/>
              </w:rPr>
            </w:pPr>
            <w:r w:rsidRPr="005A7D4A">
              <w:rPr>
                <w:rFonts w:ascii="Times New Roman" w:hAnsi="Times New Roman" w:cs="Times New Roman"/>
              </w:rPr>
              <w:t>:</w:t>
            </w:r>
          </w:p>
        </w:tc>
      </w:tr>
    </w:tbl>
    <w:p w:rsidR="003F6C71" w:rsidRDefault="003F6C71" w:rsidP="003F6C71">
      <w:pPr>
        <w:spacing w:line="360" w:lineRule="auto"/>
        <w:jc w:val="both"/>
      </w:pPr>
      <w:r w:rsidRPr="005A7D4A">
        <w:t xml:space="preserve">Източник: Евростат, </w:t>
      </w:r>
      <w:proofErr w:type="spellStart"/>
      <w:r w:rsidRPr="005A7D4A">
        <w:t>Monthly</w:t>
      </w:r>
      <w:proofErr w:type="spellEnd"/>
      <w:r w:rsidRPr="005A7D4A">
        <w:t xml:space="preserve"> </w:t>
      </w:r>
      <w:proofErr w:type="spellStart"/>
      <w:r w:rsidRPr="005A7D4A">
        <w:t>minimum</w:t>
      </w:r>
      <w:proofErr w:type="spellEnd"/>
      <w:r w:rsidRPr="005A7D4A">
        <w:t xml:space="preserve"> </w:t>
      </w:r>
      <w:proofErr w:type="spellStart"/>
      <w:r w:rsidRPr="005A7D4A">
        <w:t>wage</w:t>
      </w:r>
      <w:proofErr w:type="spellEnd"/>
      <w:r w:rsidRPr="005A7D4A">
        <w:t xml:space="preserve"> </w:t>
      </w:r>
      <w:proofErr w:type="spellStart"/>
      <w:r w:rsidRPr="005A7D4A">
        <w:t>as</w:t>
      </w:r>
      <w:proofErr w:type="spellEnd"/>
      <w:r w:rsidRPr="005A7D4A">
        <w:t xml:space="preserve"> a </w:t>
      </w:r>
      <w:proofErr w:type="spellStart"/>
      <w:r w:rsidRPr="005A7D4A">
        <w:t>proportion</w:t>
      </w:r>
      <w:proofErr w:type="spellEnd"/>
      <w:r w:rsidRPr="005A7D4A">
        <w:t xml:space="preserve"> </w:t>
      </w:r>
      <w:proofErr w:type="spellStart"/>
      <w:r w:rsidRPr="005A7D4A">
        <w:t>of</w:t>
      </w:r>
      <w:proofErr w:type="spellEnd"/>
      <w:r w:rsidRPr="005A7D4A">
        <w:t xml:space="preserve"> </w:t>
      </w:r>
      <w:proofErr w:type="spellStart"/>
      <w:r w:rsidRPr="005A7D4A">
        <w:t>average</w:t>
      </w:r>
      <w:proofErr w:type="spellEnd"/>
      <w:r w:rsidRPr="005A7D4A">
        <w:t xml:space="preserve"> </w:t>
      </w:r>
      <w:proofErr w:type="spellStart"/>
      <w:r w:rsidRPr="005A7D4A">
        <w:t>monthly</w:t>
      </w:r>
      <w:proofErr w:type="spellEnd"/>
      <w:r w:rsidRPr="005A7D4A">
        <w:t xml:space="preserve"> </w:t>
      </w:r>
      <w:proofErr w:type="spellStart"/>
      <w:r w:rsidRPr="005A7D4A">
        <w:t>earnings</w:t>
      </w:r>
      <w:proofErr w:type="spellEnd"/>
      <w:r w:rsidRPr="005A7D4A">
        <w:t xml:space="preserve"> (%) - NACE </w:t>
      </w:r>
      <w:proofErr w:type="spellStart"/>
      <w:r w:rsidRPr="005A7D4A">
        <w:t>Rev</w:t>
      </w:r>
      <w:proofErr w:type="spellEnd"/>
      <w:r w:rsidRPr="005A7D4A">
        <w:t>. 2 (</w:t>
      </w:r>
      <w:proofErr w:type="spellStart"/>
      <w:r w:rsidRPr="005A7D4A">
        <w:t>from</w:t>
      </w:r>
      <w:proofErr w:type="spellEnd"/>
      <w:r w:rsidRPr="005A7D4A">
        <w:t xml:space="preserve"> 2008 </w:t>
      </w:r>
      <w:proofErr w:type="spellStart"/>
      <w:r w:rsidRPr="005A7D4A">
        <w:t>onwards</w:t>
      </w:r>
      <w:proofErr w:type="spellEnd"/>
      <w:r w:rsidRPr="005A7D4A">
        <w:t>) [</w:t>
      </w:r>
      <w:proofErr w:type="spellStart"/>
      <w:r w:rsidRPr="005A7D4A">
        <w:t>earn_mw_avgr</w:t>
      </w:r>
      <w:proofErr w:type="spellEnd"/>
      <w:r w:rsidRPr="005A7D4A">
        <w:t xml:space="preserve">] </w:t>
      </w:r>
    </w:p>
    <w:p w:rsidR="002C49AF" w:rsidRPr="005A7D4A" w:rsidRDefault="002C49AF" w:rsidP="003F6C71">
      <w:pPr>
        <w:spacing w:line="360" w:lineRule="auto"/>
        <w:jc w:val="both"/>
      </w:pPr>
    </w:p>
    <w:p w:rsidR="003F6C71" w:rsidRDefault="003F6C71" w:rsidP="003F6C71">
      <w:pPr>
        <w:pStyle w:val="PlainText"/>
        <w:spacing w:line="360" w:lineRule="auto"/>
        <w:ind w:firstLine="720"/>
        <w:jc w:val="both"/>
        <w:rPr>
          <w:rFonts w:ascii="Times New Roman" w:hAnsi="Times New Roman" w:cs="Times New Roman"/>
          <w:sz w:val="24"/>
          <w:szCs w:val="24"/>
        </w:rPr>
      </w:pPr>
      <w:r w:rsidRPr="006D2D06">
        <w:rPr>
          <w:rFonts w:ascii="Times New Roman" w:hAnsi="Times New Roman" w:cs="Times New Roman"/>
          <w:iCs/>
          <w:sz w:val="24"/>
          <w:szCs w:val="24"/>
        </w:rPr>
        <w:t xml:space="preserve">В този смисъл, КНСБ няма как да приеме твърдения, че нарастването на </w:t>
      </w:r>
      <w:r>
        <w:rPr>
          <w:rFonts w:ascii="Times New Roman" w:hAnsi="Times New Roman" w:cs="Times New Roman"/>
          <w:iCs/>
          <w:sz w:val="24"/>
          <w:szCs w:val="24"/>
        </w:rPr>
        <w:t xml:space="preserve">минималната </w:t>
      </w:r>
      <w:r w:rsidRPr="006D2D06">
        <w:rPr>
          <w:rFonts w:ascii="Times New Roman" w:hAnsi="Times New Roman" w:cs="Times New Roman"/>
          <w:iCs/>
          <w:sz w:val="24"/>
          <w:szCs w:val="24"/>
        </w:rPr>
        <w:t>заплат</w:t>
      </w:r>
      <w:r>
        <w:rPr>
          <w:rFonts w:ascii="Times New Roman" w:hAnsi="Times New Roman" w:cs="Times New Roman"/>
          <w:iCs/>
          <w:sz w:val="24"/>
          <w:szCs w:val="24"/>
        </w:rPr>
        <w:t>а</w:t>
      </w:r>
      <w:r w:rsidRPr="006D2D06">
        <w:rPr>
          <w:rFonts w:ascii="Times New Roman" w:hAnsi="Times New Roman" w:cs="Times New Roman"/>
          <w:iCs/>
          <w:sz w:val="24"/>
          <w:szCs w:val="24"/>
        </w:rPr>
        <w:t xml:space="preserve"> пречи на конкурентоспособността на икономиката. Данните на Евростат </w:t>
      </w:r>
      <w:r w:rsidRPr="00535EC3">
        <w:rPr>
          <w:rFonts w:ascii="Times New Roman" w:hAnsi="Times New Roman" w:cs="Times New Roman"/>
          <w:bCs/>
          <w:iCs/>
          <w:sz w:val="24"/>
          <w:szCs w:val="24"/>
        </w:rPr>
        <w:t>на разходите за труд</w:t>
      </w:r>
      <w:r w:rsidRPr="006D2D06">
        <w:rPr>
          <w:rFonts w:ascii="Times New Roman" w:hAnsi="Times New Roman" w:cs="Times New Roman"/>
          <w:iCs/>
          <w:sz w:val="24"/>
          <w:szCs w:val="24"/>
        </w:rPr>
        <w:t xml:space="preserve"> наистина показват, че България отчита висок растеж през последните години. Например, в средата на 2024 г. е на второ място по растеж с 15.4%, след Хърватия с 17.6%. Близо до нас са Румъния (15%), Полша и Унгария (с по 12.9%). За България ръстът на разходите за труд </w:t>
      </w:r>
      <w:r w:rsidRPr="006D2D06">
        <w:rPr>
          <w:rFonts w:ascii="Times New Roman" w:hAnsi="Times New Roman" w:cs="Times New Roman"/>
          <w:sz w:val="24"/>
          <w:szCs w:val="24"/>
        </w:rPr>
        <w:t xml:space="preserve">е естествен процес, който произтича от цялостната тенденция на догонващ ръст на доходите в източноевропейските страни. </w:t>
      </w:r>
      <w:r>
        <w:rPr>
          <w:rFonts w:ascii="Times New Roman" w:hAnsi="Times New Roman" w:cs="Times New Roman"/>
          <w:sz w:val="24"/>
          <w:szCs w:val="24"/>
        </w:rPr>
        <w:t>В контекста на общата идея за възходяща конвергенция, няма нищо по-естествено от това, страни с ниски номинални равнища на доходите да отбелязват значително по-високи темпове на ръст на доходите спрямо страни с високи номинални равнища. В икономиката това се нарича „бета“ – конвергенция и е препоръчителна за малки отворени икономики, каквато е българската.</w:t>
      </w:r>
    </w:p>
    <w:p w:rsidR="003F6C71" w:rsidRPr="006D2D06" w:rsidRDefault="003F6C71" w:rsidP="003F6C71">
      <w:pPr>
        <w:pStyle w:val="Plain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Налаганите в</w:t>
      </w:r>
      <w:r w:rsidRPr="006D2D06">
        <w:rPr>
          <w:rFonts w:ascii="Times New Roman" w:hAnsi="Times New Roman" w:cs="Times New Roman"/>
          <w:sz w:val="24"/>
          <w:szCs w:val="24"/>
        </w:rPr>
        <w:t>нушения</w:t>
      </w:r>
      <w:r>
        <w:rPr>
          <w:rFonts w:ascii="Times New Roman" w:hAnsi="Times New Roman" w:cs="Times New Roman"/>
          <w:sz w:val="24"/>
          <w:szCs w:val="24"/>
        </w:rPr>
        <w:t xml:space="preserve"> </w:t>
      </w:r>
      <w:r w:rsidRPr="006D2D06">
        <w:rPr>
          <w:rFonts w:ascii="Times New Roman" w:hAnsi="Times New Roman" w:cs="Times New Roman"/>
          <w:sz w:val="24"/>
          <w:szCs w:val="24"/>
        </w:rPr>
        <w:t xml:space="preserve">в обществото </w:t>
      </w:r>
      <w:r>
        <w:rPr>
          <w:rFonts w:ascii="Times New Roman" w:hAnsi="Times New Roman" w:cs="Times New Roman"/>
          <w:sz w:val="24"/>
          <w:szCs w:val="24"/>
        </w:rPr>
        <w:t>напоследък</w:t>
      </w:r>
      <w:r w:rsidRPr="006D2D06">
        <w:rPr>
          <w:rFonts w:ascii="Times New Roman" w:hAnsi="Times New Roman" w:cs="Times New Roman"/>
          <w:sz w:val="24"/>
          <w:szCs w:val="24"/>
        </w:rPr>
        <w:t>, че чуждите инвеститори напускат страната ни и този процес ще се задълбочи при сегашното "рязко движение на МРЗ", са манипулативни</w:t>
      </w:r>
      <w:r>
        <w:rPr>
          <w:rFonts w:ascii="Times New Roman" w:hAnsi="Times New Roman" w:cs="Times New Roman"/>
          <w:sz w:val="24"/>
          <w:szCs w:val="24"/>
        </w:rPr>
        <w:t xml:space="preserve"> н</w:t>
      </w:r>
      <w:r w:rsidRPr="006D2D06">
        <w:rPr>
          <w:rFonts w:ascii="Times New Roman" w:hAnsi="Times New Roman" w:cs="Times New Roman"/>
          <w:sz w:val="24"/>
          <w:szCs w:val="24"/>
        </w:rPr>
        <w:t>ай-малко заради това, че нашата МРЗ е въпреки всичко най-ниска в ЕС.</w:t>
      </w:r>
    </w:p>
    <w:p w:rsidR="003F6C71" w:rsidRDefault="003F6C71" w:rsidP="003F6C71">
      <w:pPr>
        <w:pStyle w:val="PlainText"/>
        <w:spacing w:line="360" w:lineRule="auto"/>
        <w:ind w:firstLine="720"/>
        <w:jc w:val="both"/>
        <w:rPr>
          <w:rFonts w:ascii="Times New Roman" w:hAnsi="Times New Roman" w:cs="Times New Roman"/>
          <w:sz w:val="24"/>
          <w:szCs w:val="24"/>
        </w:rPr>
      </w:pPr>
      <w:r w:rsidRPr="003B3DCF">
        <w:rPr>
          <w:rFonts w:ascii="Times New Roman" w:hAnsi="Times New Roman" w:cs="Times New Roman"/>
          <w:sz w:val="24"/>
          <w:szCs w:val="24"/>
        </w:rPr>
        <w:lastRenderedPageBreak/>
        <w:t xml:space="preserve">Евтината цена на труда не трябва да се разглежда като конкурентно предимство. Сравнението с ниската производителност на труда също не може да бъде основание. Тя зависи предимно от високотехнологичните инвестиции и добрата организация на труда. </w:t>
      </w:r>
    </w:p>
    <w:p w:rsidR="003F6C71" w:rsidRDefault="003F6C71" w:rsidP="003F6C71">
      <w:pPr>
        <w:pStyle w:val="PlainText"/>
        <w:spacing w:line="360" w:lineRule="auto"/>
        <w:ind w:firstLine="720"/>
        <w:jc w:val="both"/>
        <w:rPr>
          <w:rFonts w:ascii="Times New Roman" w:eastAsia="Calibri" w:hAnsi="Times New Roman" w:cs="Times New Roman"/>
          <w:sz w:val="24"/>
          <w:szCs w:val="24"/>
        </w:rPr>
      </w:pPr>
      <w:r w:rsidRPr="00E6396E">
        <w:rPr>
          <w:rFonts w:ascii="Times New Roman" w:eastAsia="Calibri" w:hAnsi="Times New Roman" w:cs="Times New Roman"/>
          <w:sz w:val="24"/>
          <w:szCs w:val="24"/>
        </w:rPr>
        <w:t>Безпочвени са опасенията, че увеличението на МРЗ може да доведе до намаление на заетостта на нискоквалифицираната работна сила. Последните данни показват, че през последн</w:t>
      </w:r>
      <w:r>
        <w:rPr>
          <w:rFonts w:ascii="Times New Roman" w:eastAsia="Calibri" w:hAnsi="Times New Roman" w:cs="Times New Roman"/>
          <w:sz w:val="24"/>
          <w:szCs w:val="24"/>
        </w:rPr>
        <w:t>ите две</w:t>
      </w:r>
      <w:r w:rsidRPr="00E6396E">
        <w:rPr>
          <w:rFonts w:ascii="Times New Roman" w:eastAsia="Calibri" w:hAnsi="Times New Roman" w:cs="Times New Roman"/>
          <w:sz w:val="24"/>
          <w:szCs w:val="24"/>
        </w:rPr>
        <w:t xml:space="preserve"> годин</w:t>
      </w:r>
      <w:r>
        <w:rPr>
          <w:rFonts w:ascii="Times New Roman" w:eastAsia="Calibri" w:hAnsi="Times New Roman" w:cs="Times New Roman"/>
          <w:sz w:val="24"/>
          <w:szCs w:val="24"/>
        </w:rPr>
        <w:t>и</w:t>
      </w:r>
      <w:r w:rsidRPr="00E6396E">
        <w:rPr>
          <w:rFonts w:ascii="Times New Roman" w:eastAsia="Calibri" w:hAnsi="Times New Roman" w:cs="Times New Roman"/>
          <w:sz w:val="24"/>
          <w:szCs w:val="24"/>
        </w:rPr>
        <w:t xml:space="preserve"> се отчита най-висок</w:t>
      </w:r>
      <w:r>
        <w:rPr>
          <w:rFonts w:ascii="Times New Roman" w:eastAsia="Calibri" w:hAnsi="Times New Roman" w:cs="Times New Roman"/>
          <w:sz w:val="24"/>
          <w:szCs w:val="24"/>
        </w:rPr>
        <w:t>ия</w:t>
      </w:r>
      <w:r w:rsidRPr="00E6396E">
        <w:rPr>
          <w:rFonts w:ascii="Times New Roman" w:eastAsia="Calibri" w:hAnsi="Times New Roman" w:cs="Times New Roman"/>
          <w:sz w:val="24"/>
          <w:szCs w:val="24"/>
        </w:rPr>
        <w:t xml:space="preserve"> коефициент на заетост (близо 77% ) и едно от най-ниските равнища на безработица (</w:t>
      </w:r>
      <w:r>
        <w:rPr>
          <w:rFonts w:ascii="Times New Roman" w:eastAsia="Calibri" w:hAnsi="Times New Roman" w:cs="Times New Roman"/>
          <w:sz w:val="24"/>
          <w:szCs w:val="24"/>
        </w:rPr>
        <w:t xml:space="preserve">между 3,7% и </w:t>
      </w:r>
      <w:r w:rsidRPr="00E6396E">
        <w:rPr>
          <w:rFonts w:ascii="Times New Roman" w:eastAsia="Calibri" w:hAnsi="Times New Roman" w:cs="Times New Roman"/>
          <w:sz w:val="24"/>
          <w:szCs w:val="24"/>
        </w:rPr>
        <w:t xml:space="preserve">4.3%), което е близо до естествената норма. </w:t>
      </w:r>
    </w:p>
    <w:p w:rsidR="003F6C71" w:rsidRPr="00E6396E" w:rsidRDefault="003F6C71" w:rsidP="003F6C71">
      <w:pPr>
        <w:pStyle w:val="Plain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този смисъл </w:t>
      </w:r>
      <w:r w:rsidRPr="00E6396E">
        <w:rPr>
          <w:rFonts w:ascii="Times New Roman" w:hAnsi="Times New Roman" w:cs="Times New Roman"/>
          <w:sz w:val="24"/>
          <w:szCs w:val="24"/>
        </w:rPr>
        <w:t>твърденията, че увеличението на минималната работна заплата рискува да изключи от пазара на труда част от ни</w:t>
      </w:r>
      <w:r w:rsidR="002C49AF">
        <w:rPr>
          <w:rFonts w:ascii="Times New Roman" w:hAnsi="Times New Roman" w:cs="Times New Roman"/>
          <w:sz w:val="24"/>
          <w:szCs w:val="24"/>
        </w:rPr>
        <w:t>скоквалифицираната работна ръка</w:t>
      </w:r>
      <w:r w:rsidRPr="00E6396E">
        <w:rPr>
          <w:rFonts w:ascii="Times New Roman" w:hAnsi="Times New Roman" w:cs="Times New Roman"/>
          <w:sz w:val="24"/>
          <w:szCs w:val="24"/>
        </w:rPr>
        <w:t xml:space="preserve"> по никакъв начин не намира емпирични доказателства както в краткосрочен, така и в дългосрочен план.</w:t>
      </w:r>
      <w:r w:rsidRPr="005C0342">
        <w:rPr>
          <w:rFonts w:ascii="Times New Roman" w:hAnsi="Times New Roman" w:cs="Times New Roman"/>
          <w:b/>
          <w:bCs/>
          <w:sz w:val="28"/>
          <w:szCs w:val="28"/>
        </w:rPr>
        <w:t xml:space="preserve"> </w:t>
      </w:r>
      <w:r w:rsidRPr="00E6396E">
        <w:rPr>
          <w:rFonts w:ascii="Times New Roman" w:hAnsi="Times New Roman" w:cs="Times New Roman"/>
          <w:color w:val="000000"/>
          <w:sz w:val="24"/>
          <w:szCs w:val="24"/>
        </w:rPr>
        <w:t>Такава негативна корелация статистически не само, че не се доказва, а обратно – по скоро може да се твърди, че ръстът на минималната работна заплата в продължителни периоди се съпровожда от ръст в заетостта на нискоквалифицираната работна сила и обратно.</w:t>
      </w:r>
      <w:r w:rsidRPr="005C0342">
        <w:rPr>
          <w:rFonts w:ascii="Times New Roman" w:hAnsi="Times New Roman" w:cs="Times New Roman"/>
          <w:color w:val="000000"/>
          <w:sz w:val="28"/>
          <w:szCs w:val="28"/>
        </w:rPr>
        <w:t xml:space="preserve"> </w:t>
      </w:r>
    </w:p>
    <w:p w:rsidR="003F6C71" w:rsidRDefault="003F6C71" w:rsidP="003F6C71">
      <w:pPr>
        <w:pStyle w:val="PlainText"/>
        <w:spacing w:line="360" w:lineRule="auto"/>
        <w:rPr>
          <w:rFonts w:ascii="Times New Roman" w:hAnsi="Times New Roman" w:cs="Times New Roman"/>
          <w:i/>
          <w:sz w:val="24"/>
          <w:szCs w:val="24"/>
        </w:rPr>
      </w:pPr>
    </w:p>
    <w:p w:rsidR="003F6C71" w:rsidRPr="00E6396E" w:rsidRDefault="003F6C71" w:rsidP="003F6C71">
      <w:pPr>
        <w:pStyle w:val="PlainText"/>
        <w:spacing w:line="360" w:lineRule="auto"/>
        <w:jc w:val="center"/>
        <w:rPr>
          <w:rFonts w:ascii="Times New Roman" w:hAnsi="Times New Roman" w:cs="Times New Roman"/>
          <w:sz w:val="24"/>
          <w:szCs w:val="24"/>
        </w:rPr>
      </w:pPr>
      <w:r w:rsidRPr="00C46491">
        <w:rPr>
          <w:rFonts w:ascii="Times New Roman" w:hAnsi="Times New Roman" w:cs="Times New Roman"/>
          <w:i/>
          <w:sz w:val="24"/>
          <w:szCs w:val="24"/>
        </w:rPr>
        <w:t>Таблица 2</w:t>
      </w:r>
      <w:r w:rsidRPr="00E6396E">
        <w:rPr>
          <w:rFonts w:ascii="Times New Roman" w:hAnsi="Times New Roman" w:cs="Times New Roman"/>
          <w:sz w:val="24"/>
          <w:szCs w:val="24"/>
        </w:rPr>
        <w:t xml:space="preserve">: </w:t>
      </w:r>
      <w:r w:rsidRPr="00C46491">
        <w:rPr>
          <w:rFonts w:ascii="Times New Roman" w:hAnsi="Times New Roman" w:cs="Times New Roman"/>
          <w:b/>
          <w:sz w:val="24"/>
          <w:szCs w:val="24"/>
        </w:rPr>
        <w:t>Съотношение МРЗ/СРЗ и коефициент на заетост на нискоквалифицирани работници</w:t>
      </w:r>
      <w:r>
        <w:rPr>
          <w:rStyle w:val="FootnoteReference"/>
          <w:rFonts w:ascii="Times New Roman" w:hAnsi="Times New Roman" w:cs="Times New Roman"/>
          <w:sz w:val="24"/>
          <w:szCs w:val="24"/>
        </w:rPr>
        <w:footnoteReference w:id="1"/>
      </w:r>
    </w:p>
    <w:tbl>
      <w:tblPr>
        <w:tblStyle w:val="TableGrid"/>
        <w:tblW w:w="9810" w:type="dxa"/>
        <w:tblInd w:w="108" w:type="dxa"/>
        <w:tblLayout w:type="fixed"/>
        <w:tblLook w:val="04A0" w:firstRow="1" w:lastRow="0" w:firstColumn="1" w:lastColumn="0" w:noHBand="0" w:noVBand="1"/>
      </w:tblPr>
      <w:tblGrid>
        <w:gridCol w:w="1867"/>
        <w:gridCol w:w="720"/>
        <w:gridCol w:w="720"/>
        <w:gridCol w:w="720"/>
        <w:gridCol w:w="720"/>
        <w:gridCol w:w="720"/>
        <w:gridCol w:w="720"/>
        <w:gridCol w:w="737"/>
        <w:gridCol w:w="703"/>
        <w:gridCol w:w="720"/>
        <w:gridCol w:w="720"/>
        <w:gridCol w:w="743"/>
      </w:tblGrid>
      <w:tr w:rsidR="003F6C71" w:rsidRPr="00E6396E" w:rsidTr="001D224A">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
                <w:lang w:val="bg-BG"/>
              </w:rPr>
            </w:pPr>
            <w:r w:rsidRPr="00E6396E">
              <w:rPr>
                <w:rFonts w:ascii="Times New Roman" w:hAnsi="Times New Roman" w:cs="Times New Roman"/>
                <w:b/>
                <w:lang w:val="bg-BG"/>
              </w:rPr>
              <w:t>Променливи</w:t>
            </w:r>
            <w:r w:rsidRPr="00E6396E">
              <w:rPr>
                <w:rFonts w:ascii="Times New Roman" w:hAnsi="Times New Roman" w:cs="Times New Roman"/>
                <w:lang w:val="bg-BG"/>
              </w:rPr>
              <w:t>*</w:t>
            </w:r>
            <w:r w:rsidRPr="00E6396E">
              <w:rPr>
                <w:rFonts w:ascii="Times New Roman" w:hAnsi="Times New Roman" w:cs="Times New Roman"/>
                <w:b/>
                <w:lang w:val="bg-BG"/>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2019</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2021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2022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bCs/>
                <w:lang w:val="bg-BG"/>
              </w:rPr>
            </w:pPr>
            <w:r w:rsidRPr="00E6396E">
              <w:rPr>
                <w:rFonts w:ascii="Times New Roman" w:hAnsi="Times New Roman" w:cs="Times New Roman"/>
                <w:bCs/>
                <w:lang w:val="bg-BG"/>
              </w:rPr>
              <w:t>2023</w:t>
            </w:r>
          </w:p>
        </w:tc>
      </w:tr>
      <w:tr w:rsidR="003F6C71" w:rsidRPr="00E6396E" w:rsidTr="001D224A">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proofErr w:type="spellStart"/>
            <w:r w:rsidRPr="00E6396E">
              <w:rPr>
                <w:rFonts w:ascii="Times New Roman" w:hAnsi="Times New Roman" w:cs="Times New Roman"/>
                <w:lang w:val="bg-BG"/>
              </w:rPr>
              <w:t>КзНКР</w:t>
            </w:r>
            <w:proofErr w:type="spellEnd"/>
            <w:r w:rsidRPr="00E6396E">
              <w:rPr>
                <w:rFonts w:ascii="Times New Roman" w:hAnsi="Times New Roman" w:cs="Times New Roman"/>
                <w:lang w:val="bg-BG"/>
              </w:rPr>
              <w:t>(20-64)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36,9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39,0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39,2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44,4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46,2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51,1</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50,2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50,2</w:t>
            </w:r>
          </w:p>
        </w:tc>
      </w:tr>
      <w:tr w:rsidR="003F6C71" w:rsidRPr="00E6396E" w:rsidTr="001D224A">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МРЗ/СРЗ</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39,2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43,1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43,3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43,2</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43,1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41,5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38,6</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C71" w:rsidRPr="00E6396E" w:rsidRDefault="003F6C71" w:rsidP="001D224A">
            <w:pPr>
              <w:spacing w:line="360" w:lineRule="auto"/>
              <w:jc w:val="both"/>
              <w:rPr>
                <w:rFonts w:ascii="Times New Roman" w:hAnsi="Times New Roman" w:cs="Times New Roman"/>
                <w:lang w:val="bg-BG"/>
              </w:rPr>
            </w:pPr>
            <w:r w:rsidRPr="00E6396E">
              <w:rPr>
                <w:rFonts w:ascii="Times New Roman" w:hAnsi="Times New Roman" w:cs="Times New Roman"/>
                <w:lang w:val="bg-BG"/>
              </w:rPr>
              <w:t>38,7</w:t>
            </w:r>
          </w:p>
        </w:tc>
      </w:tr>
    </w:tbl>
    <w:p w:rsidR="002C49AF" w:rsidRDefault="002C49AF" w:rsidP="003F6C71">
      <w:pPr>
        <w:spacing w:before="240" w:line="360" w:lineRule="auto"/>
        <w:ind w:firstLine="720"/>
        <w:jc w:val="both"/>
      </w:pPr>
    </w:p>
    <w:p w:rsidR="003F6C71" w:rsidRPr="00E6396E" w:rsidRDefault="003F6C71" w:rsidP="003F6C71">
      <w:pPr>
        <w:spacing w:before="240" w:line="360" w:lineRule="auto"/>
        <w:ind w:firstLine="720"/>
        <w:jc w:val="both"/>
      </w:pPr>
      <w:r w:rsidRPr="00E6396E">
        <w:t>Негативно влияние от повишаването на МРЗ върху заетостта на нискоквалифицираните работници не само че не се установява, а д</w:t>
      </w:r>
      <w:r w:rsidRPr="00E6396E">
        <w:rPr>
          <w:rFonts w:eastAsiaTheme="minorHAnsi"/>
          <w:color w:val="000000"/>
        </w:rPr>
        <w:t>вижението на двете променливи в една и съща посока по-скоро е в подкрепа на твърдението, че</w:t>
      </w:r>
      <w:r w:rsidRPr="00E6396E">
        <w:t xml:space="preserve"> е налице стимулиращ ефект върху заетостта. През последните три години се наблюдава низходящ трен в една или друга посока на заетостта на нискоквалифицираните работници, но тук в </w:t>
      </w:r>
      <w:r w:rsidRPr="00E6396E">
        <w:lastRenderedPageBreak/>
        <w:t xml:space="preserve">много по-силна степен </w:t>
      </w:r>
      <w:proofErr w:type="spellStart"/>
      <w:r w:rsidRPr="00E6396E">
        <w:t>корелира</w:t>
      </w:r>
      <w:proofErr w:type="spellEnd"/>
      <w:r w:rsidRPr="00E6396E">
        <w:t xml:space="preserve"> с икономическата цикличност и появата на извънредни обстоятелства, а в случая на България значително влияние оказва и общият недостиг на работна сила, вкл. и неквалифицирана. </w:t>
      </w:r>
    </w:p>
    <w:p w:rsidR="003F6C71" w:rsidRPr="00A801F5" w:rsidRDefault="003F6C71" w:rsidP="003F6C71">
      <w:pPr>
        <w:spacing w:line="360" w:lineRule="auto"/>
        <w:ind w:firstLine="720"/>
        <w:jc w:val="both"/>
        <w:rPr>
          <w:rFonts w:eastAsia="Calibri"/>
        </w:rPr>
      </w:pPr>
      <w:r w:rsidRPr="00A801F5">
        <w:t xml:space="preserve">Не бива да се пренебрегва и фактът, че </w:t>
      </w:r>
      <w:r w:rsidRPr="00A801F5">
        <w:rPr>
          <w:rFonts w:eastAsia="Calibri"/>
        </w:rPr>
        <w:t>ръстът на МРЗ има съществен принос за повишаване на потреблението, а оттам и за реалния икономическия растеж. За поредна година вътрешното търсене е основния</w:t>
      </w:r>
      <w:r w:rsidR="002C49AF">
        <w:rPr>
          <w:rFonts w:eastAsia="Calibri"/>
        </w:rPr>
        <w:t>т</w:t>
      </w:r>
      <w:r w:rsidRPr="00A801F5">
        <w:rPr>
          <w:rFonts w:eastAsia="Calibri"/>
        </w:rPr>
        <w:t xml:space="preserve"> двигател на растежа в България според последните доклади на ЕК, БНБ и МФ. Освен това нашият икономически растеж за второ тримесечие е 1,8%, а този на европейската икономика, едва 0,8%. Разликата идва от повишеното потребление и по-големия му дял при формирането на добавената стойност в икономиката. Последното се получава, когато е налице политика по доходите, вкл. и по отношение на минималната заплата.</w:t>
      </w:r>
    </w:p>
    <w:p w:rsidR="003F6C71" w:rsidRPr="00D91325" w:rsidRDefault="003F6C71" w:rsidP="003F6C71">
      <w:pPr>
        <w:spacing w:line="360" w:lineRule="auto"/>
        <w:ind w:firstLine="720"/>
        <w:jc w:val="both"/>
        <w:rPr>
          <w:rFonts w:eastAsiaTheme="minorHAnsi"/>
        </w:rPr>
      </w:pPr>
      <w:r w:rsidRPr="00A801F5">
        <w:rPr>
          <w:rFonts w:eastAsiaTheme="minorHAnsi"/>
        </w:rPr>
        <w:t xml:space="preserve">В този смисъл МРЗ изпълнява едновременно и икономически и социални функции. Ако за работодателя МРЗ е разход, то за работника тя е доход (източник на средства) за издръжка на живота и за възпроизводство на работната сила. </w:t>
      </w:r>
      <w:r w:rsidRPr="00DC6241">
        <w:rPr>
          <w:rFonts w:eastAsiaTheme="minorHAnsi"/>
        </w:rPr>
        <w:t xml:space="preserve">Пренебрегването на този постулат </w:t>
      </w:r>
      <w:r w:rsidRPr="00A801F5">
        <w:rPr>
          <w:rFonts w:eastAsiaTheme="minorHAnsi"/>
        </w:rPr>
        <w:t>води до възпроизводство на бедност и демотивация за заетост.</w:t>
      </w:r>
      <w:r>
        <w:rPr>
          <w:rFonts w:eastAsiaTheme="minorHAnsi"/>
        </w:rPr>
        <w:t xml:space="preserve"> Наред с това </w:t>
      </w:r>
      <w:r w:rsidRPr="00D91325">
        <w:rPr>
          <w:rFonts w:eastAsiaTheme="minorHAnsi"/>
        </w:rPr>
        <w:t xml:space="preserve">са в пълно противоречие с първия от цитираните критерии на Директивата (чл. 5, ал. 2) – за „покупателната способност на законоустановените МРЗ, като се взема предвид издръжката на живота“. </w:t>
      </w:r>
    </w:p>
    <w:p w:rsidR="003F6C71" w:rsidRPr="00D91325" w:rsidRDefault="003F6C71" w:rsidP="003F6C71">
      <w:pPr>
        <w:spacing w:line="360" w:lineRule="auto"/>
        <w:ind w:firstLine="720"/>
        <w:jc w:val="both"/>
      </w:pPr>
      <w:r w:rsidRPr="00D91325">
        <w:t xml:space="preserve">Затова КНСБ настоява адекватността на МРЗ да се тества със заплата за издръжка, базирана на необходими средства за издръжка на живота. Така измерен размерът на МРЗ играе съществена роля за намаляване на бедността и неравенствата и за осигуряване на достоен стандарт на живот. </w:t>
      </w:r>
    </w:p>
    <w:p w:rsidR="003F6C71" w:rsidRPr="00D91325" w:rsidRDefault="003F6C71" w:rsidP="003F6C71">
      <w:pPr>
        <w:spacing w:line="360" w:lineRule="auto"/>
        <w:ind w:firstLine="720"/>
        <w:jc w:val="both"/>
      </w:pPr>
      <w:r w:rsidRPr="00D91325">
        <w:t xml:space="preserve">КНСБ призовава Правителството да предприеме всички необходими действия България да възприеме тристранно одобрената дефиниция на МОТ относно Заплата за издръжка и да организира процес за изчисляване на нейната стойност чрез регулярни  изследвания, провеждани през Националния статистически институт (НСИ). В тази връзка КНСБ предлага учредяване на тристранен комитет, който да съдейства и подпомага НСИ в изработването на методология за определянето на т.н. Заплата за издръжка. Необходимо е този Комитет да бъде създаден и свикан на първо организационно заседание до края на срока за транспониране на Директивата за адекватни минимални работни заплати. Убедени сме, че така ще се гарантира ангажираността на всички заинтересовани страни, прозрачността, надеждността на източниците на данни и методите на тяхната обработка, както и провеждането на периодични прегледи на методологията  с оглед актуализиране на </w:t>
      </w:r>
      <w:r w:rsidRPr="00D91325">
        <w:lastRenderedPageBreak/>
        <w:t>модела на потребление на домакинствата, така че да се гарантира достоен начин на живот на работещите българи.</w:t>
      </w:r>
    </w:p>
    <w:p w:rsidR="003F6C71" w:rsidRDefault="002C49AF" w:rsidP="003F6C71">
      <w:pPr>
        <w:spacing w:line="360" w:lineRule="auto"/>
        <w:ind w:firstLine="720"/>
        <w:jc w:val="both"/>
        <w:rPr>
          <w:rFonts w:eastAsiaTheme="minorHAnsi"/>
        </w:rPr>
      </w:pPr>
      <w:r>
        <w:rPr>
          <w:rFonts w:eastAsiaTheme="minorHAnsi"/>
        </w:rPr>
        <w:t>На следващо място</w:t>
      </w:r>
      <w:r w:rsidR="003F6C71" w:rsidRPr="00D91325">
        <w:rPr>
          <w:rFonts w:eastAsiaTheme="minorHAnsi"/>
        </w:rPr>
        <w:t xml:space="preserve"> </w:t>
      </w:r>
      <w:r w:rsidR="003F6C71" w:rsidRPr="00D91325">
        <w:t xml:space="preserve">КНСБ категорично се противопоставя на твърдения от сорта на </w:t>
      </w:r>
      <w:r w:rsidR="003F6C71" w:rsidRPr="00A801F5">
        <w:t>„вредното влияние“ на ръста на МРЗ в регионален аспект, което често пъти стига дори до абсурдното предложение за регионални МРЗ. Подобна практика няма в Европа, а за мащабите на малка България тя е просто немислима. Задържането на ръста на МРЗ ще задълбочи проблемите в регионален аспект и ще засили още повече диспропорциите, доходните разлики</w:t>
      </w:r>
      <w:r w:rsidR="003F6C71">
        <w:t>,</w:t>
      </w:r>
      <w:r w:rsidR="003F6C71" w:rsidRPr="00A801F5">
        <w:t xml:space="preserve"> бедността</w:t>
      </w:r>
      <w:r w:rsidR="003F6C71">
        <w:t xml:space="preserve"> и регионалната миграция</w:t>
      </w:r>
      <w:r w:rsidR="003F6C71" w:rsidRPr="00A801F5">
        <w:t>.</w:t>
      </w:r>
      <w:r w:rsidR="003F6C71">
        <w:rPr>
          <w:sz w:val="28"/>
          <w:szCs w:val="28"/>
        </w:rPr>
        <w:t xml:space="preserve"> </w:t>
      </w:r>
      <w:r w:rsidR="003F6C71" w:rsidRPr="00A801F5">
        <w:t>Дори 80-милионна Германия с 16 автономни провинции не си позволява да мисли в тази посока.</w:t>
      </w:r>
      <w:r w:rsidR="003F6C71" w:rsidRPr="008D7FE8">
        <w:rPr>
          <w:sz w:val="28"/>
          <w:szCs w:val="28"/>
        </w:rPr>
        <w:t xml:space="preserve"> </w:t>
      </w:r>
    </w:p>
    <w:p w:rsidR="003F6C71" w:rsidRDefault="003F6C71" w:rsidP="003F6C71">
      <w:pPr>
        <w:spacing w:line="360" w:lineRule="auto"/>
        <w:ind w:firstLine="720"/>
        <w:jc w:val="both"/>
      </w:pPr>
      <w:r w:rsidRPr="00A801F5">
        <w:rPr>
          <w:rFonts w:eastAsiaTheme="minorHAnsi"/>
        </w:rPr>
        <w:t>Нещо повече, изчисленията на ИССИО на КНСБ</w:t>
      </w:r>
      <w:r w:rsidRPr="00A801F5">
        <w:t xml:space="preserve"> по области показват, че в крайна сметка  чл. 244 в КТ постига ниво на МРЗ към 50% от брутната средна работна заплата в конкретен отрязък от време, но не и през цялата календарна година, за която се прилага нивото на МРЗ. Всъщност, трайно за последните пет години МРЗ гравитира на ниво под 45% от брутната СРЗ. В 1/3 от областите на страната (по последни годишни данни на НСИ за 2023 г.) съотношението на МРЗ е под 50% от СРЗ за съответния район. Все пак в 6 области на страната имаме постигане на съотношение от над 57%, което се очаква да бъде наблюдавано и в края на настоящата и през следващата година. Но в никакъв случай не може да става въпрос за съотношения от сорта на 70% или 80%, каквито постоянно биват цитирани в последно време. </w:t>
      </w:r>
    </w:p>
    <w:p w:rsidR="002C49AF" w:rsidRPr="00A801F5" w:rsidRDefault="002C49AF" w:rsidP="003F6C71">
      <w:pPr>
        <w:spacing w:line="360" w:lineRule="auto"/>
        <w:ind w:firstLine="720"/>
        <w:jc w:val="both"/>
        <w:rPr>
          <w:rFonts w:eastAsiaTheme="minorHAnsi"/>
        </w:rPr>
      </w:pPr>
    </w:p>
    <w:p w:rsidR="003F6C71" w:rsidRPr="00C46491" w:rsidRDefault="003F6C71" w:rsidP="003F6C71">
      <w:pPr>
        <w:spacing w:line="360" w:lineRule="auto"/>
        <w:jc w:val="center"/>
        <w:rPr>
          <w:b/>
          <w:bCs/>
        </w:rPr>
      </w:pPr>
      <w:r w:rsidRPr="00C46491">
        <w:rPr>
          <w:bCs/>
          <w:i/>
        </w:rPr>
        <w:t>Таблица 3</w:t>
      </w:r>
      <w:r w:rsidRPr="00A801F5">
        <w:rPr>
          <w:bCs/>
        </w:rPr>
        <w:t xml:space="preserve">: </w:t>
      </w:r>
      <w:r w:rsidRPr="00C46491">
        <w:rPr>
          <w:b/>
          <w:bCs/>
        </w:rPr>
        <w:t>Съотношение на МРЗ към СРЗ, по области (2024 г. и 2025 г. прогнозни данни на база „равни други условия“ спрямо предходни периоди)</w:t>
      </w:r>
    </w:p>
    <w:tbl>
      <w:tblPr>
        <w:tblStyle w:val="TableGrid"/>
        <w:tblW w:w="0" w:type="auto"/>
        <w:tblLook w:val="04A0" w:firstRow="1" w:lastRow="0" w:firstColumn="1" w:lastColumn="0" w:noHBand="0" w:noVBand="1"/>
      </w:tblPr>
      <w:tblGrid>
        <w:gridCol w:w="2378"/>
        <w:gridCol w:w="960"/>
        <w:gridCol w:w="960"/>
        <w:gridCol w:w="960"/>
        <w:gridCol w:w="960"/>
        <w:gridCol w:w="960"/>
        <w:gridCol w:w="960"/>
        <w:gridCol w:w="960"/>
      </w:tblGrid>
      <w:tr w:rsidR="003F6C71" w:rsidRPr="00136D3E" w:rsidTr="001D224A">
        <w:trPr>
          <w:trHeight w:val="288"/>
        </w:trPr>
        <w:tc>
          <w:tcPr>
            <w:tcW w:w="2378" w:type="dxa"/>
            <w:noWrap/>
            <w:hideMark/>
          </w:tcPr>
          <w:p w:rsidR="003F6C71" w:rsidRPr="00136D3E" w:rsidRDefault="003F6C71" w:rsidP="001D224A">
            <w:pPr>
              <w:spacing w:line="360" w:lineRule="auto"/>
              <w:jc w:val="both"/>
              <w:rPr>
                <w:rFonts w:ascii="Times New Roman" w:hAnsi="Times New Roman" w:cs="Times New Roman"/>
              </w:rPr>
            </w:pP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2019</w:t>
            </w: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2020</w:t>
            </w: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2021</w:t>
            </w: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2022</w:t>
            </w: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2023</w:t>
            </w: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2024*</w:t>
            </w:r>
          </w:p>
        </w:tc>
        <w:tc>
          <w:tcPr>
            <w:tcW w:w="960" w:type="dxa"/>
            <w:noWrap/>
            <w:hideMark/>
          </w:tcPr>
          <w:p w:rsidR="003F6C71" w:rsidRPr="00136D3E" w:rsidRDefault="003F6C71" w:rsidP="001D224A">
            <w:pPr>
              <w:spacing w:line="360" w:lineRule="auto"/>
              <w:jc w:val="both"/>
              <w:rPr>
                <w:rFonts w:ascii="Times New Roman" w:hAnsi="Times New Roman" w:cs="Times New Roman"/>
              </w:rPr>
            </w:pPr>
            <w:r w:rsidRPr="00136D3E">
              <w:rPr>
                <w:rFonts w:ascii="Times New Roman" w:hAnsi="Times New Roman" w:cs="Times New Roman"/>
              </w:rPr>
              <w:t>2025*</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Общо за страната</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44%</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44%</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42%</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40%</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39%</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40%</w:t>
            </w:r>
          </w:p>
        </w:tc>
        <w:tc>
          <w:tcPr>
            <w:tcW w:w="960" w:type="dxa"/>
            <w:noWrap/>
            <w:hideMark/>
          </w:tcPr>
          <w:p w:rsidR="003F6C71" w:rsidRPr="00136D3E" w:rsidRDefault="003F6C71" w:rsidP="001D224A">
            <w:pPr>
              <w:spacing w:line="360" w:lineRule="auto"/>
              <w:jc w:val="both"/>
              <w:rPr>
                <w:rFonts w:ascii="Times New Roman" w:hAnsi="Times New Roman" w:cs="Times New Roman"/>
                <w:b/>
                <w:bCs/>
                <w:lang w:val="bg-BG"/>
              </w:rPr>
            </w:pPr>
            <w:r w:rsidRPr="00136D3E">
              <w:rPr>
                <w:rFonts w:ascii="Times New Roman" w:hAnsi="Times New Roman" w:cs="Times New Roman"/>
                <w:b/>
                <w:bCs/>
                <w:lang w:val="bg-BG"/>
              </w:rPr>
              <w:t>42%</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Видин</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62%</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Враца</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D91325" w:rsidRDefault="003F6C71" w:rsidP="001D224A">
            <w:pPr>
              <w:spacing w:line="360" w:lineRule="auto"/>
              <w:jc w:val="both"/>
              <w:rPr>
                <w:rFonts w:ascii="Times New Roman" w:hAnsi="Times New Roman" w:cs="Times New Roman"/>
                <w:lang w:val="bg-BG"/>
              </w:rPr>
            </w:pPr>
            <w:r w:rsidRPr="00D91325">
              <w:rPr>
                <w:rFonts w:ascii="Times New Roman" w:hAnsi="Times New Roman" w:cs="Times New Roman"/>
                <w:lang w:val="bg-BG"/>
              </w:rPr>
              <w:t>45%</w:t>
            </w:r>
          </w:p>
        </w:tc>
        <w:tc>
          <w:tcPr>
            <w:tcW w:w="960" w:type="dxa"/>
            <w:noWrap/>
            <w:hideMark/>
          </w:tcPr>
          <w:p w:rsidR="003F6C71" w:rsidRPr="00D91325" w:rsidRDefault="003F6C71" w:rsidP="001D224A">
            <w:pPr>
              <w:spacing w:line="360" w:lineRule="auto"/>
              <w:jc w:val="both"/>
              <w:rPr>
                <w:rFonts w:ascii="Times New Roman" w:hAnsi="Times New Roman" w:cs="Times New Roman"/>
                <w:lang w:val="bg-BG"/>
              </w:rPr>
            </w:pPr>
            <w:r w:rsidRPr="00D91325">
              <w:rPr>
                <w:rFonts w:ascii="Times New Roman" w:hAnsi="Times New Roman" w:cs="Times New Roman"/>
                <w:lang w:val="bg-BG"/>
              </w:rPr>
              <w:t>46%</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Ловеч</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Монтана</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57%</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Плевен</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Велико Търново</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Габрово</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Разград</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Русе</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lastRenderedPageBreak/>
              <w:t>Силистра</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Варна</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45%</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Добрич</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56%</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Търговище</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53%</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Шумен</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52%</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Бургас</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52%</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Сливен</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55%</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Стара Загора</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45%</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45%</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Ямбол</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53%</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Благоевград</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62%</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Кюстендил</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61%</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Перник</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55%</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53%</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София</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44%</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44%</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София (столица)</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32%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32%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30%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29%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29%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30%</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30%</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Кърджали</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54%</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55%</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Пазарджик</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51%</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51%</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Пловдив</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52%</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49%</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46%</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47%</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48%</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Смолян</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61%</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58%</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60%</w:t>
            </w:r>
          </w:p>
        </w:tc>
      </w:tr>
      <w:tr w:rsidR="003F6C71" w:rsidRPr="00136D3E" w:rsidTr="001D224A">
        <w:trPr>
          <w:trHeight w:val="288"/>
        </w:trPr>
        <w:tc>
          <w:tcPr>
            <w:tcW w:w="2378" w:type="dxa"/>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Хасково</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64%</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63%</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57%</w:t>
            </w:r>
          </w:p>
        </w:tc>
        <w:tc>
          <w:tcPr>
            <w:tcW w:w="960" w:type="dxa"/>
            <w:noWrap/>
            <w:hideMark/>
          </w:tcPr>
          <w:p w:rsidR="003F6C71" w:rsidRPr="00136D3E" w:rsidRDefault="003F6C71" w:rsidP="001D224A">
            <w:pPr>
              <w:spacing w:line="360" w:lineRule="auto"/>
              <w:jc w:val="both"/>
              <w:rPr>
                <w:rFonts w:ascii="Times New Roman" w:hAnsi="Times New Roman" w:cs="Times New Roman"/>
                <w:lang w:val="bg-BG"/>
              </w:rPr>
            </w:pPr>
            <w:r w:rsidRPr="00136D3E">
              <w:rPr>
                <w:rFonts w:ascii="Times New Roman" w:hAnsi="Times New Roman" w:cs="Times New Roman"/>
                <w:lang w:val="bg-BG"/>
              </w:rPr>
              <w:t>60%</w:t>
            </w:r>
          </w:p>
        </w:tc>
        <w:tc>
          <w:tcPr>
            <w:tcW w:w="960" w:type="dxa"/>
            <w:noWrap/>
            <w:hideMark/>
          </w:tcPr>
          <w:p w:rsidR="003F6C71" w:rsidRPr="00830739" w:rsidRDefault="003F6C71" w:rsidP="001D224A">
            <w:pPr>
              <w:spacing w:line="360" w:lineRule="auto"/>
              <w:jc w:val="both"/>
              <w:rPr>
                <w:rFonts w:ascii="Times New Roman" w:hAnsi="Times New Roman" w:cs="Times New Roman"/>
                <w:lang w:val="bg-BG"/>
              </w:rPr>
            </w:pPr>
            <w:r w:rsidRPr="00830739">
              <w:rPr>
                <w:rFonts w:ascii="Times New Roman" w:hAnsi="Times New Roman" w:cs="Times New Roman"/>
                <w:lang w:val="bg-BG"/>
              </w:rPr>
              <w:t>60%</w:t>
            </w:r>
          </w:p>
        </w:tc>
      </w:tr>
    </w:tbl>
    <w:p w:rsidR="003F6C71" w:rsidRPr="00603675" w:rsidRDefault="003F6C71" w:rsidP="003F6C71">
      <w:pPr>
        <w:jc w:val="both"/>
        <w:rPr>
          <w:i/>
        </w:rPr>
      </w:pPr>
      <w:r w:rsidRPr="00603675">
        <w:rPr>
          <w:i/>
        </w:rPr>
        <w:t>Източник: НСИ</w:t>
      </w:r>
    </w:p>
    <w:p w:rsidR="003F6C71" w:rsidRDefault="003F6C71" w:rsidP="003F6C71">
      <w:pPr>
        <w:spacing w:line="360" w:lineRule="auto"/>
        <w:jc w:val="both"/>
        <w:rPr>
          <w:i/>
        </w:rPr>
      </w:pPr>
      <w:r w:rsidRPr="003F1345">
        <w:rPr>
          <w:i/>
        </w:rPr>
        <w:t xml:space="preserve">* </w:t>
      </w:r>
      <w:r w:rsidRPr="00603675">
        <w:rPr>
          <w:i/>
        </w:rPr>
        <w:t xml:space="preserve">Прогнозни данни на база собствени изчисления на </w:t>
      </w:r>
      <w:r>
        <w:rPr>
          <w:i/>
        </w:rPr>
        <w:t xml:space="preserve">ИССИО на </w:t>
      </w:r>
      <w:r w:rsidRPr="00603675">
        <w:rPr>
          <w:i/>
        </w:rPr>
        <w:t>КНСБ</w:t>
      </w:r>
      <w:r>
        <w:rPr>
          <w:i/>
        </w:rPr>
        <w:t xml:space="preserve">. </w:t>
      </w:r>
      <w:r w:rsidRPr="00733EE9">
        <w:rPr>
          <w:i/>
        </w:rPr>
        <w:t>Заложеният ръст на СРЗ за 2024г е 15%, за 2025 г. в размер от 10%.</w:t>
      </w:r>
    </w:p>
    <w:p w:rsidR="002C49AF" w:rsidRPr="00830739" w:rsidRDefault="002C49AF" w:rsidP="003F6C71">
      <w:pPr>
        <w:spacing w:line="360" w:lineRule="auto"/>
        <w:jc w:val="both"/>
        <w:rPr>
          <w:i/>
          <w:color w:val="FF0000"/>
        </w:rPr>
      </w:pPr>
    </w:p>
    <w:p w:rsidR="003F6C71" w:rsidRPr="00A11714" w:rsidRDefault="002C49AF" w:rsidP="003F6C71">
      <w:pPr>
        <w:spacing w:line="360" w:lineRule="auto"/>
        <w:ind w:firstLine="720"/>
        <w:jc w:val="both"/>
      </w:pPr>
      <w:r>
        <w:t>На следващо място</w:t>
      </w:r>
      <w:r w:rsidR="003F6C71" w:rsidRPr="00A11714">
        <w:t xml:space="preserve"> КНСБ подчертава, че в държавите, в които има </w:t>
      </w:r>
      <w:r w:rsidR="003F6C71" w:rsidRPr="00A11714">
        <w:rPr>
          <w:bCs/>
        </w:rPr>
        <w:t>законоустановена</w:t>
      </w:r>
      <w:r w:rsidR="003F6C71" w:rsidRPr="00A11714">
        <w:t xml:space="preserve"> минимална работна заплата, не може да се използва или налага термина „брутна“. Статистиката на Евростат не борави с подобни статистически индикатори. Има унифицирани статистически стандарти, които всички страни-членки на ЕС спазват. Няма как да въвеждаме и дефинираме нови количествени индикатори, само за да подкрепим тезата на една от всичките пет национално представителни работодателски организации. В този смисъл, подобни настоявания са лишени от статистическа логика. Освен това, тезата да се сравнява нетна МРЗ с нетна СРЗ е също погрешна, защото на не всички назначени на МРЗ се начисляват допълнителни добавки. </w:t>
      </w:r>
    </w:p>
    <w:p w:rsidR="003F6C71" w:rsidRDefault="003F6C71" w:rsidP="003F6C71">
      <w:pPr>
        <w:spacing w:line="360" w:lineRule="auto"/>
        <w:ind w:firstLine="720"/>
        <w:jc w:val="both"/>
      </w:pPr>
      <w:r w:rsidRPr="00A11714">
        <w:rPr>
          <w:iCs/>
        </w:rPr>
        <w:lastRenderedPageBreak/>
        <w:t xml:space="preserve">КНСБ счита, че се </w:t>
      </w:r>
      <w:r w:rsidRPr="00A11714">
        <w:t>спекулира с т.нар. от страна на работодателските организации „грешна формула“ – основна МРЗ = 50% от СБРЗ. На първо място, важно е да се каже, че няма понятие „грешна формула“. Има действащо законодателство, а настоящото ПМС, което е обект на дискусия, отговаря изцяло на действащата нормативна рамка, която бе приета още в 48-мото НС с пълно мнозинство, без гласове „против“ или „въздържал се“. С други думи, налице е пълна легитимност на настоящите разпоредби</w:t>
      </w:r>
      <w:r>
        <w:t>.</w:t>
      </w:r>
    </w:p>
    <w:p w:rsidR="003F6C71" w:rsidRDefault="003F6C71" w:rsidP="003F6C71">
      <w:pPr>
        <w:spacing w:line="360" w:lineRule="auto"/>
        <w:ind w:firstLine="720"/>
        <w:jc w:val="both"/>
      </w:pPr>
      <w:r w:rsidRPr="009C738F">
        <w:t>Разбира се, не е за пренебрегване факт</w:t>
      </w:r>
      <w:r w:rsidR="002C49AF">
        <w:t>ът</w:t>
      </w:r>
      <w:r w:rsidRPr="009C738F">
        <w:t>, че участието на социалните партньори в настоящ</w:t>
      </w:r>
      <w:r w:rsidR="002C49AF">
        <w:t>ия вариант на законодателството</w:t>
      </w:r>
      <w:r w:rsidRPr="009C738F">
        <w:t xml:space="preserve"> е сведено </w:t>
      </w:r>
      <w:r w:rsidRPr="009C738F">
        <w:rPr>
          <w:bCs/>
        </w:rPr>
        <w:t>само до консултиране</w:t>
      </w:r>
      <w:r w:rsidRPr="009C738F">
        <w:t xml:space="preserve"> в НСТС. Затова и становището на КНСБ е, че МРЗ за страната трябва да се надгради с механизъм от допълнителни индикатори</w:t>
      </w:r>
      <w:r w:rsidR="002C49AF">
        <w:t>,</w:t>
      </w:r>
      <w:r w:rsidRPr="009C738F">
        <w:t xml:space="preserve"> съгласно чл.5 от ДАМРЗ, както и на </w:t>
      </w:r>
      <w:proofErr w:type="spellStart"/>
      <w:r w:rsidRPr="009C738F">
        <w:t>бипартитно</w:t>
      </w:r>
      <w:proofErr w:type="spellEnd"/>
      <w:r w:rsidRPr="009C738F">
        <w:t xml:space="preserve"> договаряне на МРЗ по браншове и отрасли.</w:t>
      </w:r>
    </w:p>
    <w:p w:rsidR="003F6C71" w:rsidRPr="00D207C3" w:rsidRDefault="003F6C71" w:rsidP="003F6C71">
      <w:pPr>
        <w:spacing w:line="360" w:lineRule="auto"/>
        <w:ind w:firstLine="360"/>
        <w:jc w:val="both"/>
        <w:rPr>
          <w:rFonts w:eastAsia="Calibri"/>
        </w:rPr>
      </w:pPr>
      <w:r w:rsidRPr="009C738F">
        <w:rPr>
          <w:bCs/>
        </w:rPr>
        <w:t>В заключение</w:t>
      </w:r>
      <w:bookmarkStart w:id="0" w:name="_GoBack"/>
      <w:bookmarkEnd w:id="0"/>
      <w:r w:rsidRPr="00D207C3">
        <w:t xml:space="preserve"> КНСБ</w:t>
      </w:r>
      <w:r w:rsidRPr="00D207C3">
        <w:rPr>
          <w:b/>
        </w:rPr>
        <w:t xml:space="preserve"> </w:t>
      </w:r>
      <w:r w:rsidRPr="00D207C3">
        <w:rPr>
          <w:rFonts w:eastAsia="Calibri"/>
        </w:rPr>
        <w:t>подкрепя проекта за ПМС за определяне на нов размер на МРЗ за 2025 г. – 1077 лв., като  настоява през следващата календарна година да се предприемат следните стъпки:</w:t>
      </w:r>
    </w:p>
    <w:p w:rsidR="003F6C71" w:rsidRPr="00D207C3" w:rsidRDefault="003F6C71" w:rsidP="003F6C71">
      <w:pPr>
        <w:pStyle w:val="ListParagraph"/>
        <w:numPr>
          <w:ilvl w:val="0"/>
          <w:numId w:val="5"/>
        </w:numPr>
        <w:spacing w:after="200" w:line="360" w:lineRule="auto"/>
        <w:jc w:val="both"/>
        <w:rPr>
          <w:rFonts w:ascii="Times New Roman" w:eastAsia="Calibri" w:hAnsi="Times New Roman" w:cs="Times New Roman"/>
          <w:sz w:val="24"/>
          <w:szCs w:val="24"/>
        </w:rPr>
      </w:pPr>
      <w:r w:rsidRPr="00D207C3">
        <w:rPr>
          <w:rFonts w:ascii="Times New Roman" w:eastAsia="Calibri" w:hAnsi="Times New Roman" w:cs="Times New Roman"/>
          <w:sz w:val="24"/>
          <w:szCs w:val="24"/>
        </w:rPr>
        <w:t xml:space="preserve">НСИ </w:t>
      </w:r>
      <w:proofErr w:type="spellStart"/>
      <w:r w:rsidRPr="00D207C3">
        <w:rPr>
          <w:rFonts w:ascii="Times New Roman" w:eastAsia="Calibri" w:hAnsi="Times New Roman" w:cs="Times New Roman"/>
          <w:sz w:val="24"/>
          <w:szCs w:val="24"/>
        </w:rPr>
        <w:t>да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разработи</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методология</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заплата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издръжка</w:t>
      </w:r>
      <w:proofErr w:type="spellEnd"/>
      <w:r w:rsidRPr="00D207C3">
        <w:rPr>
          <w:rFonts w:ascii="Times New Roman" w:eastAsia="Calibri" w:hAnsi="Times New Roman" w:cs="Times New Roman"/>
          <w:sz w:val="24"/>
          <w:szCs w:val="24"/>
        </w:rPr>
        <w:t xml:space="preserve">“ и </w:t>
      </w:r>
      <w:proofErr w:type="spellStart"/>
      <w:r w:rsidRPr="00D207C3">
        <w:rPr>
          <w:rFonts w:ascii="Times New Roman" w:eastAsia="Calibri" w:hAnsi="Times New Roman" w:cs="Times New Roman"/>
          <w:sz w:val="24"/>
          <w:szCs w:val="24"/>
        </w:rPr>
        <w:t>да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започне</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да</w:t>
      </w:r>
      <w:proofErr w:type="spellEnd"/>
      <w:r w:rsidRPr="00D207C3">
        <w:rPr>
          <w:rFonts w:ascii="Times New Roman" w:eastAsia="Calibri" w:hAnsi="Times New Roman" w:cs="Times New Roman"/>
          <w:sz w:val="24"/>
          <w:szCs w:val="24"/>
        </w:rPr>
        <w:t xml:space="preserve"> я </w:t>
      </w:r>
      <w:proofErr w:type="spellStart"/>
      <w:r w:rsidRPr="00D207C3">
        <w:rPr>
          <w:rFonts w:ascii="Times New Roman" w:eastAsia="Calibri" w:hAnsi="Times New Roman" w:cs="Times New Roman"/>
          <w:sz w:val="24"/>
          <w:szCs w:val="24"/>
        </w:rPr>
        <w:t>измерва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като</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стъпи</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върху</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приетата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дефиниция</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на</w:t>
      </w:r>
      <w:proofErr w:type="spellEnd"/>
      <w:r w:rsidRPr="00D207C3">
        <w:rPr>
          <w:rFonts w:ascii="Times New Roman" w:eastAsia="Calibri" w:hAnsi="Times New Roman" w:cs="Times New Roman"/>
          <w:sz w:val="24"/>
          <w:szCs w:val="24"/>
        </w:rPr>
        <w:t xml:space="preserve"> МОТ от 2024 г. </w:t>
      </w:r>
      <w:proofErr w:type="spellStart"/>
      <w:r w:rsidRPr="00D207C3">
        <w:rPr>
          <w:rFonts w:ascii="Times New Roman" w:eastAsia="Calibri" w:hAnsi="Times New Roman" w:cs="Times New Roman"/>
          <w:sz w:val="24"/>
          <w:szCs w:val="24"/>
        </w:rPr>
        <w:t>За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целта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да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се</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учреди</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тристранен</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комитет</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който</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да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подпомогне</w:t>
      </w:r>
      <w:proofErr w:type="spellEnd"/>
      <w:r w:rsidRPr="00D207C3">
        <w:rPr>
          <w:rFonts w:ascii="Times New Roman" w:hAnsi="Times New Roman" w:cs="Times New Roman"/>
          <w:sz w:val="24"/>
          <w:szCs w:val="24"/>
        </w:rPr>
        <w:t xml:space="preserve"> НСИ </w:t>
      </w:r>
      <w:proofErr w:type="spellStart"/>
      <w:r w:rsidRPr="00D207C3">
        <w:rPr>
          <w:rFonts w:ascii="Times New Roman" w:hAnsi="Times New Roman" w:cs="Times New Roman"/>
          <w:sz w:val="24"/>
          <w:szCs w:val="24"/>
        </w:rPr>
        <w:t>при</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изработването</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на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методологията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за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изчисляване</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на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Заплата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за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издръжка</w:t>
      </w:r>
      <w:proofErr w:type="spellEnd"/>
      <w:r w:rsidRPr="00D207C3">
        <w:rPr>
          <w:rFonts w:ascii="Times New Roman" w:hAnsi="Times New Roman" w:cs="Times New Roman"/>
          <w:sz w:val="24"/>
          <w:szCs w:val="24"/>
        </w:rPr>
        <w:t xml:space="preserve">. </w:t>
      </w:r>
    </w:p>
    <w:p w:rsidR="003F6C71" w:rsidRPr="00D207C3" w:rsidRDefault="003F6C71" w:rsidP="003F6C71">
      <w:pPr>
        <w:pStyle w:val="ListParagraph"/>
        <w:numPr>
          <w:ilvl w:val="0"/>
          <w:numId w:val="5"/>
        </w:numPr>
        <w:spacing w:after="200" w:line="360" w:lineRule="auto"/>
        <w:jc w:val="both"/>
        <w:rPr>
          <w:rFonts w:ascii="Times New Roman" w:eastAsia="Calibri" w:hAnsi="Times New Roman" w:cs="Times New Roman"/>
          <w:sz w:val="24"/>
          <w:szCs w:val="24"/>
        </w:rPr>
      </w:pPr>
      <w:proofErr w:type="spellStart"/>
      <w:r w:rsidRPr="00D207C3">
        <w:rPr>
          <w:rFonts w:ascii="Times New Roman" w:eastAsia="Calibri" w:hAnsi="Times New Roman" w:cs="Times New Roman"/>
          <w:sz w:val="24"/>
          <w:szCs w:val="24"/>
        </w:rPr>
        <w:t>Механизмът</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определяне</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на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законоустановената</w:t>
      </w:r>
      <w:proofErr w:type="spellEnd"/>
      <w:r w:rsidRPr="00D207C3">
        <w:rPr>
          <w:rFonts w:ascii="Times New Roman" w:eastAsia="Calibri" w:hAnsi="Times New Roman" w:cs="Times New Roman"/>
          <w:sz w:val="24"/>
          <w:szCs w:val="24"/>
        </w:rPr>
        <w:t xml:space="preserve"> МРЗ </w:t>
      </w:r>
      <w:proofErr w:type="spellStart"/>
      <w:r w:rsidRPr="00D207C3">
        <w:rPr>
          <w:rFonts w:ascii="Times New Roman" w:eastAsia="Calibri" w:hAnsi="Times New Roman" w:cs="Times New Roman"/>
          <w:sz w:val="24"/>
          <w:szCs w:val="24"/>
        </w:rPr>
        <w:t>за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страната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да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бъде</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надграден</w:t>
      </w:r>
      <w:proofErr w:type="spellEnd"/>
      <w:r w:rsidRPr="00D207C3">
        <w:rPr>
          <w:rFonts w:ascii="Times New Roman" w:eastAsia="Calibri" w:hAnsi="Times New Roman" w:cs="Times New Roman"/>
          <w:sz w:val="24"/>
          <w:szCs w:val="24"/>
        </w:rPr>
        <w:t xml:space="preserve"> с </w:t>
      </w:r>
      <w:proofErr w:type="spellStart"/>
      <w:r w:rsidRPr="00D207C3">
        <w:rPr>
          <w:rFonts w:ascii="Times New Roman" w:eastAsia="Calibri" w:hAnsi="Times New Roman" w:cs="Times New Roman"/>
          <w:sz w:val="24"/>
          <w:szCs w:val="24"/>
        </w:rPr>
        <w:t>тестване</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на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нейната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адекватност</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през</w:t>
      </w:r>
      <w:proofErr w:type="spellEnd"/>
      <w:r w:rsidRPr="00D207C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разработената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вече</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заплата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за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издръжка</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като</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се</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възприемат</w:t>
      </w:r>
      <w:proofErr w:type="spellEnd"/>
      <w:r w:rsidRPr="00D207C3">
        <w:rPr>
          <w:rFonts w:ascii="Times New Roman" w:eastAsia="Calibri" w:hAnsi="Times New Roman" w:cs="Times New Roman"/>
          <w:sz w:val="24"/>
          <w:szCs w:val="24"/>
        </w:rPr>
        <w:t xml:space="preserve"> и </w:t>
      </w:r>
      <w:proofErr w:type="spellStart"/>
      <w:r w:rsidRPr="00D207C3">
        <w:rPr>
          <w:rFonts w:ascii="Times New Roman" w:eastAsia="Calibri" w:hAnsi="Times New Roman" w:cs="Times New Roman"/>
          <w:sz w:val="24"/>
          <w:szCs w:val="24"/>
        </w:rPr>
        <w:t>всички</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останали</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елементи</w:t>
      </w:r>
      <w:proofErr w:type="spellEnd"/>
      <w:r w:rsidRPr="00D207C3">
        <w:rPr>
          <w:rFonts w:ascii="Times New Roman" w:eastAsia="Calibri" w:hAnsi="Times New Roman" w:cs="Times New Roman"/>
          <w:sz w:val="24"/>
          <w:szCs w:val="24"/>
        </w:rPr>
        <w:t xml:space="preserve"> </w:t>
      </w:r>
      <w:proofErr w:type="spellStart"/>
      <w:r w:rsidRPr="00D207C3">
        <w:rPr>
          <w:rFonts w:ascii="Times New Roman" w:eastAsia="Calibri" w:hAnsi="Times New Roman" w:cs="Times New Roman"/>
          <w:sz w:val="24"/>
          <w:szCs w:val="24"/>
        </w:rPr>
        <w:t>описани</w:t>
      </w:r>
      <w:proofErr w:type="spellEnd"/>
      <w:r w:rsidRPr="00D207C3">
        <w:rPr>
          <w:rFonts w:ascii="Times New Roman" w:eastAsia="Calibri" w:hAnsi="Times New Roman" w:cs="Times New Roman"/>
          <w:sz w:val="24"/>
          <w:szCs w:val="24"/>
        </w:rPr>
        <w:t xml:space="preserve"> в </w:t>
      </w:r>
      <w:proofErr w:type="spellStart"/>
      <w:r w:rsidRPr="00D207C3">
        <w:rPr>
          <w:rFonts w:ascii="Times New Roman" w:eastAsia="Calibri" w:hAnsi="Times New Roman" w:cs="Times New Roman"/>
          <w:sz w:val="24"/>
          <w:szCs w:val="24"/>
        </w:rPr>
        <w:t>чл</w:t>
      </w:r>
      <w:proofErr w:type="spellEnd"/>
      <w:r w:rsidRPr="00D207C3">
        <w:rPr>
          <w:rFonts w:ascii="Times New Roman" w:eastAsia="Calibri" w:hAnsi="Times New Roman" w:cs="Times New Roman"/>
          <w:sz w:val="24"/>
          <w:szCs w:val="24"/>
        </w:rPr>
        <w:t>. 5 на ДАМРЗ на ЕК;</w:t>
      </w:r>
    </w:p>
    <w:p w:rsidR="003F6C71" w:rsidRPr="00D207C3" w:rsidRDefault="003F6C71" w:rsidP="003F6C71">
      <w:pPr>
        <w:pStyle w:val="ListParagraph"/>
        <w:numPr>
          <w:ilvl w:val="0"/>
          <w:numId w:val="5"/>
        </w:numPr>
        <w:spacing w:after="20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се</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пристъпи</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към</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договаряне</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на</w:t>
      </w:r>
      <w:proofErr w:type="spellEnd"/>
      <w:r w:rsidRPr="00D207C3">
        <w:rPr>
          <w:rFonts w:ascii="Times New Roman" w:hAnsi="Times New Roman" w:cs="Times New Roman"/>
          <w:sz w:val="24"/>
          <w:szCs w:val="24"/>
        </w:rPr>
        <w:t xml:space="preserve"> МРЗ </w:t>
      </w:r>
      <w:proofErr w:type="spellStart"/>
      <w:r w:rsidRPr="00D207C3">
        <w:rPr>
          <w:rFonts w:ascii="Times New Roman" w:hAnsi="Times New Roman" w:cs="Times New Roman"/>
          <w:sz w:val="24"/>
          <w:szCs w:val="24"/>
        </w:rPr>
        <w:t>по</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икономически</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дейности</w:t>
      </w:r>
      <w:proofErr w:type="spellEnd"/>
      <w:r w:rsidRPr="00D207C3">
        <w:rPr>
          <w:rFonts w:ascii="Times New Roman" w:hAnsi="Times New Roman" w:cs="Times New Roman"/>
          <w:sz w:val="24"/>
          <w:szCs w:val="24"/>
        </w:rPr>
        <w:t xml:space="preserve"> и </w:t>
      </w:r>
      <w:proofErr w:type="spellStart"/>
      <w:r w:rsidRPr="00D207C3">
        <w:rPr>
          <w:rFonts w:ascii="Times New Roman" w:hAnsi="Times New Roman" w:cs="Times New Roman"/>
          <w:sz w:val="24"/>
          <w:szCs w:val="24"/>
        </w:rPr>
        <w:t>образователни</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степени</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които</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да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надграждат</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законоустановената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за</w:t>
      </w:r>
      <w:proofErr w:type="spellEnd"/>
      <w:r w:rsidRPr="00D207C3">
        <w:rPr>
          <w:rFonts w:ascii="Times New Roman" w:hAnsi="Times New Roman" w:cs="Times New Roman"/>
          <w:sz w:val="24"/>
          <w:szCs w:val="24"/>
        </w:rPr>
        <w:t xml:space="preserve"> </w:t>
      </w:r>
      <w:proofErr w:type="spellStart"/>
      <w:r w:rsidRPr="00D207C3">
        <w:rPr>
          <w:rFonts w:ascii="Times New Roman" w:hAnsi="Times New Roman" w:cs="Times New Roman"/>
          <w:sz w:val="24"/>
          <w:szCs w:val="24"/>
        </w:rPr>
        <w:t>страната</w:t>
      </w:r>
      <w:proofErr w:type="spellEnd"/>
      <w:r w:rsidRPr="00D207C3">
        <w:rPr>
          <w:rFonts w:ascii="Times New Roman" w:hAnsi="Times New Roman" w:cs="Times New Roman"/>
          <w:sz w:val="24"/>
          <w:szCs w:val="24"/>
        </w:rPr>
        <w:t xml:space="preserve"> </w:t>
      </w:r>
      <w:r>
        <w:rPr>
          <w:rFonts w:ascii="Times New Roman" w:hAnsi="Times New Roman" w:cs="Times New Roman"/>
          <w:sz w:val="24"/>
          <w:szCs w:val="24"/>
        </w:rPr>
        <w:t>МРЗ.</w:t>
      </w:r>
    </w:p>
    <w:p w:rsidR="003F6C71" w:rsidRDefault="003F6C71" w:rsidP="003F6C71">
      <w:pPr>
        <w:spacing w:line="360" w:lineRule="auto"/>
        <w:jc w:val="right"/>
      </w:pPr>
    </w:p>
    <w:p w:rsidR="003F6C71" w:rsidRDefault="003F6C71" w:rsidP="003F6C71">
      <w:pPr>
        <w:spacing w:line="360" w:lineRule="auto"/>
        <w:jc w:val="right"/>
        <w:rPr>
          <w:lang w:val="en-US"/>
        </w:rPr>
      </w:pPr>
    </w:p>
    <w:p w:rsidR="003F6C71" w:rsidRDefault="003F6C71" w:rsidP="003F6C71">
      <w:pPr>
        <w:spacing w:line="360" w:lineRule="auto"/>
        <w:jc w:val="right"/>
        <w:rPr>
          <w:lang w:val="en-US"/>
        </w:rPr>
      </w:pPr>
    </w:p>
    <w:p w:rsidR="003F6C71" w:rsidRPr="003F6C71" w:rsidRDefault="003F6C71" w:rsidP="003F6C71">
      <w:pPr>
        <w:spacing w:line="360" w:lineRule="auto"/>
        <w:jc w:val="center"/>
      </w:pPr>
      <w:r>
        <w:t>С УВАЖЕНИЕ,</w:t>
      </w:r>
    </w:p>
    <w:p w:rsidR="003F6C71" w:rsidRPr="00D207C3" w:rsidRDefault="003F6C71" w:rsidP="003F6C71">
      <w:pPr>
        <w:spacing w:line="360" w:lineRule="auto"/>
        <w:jc w:val="center"/>
      </w:pPr>
      <w:r>
        <w:rPr>
          <w:lang w:val="en-US"/>
        </w:rPr>
        <w:t xml:space="preserve">                                                                  </w:t>
      </w:r>
      <w:r w:rsidRPr="00D207C3">
        <w:t>ПЛАМЕН ДИМИТРОВ</w:t>
      </w:r>
    </w:p>
    <w:p w:rsidR="003F6C71" w:rsidRPr="00D207C3" w:rsidRDefault="003F6C71" w:rsidP="003F6C71">
      <w:pPr>
        <w:spacing w:line="360" w:lineRule="auto"/>
        <w:jc w:val="center"/>
      </w:pPr>
      <w:r>
        <w:rPr>
          <w:lang w:val="en-US"/>
        </w:rPr>
        <w:t xml:space="preserve">                                                                  </w:t>
      </w:r>
      <w:r w:rsidRPr="00D207C3">
        <w:t>ПРЕЗИДЕНТ НА КНСБ</w:t>
      </w:r>
    </w:p>
    <w:p w:rsidR="007D6482" w:rsidRPr="00EA0058" w:rsidRDefault="007D6482" w:rsidP="003449B0">
      <w:pPr>
        <w:spacing w:before="120" w:after="120"/>
        <w:rPr>
          <w:rFonts w:asciiTheme="minorHAnsi" w:hAnsiTheme="minorHAnsi"/>
        </w:rPr>
      </w:pPr>
    </w:p>
    <w:sectPr w:rsidR="007D6482" w:rsidRPr="00EA0058" w:rsidSect="005A2774">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80" w:rsidRDefault="00742F80" w:rsidP="005A2774">
      <w:r>
        <w:separator/>
      </w:r>
    </w:p>
  </w:endnote>
  <w:endnote w:type="continuationSeparator" w:id="0">
    <w:p w:rsidR="00742F80" w:rsidRDefault="00742F80" w:rsidP="005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7" w:rsidRDefault="001A0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7" w:rsidRDefault="001A0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7" w:rsidRDefault="001A0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80" w:rsidRDefault="00742F80" w:rsidP="005A2774">
      <w:r>
        <w:separator/>
      </w:r>
    </w:p>
  </w:footnote>
  <w:footnote w:type="continuationSeparator" w:id="0">
    <w:p w:rsidR="00742F80" w:rsidRDefault="00742F80" w:rsidP="005A2774">
      <w:r>
        <w:continuationSeparator/>
      </w:r>
    </w:p>
  </w:footnote>
  <w:footnote w:id="1">
    <w:p w:rsidR="003F6C71" w:rsidRPr="005C6D06" w:rsidRDefault="003F6C71" w:rsidP="003F6C71">
      <w:pPr>
        <w:spacing w:line="360" w:lineRule="auto"/>
        <w:jc w:val="both"/>
        <w:rPr>
          <w:rFonts w:eastAsiaTheme="minorHAnsi"/>
        </w:rPr>
      </w:pPr>
      <w:r w:rsidRPr="005C6D06">
        <w:rPr>
          <w:rStyle w:val="FootnoteReference"/>
        </w:rPr>
        <w:footnoteRef/>
      </w:r>
      <w:r w:rsidRPr="005C6D06">
        <w:t xml:space="preserve"> </w:t>
      </w:r>
      <w:r w:rsidRPr="005C6D06">
        <w:rPr>
          <w:rFonts w:eastAsiaTheme="minorHAnsi"/>
        </w:rPr>
        <w:t xml:space="preserve">* МРЗ/СРЗ – съотношение на минималната към средната работна заплата за страната в % (Евростат), </w:t>
      </w:r>
      <w:proofErr w:type="spellStart"/>
      <w:r w:rsidRPr="005C6D06">
        <w:rPr>
          <w:rFonts w:eastAsiaTheme="minorHAnsi"/>
        </w:rPr>
        <w:t>КзНКР</w:t>
      </w:r>
      <w:proofErr w:type="spellEnd"/>
      <w:r w:rsidRPr="005C6D06">
        <w:rPr>
          <w:rFonts w:eastAsiaTheme="minorHAnsi"/>
        </w:rPr>
        <w:t xml:space="preserve"> (20-64) – коефициент на заетост на нискоквалифицираните работници (образователна степен 0-2  по ISCED, 1997) във възрастовия диапазон 20-64 години (данни на Евростат)</w:t>
      </w:r>
    </w:p>
    <w:p w:rsidR="003F6C71" w:rsidRPr="005C6D06" w:rsidRDefault="003F6C71" w:rsidP="003F6C71">
      <w:pPr>
        <w:pStyle w:val="FootnoteText"/>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7" w:rsidRDefault="001A0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74" w:rsidRDefault="005A2774">
    <w:pPr>
      <w:pStyle w:val="Header"/>
    </w:pPr>
    <w:r>
      <w:rPr>
        <w:noProof/>
        <w:lang w:val="en-US" w:eastAsia="en-US"/>
      </w:rPr>
      <w:drawing>
        <wp:anchor distT="0" distB="0" distL="114300" distR="114300" simplePos="0" relativeHeight="251658240" behindDoc="1" locked="0" layoutInCell="1" allowOverlap="1">
          <wp:simplePos x="0" y="0"/>
          <wp:positionH relativeFrom="column">
            <wp:posOffset>-876873</wp:posOffset>
          </wp:positionH>
          <wp:positionV relativeFrom="paragraph">
            <wp:posOffset>-434584</wp:posOffset>
          </wp:positionV>
          <wp:extent cx="7536147" cy="10661015"/>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SB - Blanka A4 - FIN.jpg"/>
                  <pic:cNvPicPr/>
                </pic:nvPicPr>
                <pic:blipFill>
                  <a:blip r:embed="rId1">
                    <a:extLst>
                      <a:ext uri="{28A0092B-C50C-407E-A947-70E740481C1C}">
                        <a14:useLocalDpi xmlns:a14="http://schemas.microsoft.com/office/drawing/2010/main" val="0"/>
                      </a:ext>
                    </a:extLst>
                  </a:blip>
                  <a:stretch>
                    <a:fillRect/>
                  </a:stretch>
                </pic:blipFill>
                <pic:spPr>
                  <a:xfrm>
                    <a:off x="0" y="0"/>
                    <a:ext cx="7536147" cy="1066101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37" w:rsidRDefault="001A0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6183D"/>
    <w:multiLevelType w:val="hybridMultilevel"/>
    <w:tmpl w:val="D78CA95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7AD2E1F"/>
    <w:multiLevelType w:val="hybridMultilevel"/>
    <w:tmpl w:val="43AC8B74"/>
    <w:lvl w:ilvl="0" w:tplc="137E1A50">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163A3"/>
    <w:multiLevelType w:val="multilevel"/>
    <w:tmpl w:val="694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F67AE"/>
    <w:multiLevelType w:val="hybridMultilevel"/>
    <w:tmpl w:val="A4A86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A3BEE"/>
    <w:multiLevelType w:val="hybridMultilevel"/>
    <w:tmpl w:val="B1102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74"/>
    <w:rsid w:val="00040488"/>
    <w:rsid w:val="00046A18"/>
    <w:rsid w:val="000806B3"/>
    <w:rsid w:val="000A6E8F"/>
    <w:rsid w:val="000E1505"/>
    <w:rsid w:val="000E733D"/>
    <w:rsid w:val="000F7C1D"/>
    <w:rsid w:val="0010237C"/>
    <w:rsid w:val="00115D52"/>
    <w:rsid w:val="001A0037"/>
    <w:rsid w:val="001E0574"/>
    <w:rsid w:val="001E61F4"/>
    <w:rsid w:val="00245D41"/>
    <w:rsid w:val="002756C5"/>
    <w:rsid w:val="002A47E4"/>
    <w:rsid w:val="002B1EA5"/>
    <w:rsid w:val="002C49AF"/>
    <w:rsid w:val="003449B0"/>
    <w:rsid w:val="003518AA"/>
    <w:rsid w:val="003601F6"/>
    <w:rsid w:val="003D6E41"/>
    <w:rsid w:val="003F6C71"/>
    <w:rsid w:val="004251E5"/>
    <w:rsid w:val="004763F8"/>
    <w:rsid w:val="0048671D"/>
    <w:rsid w:val="004948EF"/>
    <w:rsid w:val="004F61DD"/>
    <w:rsid w:val="00542130"/>
    <w:rsid w:val="005625B5"/>
    <w:rsid w:val="005A2774"/>
    <w:rsid w:val="005D4B45"/>
    <w:rsid w:val="005D5484"/>
    <w:rsid w:val="005E1A63"/>
    <w:rsid w:val="00634E26"/>
    <w:rsid w:val="00654075"/>
    <w:rsid w:val="00662376"/>
    <w:rsid w:val="00663AEB"/>
    <w:rsid w:val="006842A5"/>
    <w:rsid w:val="00696D2D"/>
    <w:rsid w:val="006974C2"/>
    <w:rsid w:val="006A0281"/>
    <w:rsid w:val="006A71EE"/>
    <w:rsid w:val="006D4B34"/>
    <w:rsid w:val="006F4C6B"/>
    <w:rsid w:val="00742F80"/>
    <w:rsid w:val="00750209"/>
    <w:rsid w:val="00762745"/>
    <w:rsid w:val="007A4083"/>
    <w:rsid w:val="007A5854"/>
    <w:rsid w:val="007D6482"/>
    <w:rsid w:val="008033C2"/>
    <w:rsid w:val="00863F46"/>
    <w:rsid w:val="008B5052"/>
    <w:rsid w:val="008E0391"/>
    <w:rsid w:val="008F7A3B"/>
    <w:rsid w:val="00917465"/>
    <w:rsid w:val="00974F44"/>
    <w:rsid w:val="009902C5"/>
    <w:rsid w:val="009D3292"/>
    <w:rsid w:val="00A40E5C"/>
    <w:rsid w:val="00A57E30"/>
    <w:rsid w:val="00AA275F"/>
    <w:rsid w:val="00AA4CBB"/>
    <w:rsid w:val="00B35DDF"/>
    <w:rsid w:val="00B41D73"/>
    <w:rsid w:val="00BC3E40"/>
    <w:rsid w:val="00C021F4"/>
    <w:rsid w:val="00C16B96"/>
    <w:rsid w:val="00C20C37"/>
    <w:rsid w:val="00C82EEC"/>
    <w:rsid w:val="00C96488"/>
    <w:rsid w:val="00C96FE9"/>
    <w:rsid w:val="00CB5BD3"/>
    <w:rsid w:val="00CC0FA7"/>
    <w:rsid w:val="00CC4CEE"/>
    <w:rsid w:val="00CD5778"/>
    <w:rsid w:val="00DE6C51"/>
    <w:rsid w:val="00E24F54"/>
    <w:rsid w:val="00E70687"/>
    <w:rsid w:val="00E93AC0"/>
    <w:rsid w:val="00EA0058"/>
    <w:rsid w:val="00EC2529"/>
    <w:rsid w:val="00ED77A7"/>
    <w:rsid w:val="00F25A9E"/>
    <w:rsid w:val="00F4665E"/>
    <w:rsid w:val="00F541C8"/>
    <w:rsid w:val="00F55D18"/>
    <w:rsid w:val="00F8276D"/>
    <w:rsid w:val="00FA6689"/>
    <w:rsid w:val="00FD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BE08D-EF07-43A0-B980-41DF8AEE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774"/>
    <w:pPr>
      <w:tabs>
        <w:tab w:val="center" w:pos="4536"/>
        <w:tab w:val="right" w:pos="9072"/>
      </w:tabs>
    </w:pPr>
  </w:style>
  <w:style w:type="character" w:customStyle="1" w:styleId="HeaderChar">
    <w:name w:val="Header Char"/>
    <w:basedOn w:val="DefaultParagraphFont"/>
    <w:link w:val="Header"/>
    <w:rsid w:val="005A2774"/>
    <w:rPr>
      <w:sz w:val="24"/>
      <w:szCs w:val="24"/>
    </w:rPr>
  </w:style>
  <w:style w:type="paragraph" w:styleId="Footer">
    <w:name w:val="footer"/>
    <w:basedOn w:val="Normal"/>
    <w:link w:val="FooterChar"/>
    <w:rsid w:val="005A2774"/>
    <w:pPr>
      <w:tabs>
        <w:tab w:val="center" w:pos="4536"/>
        <w:tab w:val="right" w:pos="9072"/>
      </w:tabs>
    </w:pPr>
  </w:style>
  <w:style w:type="character" w:customStyle="1" w:styleId="FooterChar">
    <w:name w:val="Footer Char"/>
    <w:basedOn w:val="DefaultParagraphFont"/>
    <w:link w:val="Footer"/>
    <w:rsid w:val="005A2774"/>
    <w:rPr>
      <w:sz w:val="24"/>
      <w:szCs w:val="24"/>
    </w:rPr>
  </w:style>
  <w:style w:type="character" w:styleId="Strong">
    <w:name w:val="Strong"/>
    <w:qFormat/>
    <w:rsid w:val="00BC3E40"/>
    <w:rPr>
      <w:b/>
      <w:bCs/>
    </w:rPr>
  </w:style>
  <w:style w:type="paragraph" w:styleId="NormalWeb">
    <w:name w:val="Normal (Web)"/>
    <w:basedOn w:val="Normal"/>
    <w:rsid w:val="00BC3E40"/>
    <w:pPr>
      <w:spacing w:before="100" w:beforeAutospacing="1" w:after="100" w:afterAutospacing="1"/>
    </w:pPr>
  </w:style>
  <w:style w:type="character" w:styleId="Hyperlink">
    <w:name w:val="Hyperlink"/>
    <w:rsid w:val="00BC3E40"/>
    <w:rPr>
      <w:color w:val="0000FF"/>
      <w:u w:val="single"/>
    </w:rPr>
  </w:style>
  <w:style w:type="character" w:customStyle="1" w:styleId="apple-converted-space">
    <w:name w:val="apple-converted-space"/>
    <w:rsid w:val="00BC3E40"/>
  </w:style>
  <w:style w:type="paragraph" w:styleId="ListParagraph">
    <w:name w:val="List Paragraph"/>
    <w:aliases w:val="List Paragraph1,List1,Списък на абзаци,Lettre d'introduction,1st level - Bullet List Paragraph,Table of contents numbered,Bullet Points,Liste Paragraf,Llista Nivell1,Lista de nivel 1,Paragraphe de liste PBLH,En tête 1,Akapit z listą"/>
    <w:basedOn w:val="Normal"/>
    <w:link w:val="ListParagraphChar"/>
    <w:uiPriority w:val="34"/>
    <w:qFormat/>
    <w:rsid w:val="000A6E8F"/>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List Paragraph1 Char,List1 Char,Списък на абзаци Char,Lettre d'introduction Char,1st level - Bullet List Paragraph Char,Table of contents numbered Char,Bullet Points Char,Liste Paragraf Char,Llista Nivell1 Char,Lista de nivel 1 Char"/>
    <w:link w:val="ListParagraph"/>
    <w:uiPriority w:val="34"/>
    <w:locked/>
    <w:rsid w:val="000A6E8F"/>
    <w:rPr>
      <w:rFonts w:asciiTheme="minorHAnsi" w:eastAsiaTheme="minorHAnsi" w:hAnsiTheme="minorHAnsi" w:cstheme="minorBidi"/>
      <w:sz w:val="22"/>
      <w:szCs w:val="22"/>
      <w:lang w:val="en-US" w:eastAsia="en-US"/>
    </w:rPr>
  </w:style>
  <w:style w:type="table" w:styleId="TableGrid">
    <w:name w:val="Table Grid"/>
    <w:basedOn w:val="TableNormal"/>
    <w:uiPriority w:val="39"/>
    <w:rsid w:val="003F6C71"/>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F6C71"/>
    <w:pPr>
      <w:jc w:val="center"/>
    </w:pPr>
    <w:rPr>
      <w:sz w:val="20"/>
      <w:szCs w:val="20"/>
      <w:lang w:val="en-US"/>
    </w:rPr>
  </w:style>
  <w:style w:type="character" w:customStyle="1" w:styleId="FootnoteTextChar">
    <w:name w:val="Footnote Text Char"/>
    <w:basedOn w:val="DefaultParagraphFont"/>
    <w:link w:val="FootnoteText"/>
    <w:uiPriority w:val="99"/>
    <w:semiHidden/>
    <w:rsid w:val="003F6C71"/>
    <w:rPr>
      <w:lang w:val="en-US"/>
    </w:rPr>
  </w:style>
  <w:style w:type="character" w:styleId="FootnoteReference">
    <w:name w:val="footnote reference"/>
    <w:basedOn w:val="DefaultParagraphFont"/>
    <w:uiPriority w:val="99"/>
    <w:semiHidden/>
    <w:unhideWhenUsed/>
    <w:rsid w:val="003F6C71"/>
    <w:rPr>
      <w:vertAlign w:val="superscript"/>
    </w:rPr>
  </w:style>
  <w:style w:type="paragraph" w:styleId="PlainText">
    <w:name w:val="Plain Text"/>
    <w:basedOn w:val="Normal"/>
    <w:link w:val="PlainTextChar"/>
    <w:uiPriority w:val="99"/>
    <w:unhideWhenUsed/>
    <w:rsid w:val="003F6C7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F6C7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3006">
      <w:bodyDiv w:val="1"/>
      <w:marLeft w:val="0"/>
      <w:marRight w:val="0"/>
      <w:marTop w:val="0"/>
      <w:marBottom w:val="0"/>
      <w:divBdr>
        <w:top w:val="none" w:sz="0" w:space="0" w:color="auto"/>
        <w:left w:val="none" w:sz="0" w:space="0" w:color="auto"/>
        <w:bottom w:val="none" w:sz="0" w:space="0" w:color="auto"/>
        <w:right w:val="none" w:sz="0" w:space="0" w:color="auto"/>
      </w:divBdr>
    </w:div>
    <w:div w:id="1159805227">
      <w:bodyDiv w:val="1"/>
      <w:marLeft w:val="0"/>
      <w:marRight w:val="0"/>
      <w:marTop w:val="0"/>
      <w:marBottom w:val="0"/>
      <w:divBdr>
        <w:top w:val="none" w:sz="0" w:space="0" w:color="auto"/>
        <w:left w:val="none" w:sz="0" w:space="0" w:color="auto"/>
        <w:bottom w:val="none" w:sz="0" w:space="0" w:color="auto"/>
        <w:right w:val="none" w:sz="0" w:space="0" w:color="auto"/>
      </w:divBdr>
    </w:div>
    <w:div w:id="18066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EC309-FC17-414B-A70A-1626070D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dc:creator>
  <cp:lastModifiedBy>Viara Ivanova</cp:lastModifiedBy>
  <cp:revision>3</cp:revision>
  <dcterms:created xsi:type="dcterms:W3CDTF">2024-10-11T08:33:00Z</dcterms:created>
  <dcterms:modified xsi:type="dcterms:W3CDTF">2024-10-11T08:39:00Z</dcterms:modified>
</cp:coreProperties>
</file>