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0C3AB" w14:textId="77777777" w:rsidR="002C749B" w:rsidRPr="0050463C" w:rsidRDefault="002C749B" w:rsidP="00394FDA">
      <w:pPr>
        <w:spacing w:before="160" w:after="160" w:line="360" w:lineRule="auto"/>
        <w:jc w:val="center"/>
        <w:rPr>
          <w:rFonts w:ascii="Verdana" w:eastAsia="Μοντέρνα" w:hAnsi="Verdana" w:cs="Times New Roman"/>
          <w:b/>
          <w:sz w:val="20"/>
          <w:szCs w:val="20"/>
          <w:lang w:eastAsia="bg-BG"/>
        </w:rPr>
      </w:pPr>
      <w:r w:rsidRPr="0050463C">
        <w:rPr>
          <w:rFonts w:ascii="Verdana" w:eastAsia="Μοντέρνα" w:hAnsi="Verdana" w:cs="Times New Roman"/>
          <w:b/>
          <w:sz w:val="20"/>
          <w:szCs w:val="20"/>
          <w:lang w:eastAsia="bg-BG"/>
        </w:rPr>
        <w:t>ИКОНОМИЧЕСКИ СМЕТКИ</w:t>
      </w:r>
      <w:r>
        <w:rPr>
          <w:rFonts w:ascii="Verdana" w:eastAsia="Μοντέρνα" w:hAnsi="Verdana" w:cs="Times New Roman"/>
          <w:b/>
          <w:sz w:val="20"/>
          <w:szCs w:val="20"/>
          <w:lang w:eastAsia="bg-BG"/>
        </w:rPr>
        <w:t xml:space="preserve"> ЗА СЕЛСКОТО СТОПАНСТВО ЗА 2023</w:t>
      </w:r>
      <w:r>
        <w:rPr>
          <w:rFonts w:ascii="Verdana" w:eastAsia="Μοντέρνα" w:hAnsi="Verdana" w:cs="Times New Roman"/>
          <w:b/>
          <w:sz w:val="20"/>
          <w:szCs w:val="20"/>
          <w:lang w:val="en-US" w:eastAsia="bg-BG"/>
        </w:rPr>
        <w:t> </w:t>
      </w:r>
      <w:r w:rsidRPr="0050463C">
        <w:rPr>
          <w:rFonts w:ascii="Verdana" w:eastAsia="Μοντέρνα" w:hAnsi="Verdana" w:cs="Times New Roman"/>
          <w:b/>
          <w:sz w:val="20"/>
          <w:szCs w:val="20"/>
          <w:lang w:eastAsia="bg-BG"/>
        </w:rPr>
        <w:t>ГОДИНА</w:t>
      </w:r>
      <w:r>
        <w:rPr>
          <w:rFonts w:ascii="Verdana" w:eastAsia="Μοντέρνα" w:hAnsi="Verdana" w:cs="Times New Roman"/>
          <w:b/>
          <w:sz w:val="20"/>
          <w:szCs w:val="20"/>
          <w:lang w:val="en-US" w:eastAsia="bg-BG"/>
        </w:rPr>
        <w:t xml:space="preserve"> </w:t>
      </w:r>
      <w:r w:rsidRPr="0050463C">
        <w:rPr>
          <w:rFonts w:ascii="Verdana" w:eastAsia="Μοντέρνα" w:hAnsi="Verdana" w:cs="Times New Roman"/>
          <w:b/>
          <w:sz w:val="20"/>
          <w:szCs w:val="20"/>
          <w:lang w:eastAsia="bg-BG"/>
        </w:rPr>
        <w:t>(ОКОНЧАТЕЛНИ ДАННИ)</w:t>
      </w:r>
    </w:p>
    <w:p w14:paraId="3DDF47D2" w14:textId="4DC8D224" w:rsidR="002C749B" w:rsidRPr="0050463C" w:rsidRDefault="002C749B" w:rsidP="002C749B">
      <w:pPr>
        <w:spacing w:line="360" w:lineRule="auto"/>
        <w:ind w:firstLine="567"/>
        <w:jc w:val="both"/>
        <w:rPr>
          <w:rFonts w:ascii="Verdana" w:eastAsia="Μοντέρνα" w:hAnsi="Verdana" w:cs="Times New Roman"/>
          <w:b/>
          <w:i/>
          <w:sz w:val="20"/>
          <w:szCs w:val="20"/>
          <w:lang w:eastAsia="bg-BG"/>
        </w:rPr>
      </w:pPr>
      <w:r w:rsidRPr="0050463C">
        <w:rPr>
          <w:rFonts w:ascii="Verdana" w:eastAsia="Μοντέρνα" w:hAnsi="Verdana" w:cs="Times New Roman"/>
          <w:i/>
          <w:sz w:val="20"/>
          <w:szCs w:val="20"/>
          <w:lang w:eastAsia="bg-BG"/>
        </w:rPr>
        <w:t>През 2023</w:t>
      </w:r>
      <w:r>
        <w:rPr>
          <w:rFonts w:ascii="Verdana" w:eastAsia="Μοντέρνα" w:hAnsi="Verdana" w:cs="Times New Roman"/>
          <w:i/>
          <w:sz w:val="20"/>
          <w:szCs w:val="20"/>
          <w:lang w:val="en-US" w:eastAsia="bg-BG"/>
        </w:rPr>
        <w:t> </w:t>
      </w:r>
      <w:r w:rsidRPr="0050463C">
        <w:rPr>
          <w:rFonts w:ascii="Verdana" w:eastAsia="Μοντέρνα" w:hAnsi="Verdana" w:cs="Times New Roman"/>
          <w:i/>
          <w:sz w:val="20"/>
          <w:szCs w:val="20"/>
          <w:lang w:eastAsia="bg-BG"/>
        </w:rPr>
        <w:t>г. стойността на крайната продукция, произведена в селс</w:t>
      </w:r>
      <w:r>
        <w:rPr>
          <w:rFonts w:ascii="Verdana" w:eastAsia="Μοντέρνα" w:hAnsi="Verdana" w:cs="Times New Roman"/>
          <w:i/>
          <w:sz w:val="20"/>
          <w:szCs w:val="20"/>
          <w:lang w:eastAsia="bg-BG"/>
        </w:rPr>
        <w:t>кото стопанство, намалява с 18.3</w:t>
      </w:r>
      <w:r w:rsidRPr="0050463C">
        <w:rPr>
          <w:rFonts w:ascii="Verdana" w:eastAsia="Μοντέρνα" w:hAnsi="Verdana" w:cs="Times New Roman"/>
          <w:i/>
          <w:sz w:val="20"/>
          <w:szCs w:val="20"/>
          <w:lang w:eastAsia="bg-BG"/>
        </w:rPr>
        <w:t>% спрямо предходната година</w:t>
      </w:r>
      <w:r w:rsidR="007864F3">
        <w:rPr>
          <w:rFonts w:ascii="Verdana" w:eastAsia="Μοντέρνα" w:hAnsi="Verdana" w:cs="Times New Roman"/>
          <w:i/>
          <w:sz w:val="20"/>
          <w:szCs w:val="20"/>
          <w:lang w:eastAsia="bg-BG"/>
        </w:rPr>
        <w:t xml:space="preserve"> -</w:t>
      </w:r>
      <w:r w:rsidRPr="0050463C">
        <w:rPr>
          <w:rFonts w:ascii="Verdana" w:eastAsia="Μοντέρνα" w:hAnsi="Verdana" w:cs="Times New Roman"/>
          <w:i/>
          <w:sz w:val="20"/>
          <w:szCs w:val="20"/>
          <w:lang w:eastAsia="bg-BG"/>
        </w:rPr>
        <w:t xml:space="preserve"> до 10 554.4 млн. лева</w:t>
      </w:r>
      <w:r w:rsidRPr="008077E6">
        <w:rPr>
          <w:rFonts w:ascii="Verdana" w:eastAsia="Μοντέρνα" w:hAnsi="Verdana" w:cs="Times New Roman"/>
          <w:i/>
          <w:sz w:val="20"/>
          <w:szCs w:val="20"/>
          <w:lang w:eastAsia="bg-BG"/>
        </w:rPr>
        <w:t xml:space="preserve">. </w:t>
      </w:r>
      <w:r w:rsidR="00C95B6A" w:rsidRPr="008077E6">
        <w:rPr>
          <w:rFonts w:ascii="Verdana" w:eastAsia="Μοντέρνα" w:hAnsi="Verdana" w:cs="Times New Roman"/>
          <w:i/>
          <w:sz w:val="20"/>
          <w:szCs w:val="20"/>
          <w:lang w:eastAsia="bg-BG"/>
        </w:rPr>
        <w:t>Тя се формира основно от стойността на продукцията</w:t>
      </w:r>
      <w:r w:rsidR="00152EE4" w:rsidRPr="008077E6">
        <w:rPr>
          <w:rFonts w:ascii="Verdana" w:eastAsia="Μοντέρνα" w:hAnsi="Verdana" w:cs="Times New Roman"/>
          <w:i/>
          <w:sz w:val="20"/>
          <w:szCs w:val="20"/>
          <w:lang w:eastAsia="bg-BG"/>
        </w:rPr>
        <w:t>,</w:t>
      </w:r>
      <w:r w:rsidR="00C95B6A" w:rsidRPr="008077E6">
        <w:rPr>
          <w:rFonts w:ascii="Verdana" w:eastAsia="Μοντέρνα" w:hAnsi="Verdana" w:cs="Times New Roman"/>
          <w:i/>
          <w:sz w:val="20"/>
          <w:szCs w:val="20"/>
          <w:lang w:eastAsia="bg-BG"/>
        </w:rPr>
        <w:t xml:space="preserve"> произведена в растениевъдството и животновъдството</w:t>
      </w:r>
      <w:r w:rsidR="00FF7D12">
        <w:rPr>
          <w:rFonts w:ascii="Verdana" w:eastAsia="Μοντέρνα" w:hAnsi="Verdana" w:cs="Times New Roman"/>
          <w:i/>
          <w:sz w:val="20"/>
          <w:szCs w:val="20"/>
          <w:lang w:val="en-US" w:eastAsia="bg-BG"/>
        </w:rPr>
        <w:t xml:space="preserve"> </w:t>
      </w:r>
      <w:r w:rsidR="00152EE4" w:rsidRPr="008077E6">
        <w:rPr>
          <w:rFonts w:ascii="Verdana" w:eastAsia="Μοντέρνα" w:hAnsi="Verdana" w:cs="Times New Roman"/>
          <w:i/>
          <w:sz w:val="20"/>
          <w:szCs w:val="20"/>
          <w:lang w:val="en-US" w:eastAsia="bg-BG"/>
        </w:rPr>
        <w:t>(</w:t>
      </w:r>
      <w:r w:rsidR="00E94555" w:rsidRPr="008077E6">
        <w:rPr>
          <w:rFonts w:ascii="Verdana" w:eastAsia="Μοντέρνα" w:hAnsi="Verdana" w:cs="Times New Roman"/>
          <w:i/>
          <w:sz w:val="20"/>
          <w:szCs w:val="20"/>
          <w:lang w:eastAsia="bg-BG"/>
        </w:rPr>
        <w:t>91.5%</w:t>
      </w:r>
      <w:r w:rsidR="00152EE4" w:rsidRPr="008077E6">
        <w:rPr>
          <w:rFonts w:ascii="Verdana" w:eastAsia="Μοντέρνα" w:hAnsi="Verdana" w:cs="Times New Roman"/>
          <w:i/>
          <w:sz w:val="20"/>
          <w:szCs w:val="20"/>
          <w:lang w:val="en-US" w:eastAsia="bg-BG"/>
        </w:rPr>
        <w:t>)</w:t>
      </w:r>
      <w:r w:rsidR="00C95B6A" w:rsidRPr="008077E6">
        <w:rPr>
          <w:rFonts w:ascii="Verdana" w:eastAsia="Μοντέρνα" w:hAnsi="Verdana" w:cs="Times New Roman"/>
          <w:i/>
          <w:sz w:val="20"/>
          <w:szCs w:val="20"/>
          <w:lang w:eastAsia="bg-BG"/>
        </w:rPr>
        <w:t>, докато продукцията на селско</w:t>
      </w:r>
      <w:r w:rsidR="00E94555" w:rsidRPr="008077E6">
        <w:rPr>
          <w:rFonts w:ascii="Verdana" w:eastAsia="Μοντέρνα" w:hAnsi="Verdana" w:cs="Times New Roman"/>
          <w:i/>
          <w:sz w:val="20"/>
          <w:szCs w:val="20"/>
          <w:lang w:eastAsia="bg-BG"/>
        </w:rPr>
        <w:t>стопански сток</w:t>
      </w:r>
      <w:r w:rsidR="009B23D6" w:rsidRPr="008077E6">
        <w:rPr>
          <w:rFonts w:ascii="Verdana" w:eastAsia="Μοντέρνα" w:hAnsi="Verdana" w:cs="Times New Roman"/>
          <w:i/>
          <w:sz w:val="20"/>
          <w:szCs w:val="20"/>
          <w:lang w:eastAsia="bg-BG"/>
        </w:rPr>
        <w:t>и и продукцията от</w:t>
      </w:r>
      <w:r w:rsidR="00C95B6A" w:rsidRPr="008077E6">
        <w:rPr>
          <w:rFonts w:ascii="Verdana" w:eastAsia="Μοντέρνα" w:hAnsi="Verdana" w:cs="Times New Roman"/>
          <w:i/>
          <w:sz w:val="20"/>
          <w:szCs w:val="20"/>
          <w:lang w:eastAsia="bg-BG"/>
        </w:rPr>
        <w:t xml:space="preserve"> неселскостопански неотделими дейности формират 8.5%</w:t>
      </w:r>
      <w:r w:rsidR="00E94555" w:rsidRPr="008077E6">
        <w:rPr>
          <w:rFonts w:ascii="Verdana" w:eastAsia="Μοντέρνα" w:hAnsi="Verdana" w:cs="Times New Roman"/>
          <w:i/>
          <w:sz w:val="20"/>
          <w:szCs w:val="20"/>
          <w:lang w:eastAsia="bg-BG"/>
        </w:rPr>
        <w:t xml:space="preserve"> от продукцията</w:t>
      </w:r>
      <w:r w:rsidR="00152EE4" w:rsidRPr="008077E6">
        <w:rPr>
          <w:rFonts w:ascii="Verdana" w:eastAsia="Μοντέρνα" w:hAnsi="Verdana" w:cs="Times New Roman"/>
          <w:i/>
          <w:sz w:val="20"/>
          <w:szCs w:val="20"/>
          <w:lang w:eastAsia="bg-BG"/>
        </w:rPr>
        <w:t>,</w:t>
      </w:r>
      <w:r w:rsidR="00E94555" w:rsidRPr="008077E6">
        <w:rPr>
          <w:rFonts w:ascii="Verdana" w:eastAsia="Μοντέρνα" w:hAnsi="Verdana" w:cs="Times New Roman"/>
          <w:i/>
          <w:sz w:val="20"/>
          <w:szCs w:val="20"/>
          <w:lang w:eastAsia="bg-BG"/>
        </w:rPr>
        <w:t xml:space="preserve"> произведена в селското стопанство.</w:t>
      </w:r>
      <w:r w:rsidR="00E94555">
        <w:rPr>
          <w:rFonts w:ascii="Verdana" w:eastAsia="Μοντέρνα" w:hAnsi="Verdana" w:cs="Times New Roman"/>
          <w:i/>
          <w:sz w:val="20"/>
          <w:szCs w:val="20"/>
          <w:lang w:eastAsia="bg-BG"/>
        </w:rPr>
        <w:t xml:space="preserve"> </w:t>
      </w:r>
      <w:r w:rsidRPr="0050463C">
        <w:rPr>
          <w:rFonts w:ascii="Verdana" w:eastAsia="Μοντέρνα" w:hAnsi="Verdana" w:cs="Times New Roman"/>
          <w:i/>
          <w:sz w:val="20"/>
          <w:szCs w:val="20"/>
          <w:lang w:eastAsia="bg-BG"/>
        </w:rPr>
        <w:t>Стойността на продукцията, произведена от растениевъдството намалява с 26.6% на годишна база</w:t>
      </w:r>
      <w:r w:rsidR="001F28A9">
        <w:rPr>
          <w:rFonts w:ascii="Verdana" w:eastAsia="Μοντέρνα" w:hAnsi="Verdana" w:cs="Times New Roman"/>
          <w:i/>
          <w:sz w:val="20"/>
          <w:szCs w:val="20"/>
          <w:lang w:eastAsia="bg-BG"/>
        </w:rPr>
        <w:t xml:space="preserve"> -</w:t>
      </w:r>
      <w:r w:rsidRPr="0050463C">
        <w:rPr>
          <w:rFonts w:ascii="Verdana" w:eastAsia="Μοντέρνα" w:hAnsi="Verdana" w:cs="Times New Roman"/>
          <w:i/>
          <w:sz w:val="20"/>
          <w:szCs w:val="20"/>
          <w:lang w:eastAsia="bg-BG"/>
        </w:rPr>
        <w:t xml:space="preserve"> до 7 124.5 млн. лв., а стойността на продукцията от животновъдството възлиза на 2 535.2 млн. лв.</w:t>
      </w:r>
      <w:r w:rsidR="00DC3EA8">
        <w:rPr>
          <w:rFonts w:ascii="Verdana" w:eastAsia="Μοντέρνα" w:hAnsi="Verdana" w:cs="Times New Roman"/>
          <w:i/>
          <w:sz w:val="20"/>
          <w:szCs w:val="20"/>
          <w:lang w:eastAsia="bg-BG"/>
        </w:rPr>
        <w:t>, което е</w:t>
      </w:r>
      <w:r w:rsidR="00433883">
        <w:rPr>
          <w:rFonts w:ascii="Verdana" w:eastAsia="Μοντέρνα" w:hAnsi="Verdana" w:cs="Times New Roman"/>
          <w:i/>
          <w:sz w:val="20"/>
          <w:szCs w:val="20"/>
          <w:lang w:eastAsia="bg-BG"/>
        </w:rPr>
        <w:t xml:space="preserve"> </w:t>
      </w:r>
      <w:r w:rsidRPr="0050463C">
        <w:rPr>
          <w:rFonts w:ascii="Verdana" w:eastAsia="Μοντέρνα" w:hAnsi="Verdana" w:cs="Times New Roman"/>
          <w:i/>
          <w:sz w:val="20"/>
          <w:szCs w:val="20"/>
          <w:lang w:eastAsia="bg-BG"/>
        </w:rPr>
        <w:t>с 8.6% повече спрямо 2022 година.</w:t>
      </w:r>
    </w:p>
    <w:p w14:paraId="39D30ED1" w14:textId="77777777" w:rsidR="002C749B" w:rsidRPr="0050463C" w:rsidRDefault="002C749B" w:rsidP="002C749B">
      <w:pPr>
        <w:pStyle w:val="ListParagraph"/>
        <w:numPr>
          <w:ilvl w:val="0"/>
          <w:numId w:val="2"/>
        </w:numPr>
        <w:spacing w:before="160" w:line="360" w:lineRule="auto"/>
        <w:ind w:left="0" w:firstLine="567"/>
        <w:jc w:val="both"/>
        <w:rPr>
          <w:rFonts w:ascii="Verdana" w:eastAsia="Μοντέρνα" w:hAnsi="Verdana" w:cs="Times New Roman"/>
          <w:b/>
          <w:sz w:val="20"/>
          <w:szCs w:val="20"/>
          <w:lang w:eastAsia="bg-BG"/>
        </w:rPr>
      </w:pPr>
      <w:r w:rsidRPr="0050463C">
        <w:rPr>
          <w:rFonts w:ascii="Verdana" w:eastAsia="Μοντέρνα" w:hAnsi="Verdana" w:cs="Times New Roman"/>
          <w:b/>
          <w:sz w:val="20"/>
          <w:szCs w:val="20"/>
          <w:lang w:eastAsia="bg-BG"/>
        </w:rPr>
        <w:t>СМЕТКА „ПРОИЗВОДСТВО“</w:t>
      </w:r>
    </w:p>
    <w:p w14:paraId="70EC455C" w14:textId="77777777" w:rsidR="002C749B" w:rsidRPr="0050463C" w:rsidRDefault="002C749B" w:rsidP="007864F3">
      <w:pPr>
        <w:numPr>
          <w:ilvl w:val="1"/>
          <w:numId w:val="1"/>
        </w:numPr>
        <w:spacing w:before="160" w:after="160" w:line="360" w:lineRule="auto"/>
        <w:ind w:left="851" w:hanging="284"/>
        <w:contextualSpacing/>
        <w:jc w:val="both"/>
        <w:rPr>
          <w:rFonts w:ascii="Verdana" w:eastAsia="Μοντέρνα" w:hAnsi="Verdana" w:cs="Times New Roman"/>
          <w:b/>
          <w:sz w:val="20"/>
          <w:szCs w:val="20"/>
          <w:lang w:eastAsia="bg-BG"/>
        </w:rPr>
      </w:pPr>
      <w:r w:rsidRPr="0050463C">
        <w:rPr>
          <w:rFonts w:ascii="Verdana" w:eastAsia="Μοντέρνα" w:hAnsi="Verdana" w:cs="Times New Roman"/>
          <w:b/>
          <w:sz w:val="20"/>
          <w:szCs w:val="20"/>
          <w:lang w:eastAsia="bg-BG"/>
        </w:rPr>
        <w:t>Продукция</w:t>
      </w:r>
    </w:p>
    <w:p w14:paraId="332DC7AB" w14:textId="63D2D648" w:rsidR="002C749B" w:rsidRPr="0050463C" w:rsidRDefault="002C749B" w:rsidP="00394FDA">
      <w:pPr>
        <w:spacing w:before="160" w:line="360" w:lineRule="auto"/>
        <w:ind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През 2023</w:t>
      </w:r>
      <w:r>
        <w:rPr>
          <w:rFonts w:ascii="Verdana" w:eastAsia="Μοντέρνα" w:hAnsi="Verdana" w:cs="Times New Roman"/>
          <w:sz w:val="20"/>
          <w:szCs w:val="20"/>
          <w:lang w:val="en-US" w:eastAsia="bg-BG"/>
        </w:rPr>
        <w:t> </w:t>
      </w:r>
      <w:r w:rsidRPr="0050463C">
        <w:rPr>
          <w:rFonts w:ascii="Verdana" w:eastAsia="Μοντέρνα" w:hAnsi="Verdana" w:cs="Times New Roman"/>
          <w:sz w:val="20"/>
          <w:szCs w:val="20"/>
          <w:lang w:eastAsia="bg-BG"/>
        </w:rPr>
        <w:t>г. стойността на крайната продукция, произведена в селското стопанство, възлиза на 10 554.4 млн. лв.</w:t>
      </w:r>
      <w:r>
        <w:rPr>
          <w:rFonts w:ascii="Verdana" w:eastAsia="Μοντέρνα" w:hAnsi="Verdana" w:cs="Times New Roman"/>
          <w:sz w:val="20"/>
          <w:szCs w:val="20"/>
          <w:lang w:eastAsia="bg-BG"/>
        </w:rPr>
        <w:t xml:space="preserve"> (по </w:t>
      </w:r>
      <w:r w:rsidR="00F84ACC" w:rsidRPr="008077E6">
        <w:rPr>
          <w:rFonts w:ascii="Verdana" w:eastAsia="Μοντέρνα" w:hAnsi="Verdana" w:cs="Times New Roman"/>
          <w:sz w:val="20"/>
          <w:szCs w:val="20"/>
          <w:lang w:eastAsia="bg-BG"/>
        </w:rPr>
        <w:t>базисни</w:t>
      </w:r>
      <w:r>
        <w:rPr>
          <w:rFonts w:ascii="Verdana" w:eastAsia="Μοντέρνα" w:hAnsi="Verdana" w:cs="Times New Roman"/>
          <w:sz w:val="20"/>
          <w:szCs w:val="20"/>
          <w:lang w:eastAsia="bg-BG"/>
        </w:rPr>
        <w:t xml:space="preserve"> цени)</w:t>
      </w:r>
      <w:r w:rsidRPr="0050463C">
        <w:rPr>
          <w:rFonts w:ascii="Verdana" w:eastAsia="Μοντέρνα" w:hAnsi="Verdana" w:cs="Times New Roman"/>
          <w:sz w:val="20"/>
          <w:szCs w:val="20"/>
          <w:lang w:eastAsia="bg-BG"/>
        </w:rPr>
        <w:t>, което е с 18.3% по-малко в сравнение с предходната година. Намалението е в резултат както на понижение на цените с 15.3%, така и на спад на обемите на произведената продукция с 3.5% спрямо 2022 година</w:t>
      </w:r>
      <w:r w:rsidR="00224CF0">
        <w:rPr>
          <w:rFonts w:ascii="Verdana" w:eastAsia="Μοντέρνα" w:hAnsi="Verdana" w:cs="Times New Roman"/>
          <w:sz w:val="20"/>
          <w:szCs w:val="20"/>
          <w:lang w:eastAsia="bg-BG"/>
        </w:rPr>
        <w:t>.</w:t>
      </w:r>
      <w:r w:rsidRPr="0050463C">
        <w:rPr>
          <w:rFonts w:ascii="Verdana" w:eastAsia="Μοντέρνα" w:hAnsi="Verdana" w:cs="Times New Roman"/>
          <w:sz w:val="20"/>
          <w:szCs w:val="20"/>
          <w:lang w:eastAsia="bg-BG"/>
        </w:rPr>
        <w:t xml:space="preserve"> </w:t>
      </w:r>
    </w:p>
    <w:p w14:paraId="7E51BEAA" w14:textId="77777777" w:rsidR="002C749B" w:rsidRPr="0050463C" w:rsidRDefault="002C749B" w:rsidP="002C749B">
      <w:pPr>
        <w:spacing w:line="360" w:lineRule="auto"/>
        <w:ind w:firstLine="567"/>
        <w:jc w:val="both"/>
        <w:rPr>
          <w:rFonts w:ascii="Verdana" w:eastAsia="Μοντέρνα" w:hAnsi="Verdana" w:cs="Times New Roman"/>
          <w:sz w:val="20"/>
          <w:szCs w:val="20"/>
          <w:lang w:eastAsia="bg-BG"/>
        </w:rPr>
      </w:pPr>
      <w:r w:rsidRPr="0050463C">
        <w:rPr>
          <w:rFonts w:ascii="Verdana" w:eastAsia="Μοντέρνα" w:hAnsi="Verdana" w:cs="Times New Roman"/>
          <w:sz w:val="20"/>
          <w:szCs w:val="20"/>
          <w:lang w:eastAsia="bg-BG"/>
        </w:rPr>
        <w:t xml:space="preserve">Стойността на продукцията, произведена от растениевъдството, се равнява на 7 124.5 млн. лв. и представлява </w:t>
      </w:r>
      <w:r w:rsidRPr="008077E6">
        <w:rPr>
          <w:rFonts w:ascii="Verdana" w:eastAsia="Μοντέρνα" w:hAnsi="Verdana" w:cs="Times New Roman"/>
          <w:sz w:val="20"/>
          <w:szCs w:val="20"/>
          <w:lang w:eastAsia="bg-BG"/>
        </w:rPr>
        <w:t xml:space="preserve">67.5% </w:t>
      </w:r>
      <w:r w:rsidRPr="0050463C">
        <w:rPr>
          <w:rFonts w:ascii="Verdana" w:eastAsia="Μοντέρνα" w:hAnsi="Verdana" w:cs="Times New Roman"/>
          <w:sz w:val="20"/>
          <w:szCs w:val="20"/>
          <w:lang w:eastAsia="bg-BG"/>
        </w:rPr>
        <w:t>от общата стойност на селскостопанската продукция. Преобладаващата част (82.6%) е от зърнени и от технически култури, чиято стойност се изчислява съответно на 4 104.0 млн. лв. и 1 783.8 млн. лева.</w:t>
      </w:r>
    </w:p>
    <w:p w14:paraId="210C6DE8" w14:textId="2A738690" w:rsidR="002C749B" w:rsidRPr="0050463C" w:rsidRDefault="002C749B" w:rsidP="002C749B">
      <w:pPr>
        <w:spacing w:line="360" w:lineRule="auto"/>
        <w:ind w:firstLine="567"/>
        <w:jc w:val="both"/>
        <w:rPr>
          <w:rFonts w:ascii="Verdana" w:eastAsia="Μοντέρνα" w:hAnsi="Verdana" w:cs="Times New Roman"/>
          <w:sz w:val="20"/>
          <w:szCs w:val="20"/>
          <w:lang w:eastAsia="bg-BG"/>
        </w:rPr>
      </w:pPr>
      <w:r w:rsidRPr="0050463C">
        <w:rPr>
          <w:rFonts w:ascii="Verdana" w:eastAsia="Μοντέρνα" w:hAnsi="Verdana" w:cs="Times New Roman"/>
          <w:sz w:val="20"/>
          <w:szCs w:val="20"/>
          <w:lang w:eastAsia="bg-BG"/>
        </w:rPr>
        <w:t>В сравнение с 2022</w:t>
      </w:r>
      <w:r>
        <w:rPr>
          <w:rFonts w:ascii="Verdana" w:eastAsia="Μοντέρνα" w:hAnsi="Verdana" w:cs="Times New Roman"/>
          <w:sz w:val="20"/>
          <w:szCs w:val="20"/>
          <w:lang w:val="en-US" w:eastAsia="bg-BG"/>
        </w:rPr>
        <w:t> </w:t>
      </w:r>
      <w:r w:rsidRPr="0050463C">
        <w:rPr>
          <w:rFonts w:ascii="Verdana" w:eastAsia="Μοντέρνα" w:hAnsi="Verdana" w:cs="Times New Roman"/>
          <w:sz w:val="20"/>
          <w:szCs w:val="20"/>
          <w:lang w:eastAsia="bg-BG"/>
        </w:rPr>
        <w:t xml:space="preserve">г. стойността на продукцията, произведена от растениевъдството, е по-ниска с 26.6%, което се дължи на значителния спад на цените </w:t>
      </w:r>
      <w:r w:rsidR="00E02A42">
        <w:rPr>
          <w:rFonts w:ascii="Verdana" w:eastAsia="Μοντέρνα" w:hAnsi="Verdana" w:cs="Times New Roman"/>
          <w:sz w:val="20"/>
          <w:szCs w:val="20"/>
          <w:lang w:eastAsia="bg-BG"/>
        </w:rPr>
        <w:t>-</w:t>
      </w:r>
      <w:r w:rsidRPr="0050463C">
        <w:rPr>
          <w:rFonts w:ascii="Verdana" w:eastAsia="Μοντέρνα" w:hAnsi="Verdana" w:cs="Times New Roman"/>
          <w:sz w:val="20"/>
          <w:szCs w:val="20"/>
          <w:lang w:eastAsia="bg-BG"/>
        </w:rPr>
        <w:t xml:space="preserve"> с 24.5%, докато при обемите е регистрирано по-малко намаление </w:t>
      </w:r>
      <w:r w:rsidR="00E02A42">
        <w:rPr>
          <w:rFonts w:ascii="Verdana" w:eastAsia="Μοντέρνα" w:hAnsi="Verdana" w:cs="Times New Roman"/>
          <w:sz w:val="20"/>
          <w:szCs w:val="20"/>
          <w:lang w:eastAsia="bg-BG"/>
        </w:rPr>
        <w:t>-</w:t>
      </w:r>
      <w:r w:rsidR="00224CF0">
        <w:rPr>
          <w:rFonts w:ascii="Verdana" w:eastAsia="Μοντέρνα" w:hAnsi="Verdana" w:cs="Times New Roman"/>
          <w:sz w:val="20"/>
          <w:szCs w:val="20"/>
          <w:lang w:eastAsia="bg-BG"/>
        </w:rPr>
        <w:t xml:space="preserve"> с</w:t>
      </w:r>
      <w:r w:rsidRPr="0050463C">
        <w:rPr>
          <w:rFonts w:ascii="Verdana" w:eastAsia="Μοντέρνα" w:hAnsi="Verdana" w:cs="Times New Roman"/>
          <w:sz w:val="20"/>
          <w:szCs w:val="20"/>
          <w:lang w:eastAsia="bg-BG"/>
        </w:rPr>
        <w:t xml:space="preserve"> 2.8%.</w:t>
      </w:r>
    </w:p>
    <w:p w14:paraId="64E31357" w14:textId="2CFE0633" w:rsidR="006C22DB" w:rsidRDefault="002C749B" w:rsidP="008077E6">
      <w:pPr>
        <w:spacing w:line="360" w:lineRule="auto"/>
        <w:ind w:firstLine="567"/>
        <w:contextualSpacing/>
        <w:jc w:val="both"/>
        <w:rPr>
          <w:rFonts w:ascii="Verdana" w:eastAsia="Μοντέρνα" w:hAnsi="Verdana" w:cs="Times New Roman"/>
          <w:sz w:val="20"/>
          <w:szCs w:val="20"/>
          <w:lang w:eastAsia="bg-BG"/>
        </w:rPr>
      </w:pPr>
      <w:r w:rsidRPr="0050463C">
        <w:rPr>
          <w:rFonts w:ascii="Verdana" w:eastAsia="Μοντέρνα" w:hAnsi="Verdana" w:cs="Times New Roman"/>
          <w:sz w:val="20"/>
          <w:szCs w:val="20"/>
          <w:lang w:eastAsia="bg-BG"/>
        </w:rPr>
        <w:t>През 2023</w:t>
      </w:r>
      <w:r>
        <w:rPr>
          <w:rFonts w:ascii="Verdana" w:eastAsia="Μοντέρνα" w:hAnsi="Verdana" w:cs="Times New Roman"/>
          <w:sz w:val="20"/>
          <w:szCs w:val="20"/>
          <w:lang w:val="en-US" w:eastAsia="bg-BG"/>
        </w:rPr>
        <w:t> </w:t>
      </w:r>
      <w:r w:rsidRPr="0050463C">
        <w:rPr>
          <w:rFonts w:ascii="Verdana" w:eastAsia="Μοντέρνα" w:hAnsi="Verdana" w:cs="Times New Roman"/>
          <w:sz w:val="20"/>
          <w:szCs w:val="20"/>
          <w:lang w:eastAsia="bg-BG"/>
        </w:rPr>
        <w:t xml:space="preserve">г. стойността на произведената продукция от животновъдството възлиза на 2 535.2 млн. лв., </w:t>
      </w:r>
      <w:r w:rsidRPr="008077E6">
        <w:rPr>
          <w:rFonts w:ascii="Verdana" w:eastAsia="Μοντέρνα" w:hAnsi="Verdana" w:cs="Times New Roman"/>
          <w:sz w:val="20"/>
          <w:szCs w:val="20"/>
          <w:lang w:eastAsia="bg-BG"/>
        </w:rPr>
        <w:t xml:space="preserve">или 24.0% </w:t>
      </w:r>
      <w:r w:rsidRPr="0050463C">
        <w:rPr>
          <w:rFonts w:ascii="Verdana" w:eastAsia="Μοντέρνα" w:hAnsi="Verdana" w:cs="Times New Roman"/>
          <w:sz w:val="20"/>
          <w:szCs w:val="20"/>
          <w:lang w:eastAsia="bg-BG"/>
        </w:rPr>
        <w:t>от крайната продукция в с</w:t>
      </w:r>
      <w:r>
        <w:rPr>
          <w:rFonts w:ascii="Verdana" w:eastAsia="Μοντέρνα" w:hAnsi="Verdana" w:cs="Times New Roman"/>
          <w:sz w:val="20"/>
          <w:szCs w:val="20"/>
          <w:lang w:eastAsia="bg-BG"/>
        </w:rPr>
        <w:t>елското стопанство. Спрямо 2022</w:t>
      </w:r>
      <w:r>
        <w:rPr>
          <w:rFonts w:ascii="Verdana" w:eastAsia="Μοντέρνα" w:hAnsi="Verdana" w:cs="Times New Roman"/>
          <w:sz w:val="20"/>
          <w:szCs w:val="20"/>
          <w:lang w:val="en-US" w:eastAsia="bg-BG"/>
        </w:rPr>
        <w:t> </w:t>
      </w:r>
      <w:r w:rsidRPr="0050463C">
        <w:rPr>
          <w:rFonts w:ascii="Verdana" w:eastAsia="Μοντέρνα" w:hAnsi="Verdana" w:cs="Times New Roman"/>
          <w:sz w:val="20"/>
          <w:szCs w:val="20"/>
          <w:lang w:eastAsia="bg-BG"/>
        </w:rPr>
        <w:t>г. стойността ѝ нараства с 8.6%, което е в резултат на увеличение на цените с 14.2%, докато произведените обеми намаляват с 4.9%.</w:t>
      </w:r>
      <w:r w:rsidRPr="003F2B25">
        <w:rPr>
          <w:rFonts w:ascii="Verdana" w:eastAsia="Μοντέρνα" w:hAnsi="Verdana" w:cs="Times New Roman"/>
          <w:sz w:val="20"/>
          <w:szCs w:val="20"/>
          <w:lang w:eastAsia="bg-BG"/>
        </w:rPr>
        <w:t xml:space="preserve"> </w:t>
      </w:r>
      <w:r w:rsidRPr="0050463C">
        <w:rPr>
          <w:rFonts w:ascii="Verdana" w:eastAsia="Μοντέρνα" w:hAnsi="Verdana" w:cs="Times New Roman"/>
          <w:sz w:val="20"/>
          <w:szCs w:val="20"/>
          <w:lang w:eastAsia="bg-BG"/>
        </w:rPr>
        <w:t>Стойността на продукцията от отглеждането на селскостопански животни е 1 362.5 млн. лв. (53.7% от продукцията в животновъдството), докато стойността на произведените животински продукти се равнява на 1 172.7 млн. лв. (46.3% от продукцията в животновъдството). В сравнение с 2022</w:t>
      </w:r>
      <w:r>
        <w:rPr>
          <w:rFonts w:ascii="Verdana" w:eastAsia="Μοντέρνα" w:hAnsi="Verdana" w:cs="Times New Roman"/>
          <w:sz w:val="20"/>
          <w:szCs w:val="20"/>
          <w:lang w:val="en-US" w:eastAsia="bg-BG"/>
        </w:rPr>
        <w:t> </w:t>
      </w:r>
      <w:r w:rsidRPr="0050463C">
        <w:rPr>
          <w:rFonts w:ascii="Verdana" w:eastAsia="Μοντέρνα" w:hAnsi="Verdana" w:cs="Times New Roman"/>
          <w:sz w:val="20"/>
          <w:szCs w:val="20"/>
          <w:lang w:eastAsia="bg-BG"/>
        </w:rPr>
        <w:t>г. стойността на отглеждането на селскостопа</w:t>
      </w:r>
      <w:r>
        <w:rPr>
          <w:rFonts w:ascii="Verdana" w:eastAsia="Μοντέρνα" w:hAnsi="Verdana" w:cs="Times New Roman"/>
          <w:sz w:val="20"/>
          <w:szCs w:val="20"/>
          <w:lang w:eastAsia="bg-BG"/>
        </w:rPr>
        <w:t>нски животни се</w:t>
      </w:r>
      <w:r w:rsidR="00027268">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увеличава с 18.4</w:t>
      </w:r>
      <w:r w:rsidRPr="0050463C">
        <w:rPr>
          <w:rFonts w:ascii="Verdana" w:eastAsia="Μοντέρνα" w:hAnsi="Verdana" w:cs="Times New Roman"/>
          <w:sz w:val="20"/>
          <w:szCs w:val="20"/>
          <w:lang w:eastAsia="bg-BG"/>
        </w:rPr>
        <w:t>%, което се дължи на нарастване на цените</w:t>
      </w:r>
      <w:r w:rsidRPr="0050463C">
        <w:rPr>
          <w:rFonts w:eastAsia="Μοντέρνα" w:cs="Times New Roman"/>
          <w:szCs w:val="20"/>
          <w:lang w:eastAsia="bg-BG"/>
        </w:rPr>
        <w:t xml:space="preserve"> с </w:t>
      </w:r>
      <w:r w:rsidRPr="0050463C">
        <w:rPr>
          <w:rFonts w:ascii="Verdana" w:eastAsia="Μοντέρνα" w:hAnsi="Verdana" w:cs="Times New Roman"/>
          <w:sz w:val="20"/>
          <w:szCs w:val="20"/>
          <w:lang w:eastAsia="bg-BG"/>
        </w:rPr>
        <w:t>22.1%,</w:t>
      </w:r>
      <w:r w:rsidRPr="0050463C">
        <w:rPr>
          <w:rFonts w:eastAsia="Μοντέρνα" w:cs="Times New Roman"/>
          <w:szCs w:val="20"/>
          <w:lang w:eastAsia="bg-BG"/>
        </w:rPr>
        <w:t xml:space="preserve"> </w:t>
      </w:r>
      <w:r w:rsidRPr="0050463C">
        <w:rPr>
          <w:rFonts w:ascii="Verdana" w:eastAsia="Μοντέρνα" w:hAnsi="Verdana" w:cs="Times New Roman"/>
          <w:sz w:val="20"/>
          <w:szCs w:val="20"/>
          <w:lang w:eastAsia="bg-BG"/>
        </w:rPr>
        <w:t xml:space="preserve">докато обемите намаляват с 3.0%. </w:t>
      </w:r>
    </w:p>
    <w:p w14:paraId="2AE253F5" w14:textId="51A34088" w:rsidR="009F1141" w:rsidRDefault="002C749B" w:rsidP="008077E6">
      <w:pPr>
        <w:spacing w:line="360" w:lineRule="auto"/>
        <w:ind w:firstLine="567"/>
        <w:contextualSpacing/>
        <w:jc w:val="both"/>
        <w:rPr>
          <w:rFonts w:ascii="Verdana" w:eastAsia="Μοντέρνα" w:hAnsi="Verdana" w:cs="Times New Roman"/>
          <w:b/>
          <w:sz w:val="20"/>
          <w:szCs w:val="20"/>
          <w:lang w:eastAsia="bg-BG"/>
        </w:rPr>
      </w:pPr>
      <w:r w:rsidRPr="0050463C">
        <w:rPr>
          <w:rFonts w:ascii="Verdana" w:eastAsia="Μοντέρνα" w:hAnsi="Verdana" w:cs="Times New Roman"/>
          <w:sz w:val="20"/>
          <w:szCs w:val="20"/>
          <w:lang w:eastAsia="bg-BG"/>
        </w:rPr>
        <w:lastRenderedPageBreak/>
        <w:t>Стойността на произведените</w:t>
      </w:r>
      <w:r w:rsidRPr="0050463C">
        <w:rPr>
          <w:rFonts w:eastAsia="Μοντέρνα" w:cs="Times New Roman"/>
          <w:szCs w:val="20"/>
          <w:lang w:eastAsia="bg-BG"/>
        </w:rPr>
        <w:t xml:space="preserve"> </w:t>
      </w:r>
      <w:r w:rsidRPr="0050463C">
        <w:rPr>
          <w:rFonts w:ascii="Verdana" w:eastAsia="Μοντέρνα" w:hAnsi="Verdana" w:cs="Times New Roman"/>
          <w:sz w:val="20"/>
          <w:szCs w:val="20"/>
          <w:lang w:eastAsia="bg-BG"/>
        </w:rPr>
        <w:t xml:space="preserve">животински продукти спрямо предходната година отбелязва леко понижение </w:t>
      </w:r>
      <w:r w:rsidR="00AF4711">
        <w:rPr>
          <w:rFonts w:ascii="Verdana" w:eastAsia="Μοντέρνα" w:hAnsi="Verdana" w:cs="Times New Roman"/>
          <w:sz w:val="20"/>
          <w:szCs w:val="20"/>
          <w:lang w:eastAsia="bg-BG"/>
        </w:rPr>
        <w:t>от</w:t>
      </w:r>
      <w:r w:rsidRPr="0050463C">
        <w:rPr>
          <w:rFonts w:ascii="Verdana" w:eastAsia="Μοντέρνα" w:hAnsi="Verdana" w:cs="Times New Roman"/>
          <w:sz w:val="20"/>
          <w:szCs w:val="20"/>
          <w:lang w:eastAsia="bg-BG"/>
        </w:rPr>
        <w:t xml:space="preserve"> 0.8%, което е в резултат на спад на обемите с 6.7%, докато цените нарастват с 6.3%.</w:t>
      </w:r>
    </w:p>
    <w:p w14:paraId="75F860D3" w14:textId="314478FD" w:rsidR="002C749B" w:rsidRDefault="002C749B" w:rsidP="00AF4711">
      <w:pPr>
        <w:numPr>
          <w:ilvl w:val="1"/>
          <w:numId w:val="1"/>
        </w:numPr>
        <w:spacing w:before="160" w:after="160" w:line="360" w:lineRule="auto"/>
        <w:ind w:left="567" w:firstLine="0"/>
        <w:contextualSpacing/>
        <w:jc w:val="both"/>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t>Междинно потребление</w:t>
      </w:r>
    </w:p>
    <w:p w14:paraId="54A779AF" w14:textId="43667C6C" w:rsidR="002C749B" w:rsidRPr="008700BF" w:rsidRDefault="002C749B" w:rsidP="002C749B">
      <w:pPr>
        <w:spacing w:line="360" w:lineRule="auto"/>
        <w:ind w:firstLine="567"/>
        <w:contextualSpacing/>
        <w:jc w:val="both"/>
        <w:rPr>
          <w:rFonts w:ascii="Verdana" w:eastAsia="Μοντέρνα" w:hAnsi="Verdana" w:cs="Times New Roman"/>
          <w:sz w:val="20"/>
          <w:szCs w:val="20"/>
          <w:lang w:eastAsia="bg-BG"/>
        </w:rPr>
      </w:pPr>
      <w:r w:rsidRPr="008700BF">
        <w:rPr>
          <w:rFonts w:ascii="Verdana" w:eastAsia="Μοντέρνα" w:hAnsi="Verdana" w:cs="Times New Roman"/>
          <w:sz w:val="20"/>
          <w:szCs w:val="20"/>
          <w:lang w:eastAsia="bg-BG"/>
        </w:rPr>
        <w:t xml:space="preserve">През 2023 г. стойността на вложените в селското стопанство средства за текущо потребление се равнява на 6 337.4 млн. лв., което е с </w:t>
      </w:r>
      <w:r w:rsidRPr="008077E6">
        <w:rPr>
          <w:rFonts w:ascii="Verdana" w:eastAsia="Μοντέρνα" w:hAnsi="Verdana" w:cs="Times New Roman"/>
          <w:sz w:val="20"/>
          <w:szCs w:val="20"/>
          <w:lang w:eastAsia="bg-BG"/>
        </w:rPr>
        <w:t>9.</w:t>
      </w:r>
      <w:r w:rsidRPr="008077E6">
        <w:rPr>
          <w:rFonts w:ascii="Verdana" w:eastAsia="Μοντέρνα" w:hAnsi="Verdana" w:cs="Times New Roman"/>
          <w:sz w:val="20"/>
          <w:szCs w:val="20"/>
          <w:lang w:val="en-US" w:eastAsia="bg-BG"/>
        </w:rPr>
        <w:t>3</w:t>
      </w:r>
      <w:r w:rsidRPr="008077E6">
        <w:rPr>
          <w:rFonts w:ascii="Verdana" w:eastAsia="Μοντέρνα" w:hAnsi="Verdana" w:cs="Times New Roman"/>
          <w:sz w:val="20"/>
          <w:szCs w:val="20"/>
          <w:lang w:eastAsia="bg-BG"/>
        </w:rPr>
        <w:t>%</w:t>
      </w:r>
      <w:r w:rsidRPr="008700BF">
        <w:rPr>
          <w:rFonts w:ascii="Verdana" w:eastAsia="Μοντέρνα" w:hAnsi="Verdana" w:cs="Times New Roman"/>
          <w:sz w:val="20"/>
          <w:szCs w:val="20"/>
          <w:lang w:eastAsia="bg-BG"/>
        </w:rPr>
        <w:t xml:space="preserve"> по</w:t>
      </w:r>
      <w:r w:rsidRPr="008700BF">
        <w:rPr>
          <w:rFonts w:ascii="Verdana" w:eastAsia="Μοντέρνα" w:hAnsi="Verdana" w:cs="Times New Roman"/>
          <w:sz w:val="20"/>
          <w:szCs w:val="20"/>
          <w:lang w:val="en-US" w:eastAsia="bg-BG"/>
        </w:rPr>
        <w:t xml:space="preserve"> - </w:t>
      </w:r>
      <w:r w:rsidRPr="008700BF">
        <w:rPr>
          <w:rFonts w:ascii="Verdana" w:eastAsia="Μοντέρνα" w:hAnsi="Verdana" w:cs="Times New Roman"/>
          <w:sz w:val="20"/>
          <w:szCs w:val="20"/>
          <w:lang w:eastAsia="bg-BG"/>
        </w:rPr>
        <w:t xml:space="preserve">малко спрямо предходната година. </w:t>
      </w:r>
      <w:r w:rsidRPr="008700BF">
        <w:rPr>
          <w:rFonts w:ascii="Verdana" w:hAnsi="Verdana"/>
          <w:sz w:val="20"/>
          <w:szCs w:val="20"/>
        </w:rPr>
        <w:t>Намалението се дължи както на понижение на цените с 5.5%, така и на спад на обемите с 4.0%.</w:t>
      </w:r>
    </w:p>
    <w:p w14:paraId="37F41DB2" w14:textId="486FFE98" w:rsidR="002C749B" w:rsidRDefault="002C749B" w:rsidP="002C749B">
      <w:pPr>
        <w:spacing w:line="360" w:lineRule="auto"/>
        <w:ind w:firstLine="567"/>
        <w:contextualSpacing/>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Спрямо 2022</w:t>
      </w:r>
      <w:r>
        <w:rPr>
          <w:rFonts w:ascii="Verdana" w:eastAsia="Μοντέρνα" w:hAnsi="Verdana" w:cs="Times New Roman"/>
          <w:sz w:val="20"/>
          <w:szCs w:val="20"/>
          <w:lang w:val="en-US" w:eastAsia="bg-BG"/>
        </w:rPr>
        <w:t> </w:t>
      </w:r>
      <w:r w:rsidRPr="000029D9">
        <w:rPr>
          <w:rFonts w:ascii="Verdana" w:eastAsia="Μοντέρνα" w:hAnsi="Verdana" w:cs="Times New Roman"/>
          <w:sz w:val="20"/>
          <w:szCs w:val="20"/>
          <w:lang w:eastAsia="bg-BG"/>
        </w:rPr>
        <w:t>г. увеличение на средствата за те</w:t>
      </w:r>
      <w:r>
        <w:rPr>
          <w:rFonts w:ascii="Verdana" w:eastAsia="Μοντέρνα" w:hAnsi="Verdana" w:cs="Times New Roman"/>
          <w:sz w:val="20"/>
          <w:szCs w:val="20"/>
          <w:lang w:eastAsia="bg-BG"/>
        </w:rPr>
        <w:t>кущо потребление е отчетено</w:t>
      </w:r>
      <w:r w:rsidRPr="000029D9">
        <w:rPr>
          <w:rFonts w:ascii="Verdana" w:eastAsia="Μοντέρνα" w:hAnsi="Verdana" w:cs="Times New Roman"/>
          <w:sz w:val="20"/>
          <w:szCs w:val="20"/>
          <w:lang w:eastAsia="bg-BG"/>
        </w:rPr>
        <w:t xml:space="preserve"> при семена и посадъчен материал </w:t>
      </w:r>
      <w:r w:rsidR="003B19CE">
        <w:rPr>
          <w:rFonts w:ascii="Verdana" w:eastAsia="Μοντέρνα" w:hAnsi="Verdana" w:cs="Times New Roman"/>
          <w:sz w:val="20"/>
          <w:szCs w:val="20"/>
          <w:lang w:val="en-US" w:eastAsia="bg-BG"/>
        </w:rPr>
        <w:t xml:space="preserve">- </w:t>
      </w:r>
      <w:r w:rsidRPr="000029D9">
        <w:rPr>
          <w:rFonts w:ascii="Verdana" w:eastAsia="Μοντέρνα" w:hAnsi="Verdana" w:cs="Times New Roman"/>
          <w:sz w:val="20"/>
          <w:szCs w:val="20"/>
          <w:lang w:eastAsia="bg-BG"/>
        </w:rPr>
        <w:t xml:space="preserve">с 16.9%, препарати за растителна защита </w:t>
      </w:r>
      <w:r w:rsidR="003B19CE">
        <w:rPr>
          <w:rFonts w:ascii="Verdana" w:eastAsia="Μοντέρνα" w:hAnsi="Verdana" w:cs="Times New Roman"/>
          <w:sz w:val="20"/>
          <w:szCs w:val="20"/>
          <w:lang w:val="en-US" w:eastAsia="bg-BG"/>
        </w:rPr>
        <w:t xml:space="preserve">- </w:t>
      </w:r>
      <w:r w:rsidRPr="000029D9">
        <w:rPr>
          <w:rFonts w:ascii="Verdana" w:eastAsia="Μοντέρνα" w:hAnsi="Verdana" w:cs="Times New Roman"/>
          <w:sz w:val="20"/>
          <w:szCs w:val="20"/>
          <w:lang w:eastAsia="bg-BG"/>
        </w:rPr>
        <w:t xml:space="preserve">с 0.4% и селскостопански услуги </w:t>
      </w:r>
      <w:r w:rsidR="003B19CE">
        <w:rPr>
          <w:rFonts w:ascii="Verdana" w:eastAsia="Μοντέρνα" w:hAnsi="Verdana" w:cs="Times New Roman"/>
          <w:sz w:val="20"/>
          <w:szCs w:val="20"/>
          <w:lang w:val="en-US" w:eastAsia="bg-BG"/>
        </w:rPr>
        <w:t xml:space="preserve">- </w:t>
      </w:r>
      <w:r w:rsidRPr="000029D9">
        <w:rPr>
          <w:rFonts w:ascii="Verdana" w:eastAsia="Μοντέρνα" w:hAnsi="Verdana" w:cs="Times New Roman"/>
          <w:sz w:val="20"/>
          <w:szCs w:val="20"/>
          <w:lang w:eastAsia="bg-BG"/>
        </w:rPr>
        <w:t xml:space="preserve">с 0.1%. Най-голямо понижение спрямо предходната година се наблюдава при разходите на стопанствата за торове и почвени подобрители </w:t>
      </w:r>
      <w:r w:rsidR="003B19CE">
        <w:rPr>
          <w:rFonts w:ascii="Verdana" w:eastAsia="Μοντέρνα" w:hAnsi="Verdana" w:cs="Times New Roman"/>
          <w:sz w:val="20"/>
          <w:szCs w:val="20"/>
          <w:lang w:val="en-US" w:eastAsia="bg-BG"/>
        </w:rPr>
        <w:t xml:space="preserve">- </w:t>
      </w:r>
      <w:r w:rsidRPr="000029D9">
        <w:rPr>
          <w:rFonts w:ascii="Verdana" w:eastAsia="Μοντέρνα" w:hAnsi="Verdana" w:cs="Times New Roman"/>
          <w:sz w:val="20"/>
          <w:szCs w:val="20"/>
          <w:lang w:eastAsia="bg-BG"/>
        </w:rPr>
        <w:t xml:space="preserve">с 18.4% и </w:t>
      </w:r>
      <w:r>
        <w:rPr>
          <w:rFonts w:ascii="Verdana" w:eastAsia="Μοντέρνα" w:hAnsi="Verdana" w:cs="Times New Roman"/>
          <w:sz w:val="20"/>
          <w:szCs w:val="20"/>
          <w:lang w:eastAsia="bg-BG"/>
        </w:rPr>
        <w:t xml:space="preserve">разходите за </w:t>
      </w:r>
      <w:r w:rsidRPr="000029D9">
        <w:rPr>
          <w:rFonts w:ascii="Verdana" w:eastAsia="Μοντέρνα" w:hAnsi="Verdana" w:cs="Times New Roman"/>
          <w:sz w:val="20"/>
          <w:szCs w:val="20"/>
          <w:lang w:eastAsia="bg-BG"/>
        </w:rPr>
        <w:t>в</w:t>
      </w:r>
      <w:r>
        <w:rPr>
          <w:rFonts w:ascii="Verdana" w:eastAsia="Μοντέρνα" w:hAnsi="Verdana" w:cs="Times New Roman"/>
          <w:sz w:val="20"/>
          <w:szCs w:val="20"/>
          <w:lang w:eastAsia="bg-BG"/>
        </w:rPr>
        <w:t>етеринарномедицински продукти</w:t>
      </w:r>
      <w:r w:rsidRPr="000029D9">
        <w:rPr>
          <w:rFonts w:ascii="Verdana" w:eastAsia="Μοντέρνα" w:hAnsi="Verdana" w:cs="Times New Roman"/>
          <w:sz w:val="20"/>
          <w:szCs w:val="20"/>
          <w:lang w:eastAsia="bg-BG"/>
        </w:rPr>
        <w:t xml:space="preserve"> </w:t>
      </w:r>
      <w:r w:rsidR="003B19CE">
        <w:rPr>
          <w:rFonts w:ascii="Verdana" w:eastAsia="Μοντέρνα" w:hAnsi="Verdana" w:cs="Times New Roman"/>
          <w:sz w:val="20"/>
          <w:szCs w:val="20"/>
          <w:lang w:val="en-US" w:eastAsia="bg-BG"/>
        </w:rPr>
        <w:t>-</w:t>
      </w:r>
      <w:r w:rsidRPr="000029D9">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27.0</w:t>
      </w:r>
      <w:r w:rsidRPr="000029D9">
        <w:rPr>
          <w:rFonts w:ascii="Verdana" w:eastAsia="Μοντέρνα" w:hAnsi="Verdana" w:cs="Times New Roman"/>
          <w:sz w:val="20"/>
          <w:szCs w:val="20"/>
          <w:lang w:eastAsia="bg-BG"/>
        </w:rPr>
        <w:t>%.</w:t>
      </w:r>
    </w:p>
    <w:p w14:paraId="2B23F774" w14:textId="77777777" w:rsidR="002C749B" w:rsidRDefault="002C749B" w:rsidP="00394FDA">
      <w:pPr>
        <w:numPr>
          <w:ilvl w:val="1"/>
          <w:numId w:val="1"/>
        </w:numPr>
        <w:spacing w:before="160" w:after="160" w:line="360" w:lineRule="auto"/>
        <w:ind w:left="567" w:firstLine="0"/>
        <w:contextualSpacing/>
        <w:jc w:val="both"/>
        <w:rPr>
          <w:rFonts w:ascii="Verdana" w:eastAsia="Μοντέρνα" w:hAnsi="Verdana" w:cs="Times New Roman"/>
          <w:b/>
          <w:sz w:val="20"/>
          <w:szCs w:val="20"/>
          <w:lang w:eastAsia="bg-BG"/>
        </w:rPr>
      </w:pPr>
      <w:r>
        <w:rPr>
          <w:rFonts w:ascii="Verdana" w:eastAsia="Μοντέρνα" w:hAnsi="Verdana" w:cs="Times New Roman"/>
          <w:b/>
          <w:sz w:val="20"/>
          <w:szCs w:val="20"/>
          <w:lang w:eastAsia="bg-BG"/>
        </w:rPr>
        <w:t>Брутна добавена стойност</w:t>
      </w:r>
    </w:p>
    <w:p w14:paraId="1DD8E30D" w14:textId="0B86E32A" w:rsidR="002C749B" w:rsidRPr="00867674" w:rsidRDefault="002C749B" w:rsidP="002C749B">
      <w:pPr>
        <w:spacing w:line="360" w:lineRule="auto"/>
        <w:ind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Създадената през 2023</w:t>
      </w:r>
      <w:r>
        <w:rPr>
          <w:rFonts w:ascii="Verdana" w:eastAsia="Μοντέρνα" w:hAnsi="Verdana" w:cs="Times New Roman"/>
          <w:sz w:val="20"/>
          <w:szCs w:val="20"/>
          <w:lang w:val="en-US" w:eastAsia="bg-BG"/>
        </w:rPr>
        <w:t> </w:t>
      </w:r>
      <w:r w:rsidRPr="00867674">
        <w:rPr>
          <w:rFonts w:ascii="Verdana" w:eastAsia="Μοντέρνα" w:hAnsi="Verdana" w:cs="Times New Roman"/>
          <w:sz w:val="20"/>
          <w:szCs w:val="20"/>
          <w:lang w:eastAsia="bg-BG"/>
        </w:rPr>
        <w:t>г. брутна добавена стойност в селското стопанство се равнява на 4 217.0 млн. лева и е с 28.7% по-ниска спрямо предходната година. Намалението се дължи на значителния спад на цените - с 26.6%, докато при обемите е регистрирано по-слабо намаление от 2.8% на годишна база.</w:t>
      </w:r>
    </w:p>
    <w:p w14:paraId="248B2F42" w14:textId="77777777" w:rsidR="002C749B" w:rsidRDefault="002C749B" w:rsidP="00216B74">
      <w:pPr>
        <w:pStyle w:val="ListParagraph"/>
        <w:numPr>
          <w:ilvl w:val="0"/>
          <w:numId w:val="2"/>
        </w:numPr>
        <w:tabs>
          <w:tab w:val="left" w:pos="1276"/>
        </w:tabs>
        <w:spacing w:before="160" w:line="360" w:lineRule="auto"/>
        <w:ind w:left="567" w:firstLine="0"/>
        <w:jc w:val="both"/>
        <w:rPr>
          <w:rFonts w:ascii="Verdana" w:eastAsia="Μοντέρνα" w:hAnsi="Verdana" w:cs="Times New Roman"/>
          <w:b/>
          <w:sz w:val="20"/>
          <w:szCs w:val="20"/>
          <w:lang w:eastAsia="bg-BG"/>
        </w:rPr>
      </w:pPr>
      <w:r w:rsidRPr="00790F4C">
        <w:rPr>
          <w:rFonts w:ascii="Verdana" w:eastAsia="Μοντέρνα" w:hAnsi="Verdana" w:cs="Times New Roman"/>
          <w:b/>
          <w:sz w:val="20"/>
          <w:szCs w:val="20"/>
          <w:lang w:eastAsia="bg-BG"/>
        </w:rPr>
        <w:t xml:space="preserve">СМЕТКА </w:t>
      </w:r>
      <w:r w:rsidRPr="00867674">
        <w:rPr>
          <w:rFonts w:ascii="Verdana" w:eastAsia="Μοντέρνα" w:hAnsi="Verdana" w:cs="Times New Roman"/>
          <w:b/>
          <w:sz w:val="20"/>
          <w:szCs w:val="20"/>
          <w:lang w:eastAsia="bg-BG"/>
        </w:rPr>
        <w:t>„ФОРМИРАНЕ НА ДОХОДА“</w:t>
      </w:r>
    </w:p>
    <w:p w14:paraId="0AA0C009" w14:textId="50C582D8" w:rsidR="002C749B" w:rsidRPr="004617B3" w:rsidRDefault="002C749B" w:rsidP="002C749B">
      <w:pPr>
        <w:spacing w:line="360" w:lineRule="auto"/>
        <w:ind w:firstLine="567"/>
        <w:jc w:val="both"/>
        <w:rPr>
          <w:rFonts w:ascii="Verdana" w:eastAsia="Μοντέρνα" w:hAnsi="Verdana" w:cs="Times New Roman"/>
          <w:sz w:val="20"/>
          <w:szCs w:val="20"/>
          <w:lang w:eastAsia="bg-BG"/>
        </w:rPr>
      </w:pPr>
      <w:r w:rsidRPr="004617B3">
        <w:rPr>
          <w:rFonts w:ascii="Verdana" w:eastAsia="Μοντέρνα" w:hAnsi="Verdana" w:cs="Times New Roman"/>
          <w:sz w:val="20"/>
          <w:szCs w:val="20"/>
          <w:lang w:eastAsia="bg-BG"/>
        </w:rPr>
        <w:t>През 2023</w:t>
      </w:r>
      <w:r>
        <w:rPr>
          <w:rFonts w:ascii="Verdana" w:eastAsia="Μοντέρνα" w:hAnsi="Verdana" w:cs="Times New Roman"/>
          <w:sz w:val="20"/>
          <w:szCs w:val="20"/>
          <w:lang w:val="en-US" w:eastAsia="bg-BG"/>
        </w:rPr>
        <w:t> </w:t>
      </w:r>
      <w:r w:rsidRPr="004617B3">
        <w:rPr>
          <w:rFonts w:ascii="Verdana" w:eastAsia="Μοντέρνα" w:hAnsi="Verdana" w:cs="Times New Roman"/>
          <w:sz w:val="20"/>
          <w:szCs w:val="20"/>
          <w:lang w:eastAsia="bg-BG"/>
        </w:rPr>
        <w:t>г. нетният опериращ излишък/смесен доход в селското стопанство възлиза на 3 604.</w:t>
      </w:r>
      <w:r w:rsidRPr="004617B3">
        <w:rPr>
          <w:rFonts w:ascii="Verdana" w:eastAsia="Μοντέρνα" w:hAnsi="Verdana" w:cs="Times New Roman"/>
          <w:sz w:val="20"/>
          <w:szCs w:val="20"/>
          <w:lang w:val="en-US" w:eastAsia="bg-BG"/>
        </w:rPr>
        <w:t>5</w:t>
      </w:r>
      <w:r w:rsidRPr="004617B3">
        <w:rPr>
          <w:rFonts w:ascii="Verdana" w:eastAsia="Μοντέρνα" w:hAnsi="Verdana" w:cs="Times New Roman"/>
          <w:sz w:val="20"/>
          <w:szCs w:val="20"/>
          <w:lang w:eastAsia="bg-BG"/>
        </w:rPr>
        <w:t xml:space="preserve"> млн. лв. и е с 37.8% по-нисък спрямо предходната година. Намалението е в резултат на спада на </w:t>
      </w:r>
      <w:r w:rsidR="00B610B3">
        <w:rPr>
          <w:rFonts w:ascii="Verdana" w:eastAsia="Μοντέρνα" w:hAnsi="Verdana" w:cs="Times New Roman"/>
          <w:sz w:val="20"/>
          <w:szCs w:val="20"/>
          <w:lang w:eastAsia="bg-BG"/>
        </w:rPr>
        <w:t>крайната</w:t>
      </w:r>
      <w:r w:rsidRPr="004617B3">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 xml:space="preserve">продукция </w:t>
      </w:r>
      <w:r w:rsidRPr="004617B3">
        <w:rPr>
          <w:rFonts w:ascii="Verdana" w:eastAsia="Μοντέρνα" w:hAnsi="Verdana" w:cs="Times New Roman"/>
          <w:sz w:val="20"/>
          <w:szCs w:val="20"/>
          <w:lang w:eastAsia="bg-BG"/>
        </w:rPr>
        <w:t>в селското стопанство през 2023</w:t>
      </w:r>
      <w:r>
        <w:rPr>
          <w:rFonts w:ascii="Verdana" w:eastAsia="Μοντέρνα" w:hAnsi="Verdana" w:cs="Times New Roman"/>
          <w:sz w:val="20"/>
          <w:szCs w:val="20"/>
          <w:lang w:val="en-US" w:eastAsia="bg-BG"/>
        </w:rPr>
        <w:t> </w:t>
      </w:r>
      <w:r w:rsidRPr="004617B3">
        <w:rPr>
          <w:rFonts w:ascii="Verdana" w:eastAsia="Μοντέρνα" w:hAnsi="Verdana" w:cs="Times New Roman"/>
          <w:sz w:val="20"/>
          <w:szCs w:val="20"/>
          <w:lang w:eastAsia="bg-BG"/>
        </w:rPr>
        <w:t>г. спрямо предходната година.</w:t>
      </w:r>
    </w:p>
    <w:p w14:paraId="53F3D091" w14:textId="77777777" w:rsidR="002C749B" w:rsidRPr="00790F4C" w:rsidRDefault="002C749B" w:rsidP="00216B74">
      <w:pPr>
        <w:pStyle w:val="ListParagraph"/>
        <w:numPr>
          <w:ilvl w:val="0"/>
          <w:numId w:val="2"/>
        </w:numPr>
        <w:tabs>
          <w:tab w:val="left" w:pos="1276"/>
        </w:tabs>
        <w:spacing w:before="160" w:line="360" w:lineRule="auto"/>
        <w:ind w:left="357" w:firstLine="210"/>
        <w:jc w:val="both"/>
        <w:rPr>
          <w:rFonts w:ascii="Verdana" w:eastAsia="Μοντέρνα" w:hAnsi="Verdana" w:cs="Times New Roman"/>
          <w:b/>
          <w:sz w:val="20"/>
          <w:szCs w:val="20"/>
          <w:lang w:eastAsia="bg-BG"/>
        </w:rPr>
      </w:pPr>
      <w:r w:rsidRPr="00790F4C">
        <w:rPr>
          <w:rFonts w:ascii="Verdana" w:eastAsia="Μοντέρνα" w:hAnsi="Verdana" w:cs="Times New Roman"/>
          <w:b/>
          <w:sz w:val="20"/>
          <w:szCs w:val="20"/>
          <w:lang w:eastAsia="bg-BG"/>
        </w:rPr>
        <w:t xml:space="preserve">СМЕТКА </w:t>
      </w:r>
      <w:r>
        <w:rPr>
          <w:rFonts w:ascii="Verdana" w:eastAsia="Μοντέρνα" w:hAnsi="Verdana" w:cs="Times New Roman"/>
          <w:b/>
          <w:sz w:val="20"/>
          <w:szCs w:val="20"/>
          <w:lang w:eastAsia="bg-BG"/>
        </w:rPr>
        <w:t>„ПРЕДПРИЕМАЧЕСКИ ДОХОД</w:t>
      </w:r>
      <w:r w:rsidRPr="00867674">
        <w:rPr>
          <w:rFonts w:ascii="Verdana" w:eastAsia="Μοντέρνα" w:hAnsi="Verdana" w:cs="Times New Roman"/>
          <w:b/>
          <w:sz w:val="20"/>
          <w:szCs w:val="20"/>
          <w:lang w:eastAsia="bg-BG"/>
        </w:rPr>
        <w:t>“</w:t>
      </w:r>
    </w:p>
    <w:p w14:paraId="4B952676" w14:textId="0BB3C3EB" w:rsidR="002C749B" w:rsidRDefault="002C749B" w:rsidP="002C749B">
      <w:pPr>
        <w:spacing w:line="360" w:lineRule="auto"/>
        <w:ind w:firstLine="567"/>
        <w:contextualSpacing/>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През 2023</w:t>
      </w:r>
      <w:r>
        <w:rPr>
          <w:rFonts w:ascii="Verdana" w:eastAsia="Μοντέρνα" w:hAnsi="Verdana" w:cs="Times New Roman"/>
          <w:sz w:val="20"/>
          <w:szCs w:val="20"/>
          <w:lang w:val="en-US" w:eastAsia="bg-BG"/>
        </w:rPr>
        <w:t> </w:t>
      </w:r>
      <w:r w:rsidRPr="00812DFF">
        <w:rPr>
          <w:rFonts w:ascii="Verdana" w:eastAsia="Μοντέρνα" w:hAnsi="Verdana" w:cs="Times New Roman"/>
          <w:sz w:val="20"/>
          <w:szCs w:val="20"/>
          <w:lang w:eastAsia="bg-BG"/>
        </w:rPr>
        <w:t>г. нетният предприемачески доход в селското стопанство достига 969.4 млн. лв. и намалява спрямо предходната година с</w:t>
      </w:r>
      <w:r w:rsidR="00B84C3D">
        <w:rPr>
          <w:rFonts w:ascii="Verdana" w:eastAsia="Μοντέρνα" w:hAnsi="Verdana" w:cs="Times New Roman"/>
          <w:sz w:val="20"/>
          <w:szCs w:val="20"/>
          <w:lang w:eastAsia="bg-BG"/>
        </w:rPr>
        <w:t>ъс</w:t>
      </w:r>
      <w:bookmarkStart w:id="0" w:name="_GoBack"/>
      <w:bookmarkEnd w:id="0"/>
      <w:r w:rsidRPr="00812DFF">
        <w:rPr>
          <w:rFonts w:ascii="Verdana" w:eastAsia="Μοντέρνα" w:hAnsi="Verdana" w:cs="Times New Roman"/>
          <w:sz w:val="20"/>
          <w:szCs w:val="20"/>
          <w:lang w:eastAsia="bg-BG"/>
        </w:rPr>
        <w:t xml:space="preserve"> 70.1%</w:t>
      </w:r>
      <w:r w:rsidR="00790A9D" w:rsidRPr="00790A9D">
        <w:rPr>
          <w:rFonts w:ascii="Verdana" w:hAnsi="Verdana"/>
          <w:sz w:val="20"/>
          <w:szCs w:val="20"/>
        </w:rPr>
        <w:t xml:space="preserve"> </w:t>
      </w:r>
      <w:r w:rsidR="00790A9D" w:rsidRPr="008077E6">
        <w:rPr>
          <w:rFonts w:ascii="Verdana" w:hAnsi="Verdana"/>
          <w:sz w:val="20"/>
          <w:szCs w:val="20"/>
        </w:rPr>
        <w:t xml:space="preserve">в резултат на спада на нетния опериращ излишък/смесен доход </w:t>
      </w:r>
      <w:r w:rsidR="00134509" w:rsidRPr="008077E6">
        <w:rPr>
          <w:rFonts w:ascii="Verdana" w:hAnsi="Verdana"/>
          <w:sz w:val="20"/>
          <w:szCs w:val="20"/>
        </w:rPr>
        <w:t>и увеличението на</w:t>
      </w:r>
      <w:r w:rsidR="00790A9D" w:rsidRPr="008077E6">
        <w:rPr>
          <w:rFonts w:ascii="Verdana" w:hAnsi="Verdana"/>
          <w:sz w:val="20"/>
          <w:szCs w:val="20"/>
        </w:rPr>
        <w:t xml:space="preserve"> разходите за аренда.</w:t>
      </w:r>
    </w:p>
    <w:p w14:paraId="33F16A43" w14:textId="77777777" w:rsidR="002C749B" w:rsidRDefault="002C749B" w:rsidP="00394FDA">
      <w:pPr>
        <w:pStyle w:val="ListParagraph"/>
        <w:numPr>
          <w:ilvl w:val="0"/>
          <w:numId w:val="2"/>
        </w:numPr>
        <w:tabs>
          <w:tab w:val="left" w:pos="1276"/>
        </w:tabs>
        <w:spacing w:before="160" w:line="360" w:lineRule="auto"/>
        <w:ind w:left="567" w:firstLine="0"/>
        <w:contextualSpacing w:val="0"/>
        <w:jc w:val="both"/>
        <w:rPr>
          <w:rFonts w:ascii="Verdana" w:eastAsia="Μοντέρνα" w:hAnsi="Verdana" w:cs="Times New Roman"/>
          <w:b/>
          <w:sz w:val="20"/>
          <w:szCs w:val="20"/>
          <w:lang w:eastAsia="bg-BG"/>
        </w:rPr>
      </w:pPr>
      <w:r w:rsidRPr="00790F4C">
        <w:rPr>
          <w:rFonts w:ascii="Verdana" w:eastAsia="Μοντέρνα" w:hAnsi="Verdana" w:cs="Times New Roman"/>
          <w:b/>
          <w:sz w:val="20"/>
          <w:szCs w:val="20"/>
          <w:lang w:eastAsia="bg-BG"/>
        </w:rPr>
        <w:t xml:space="preserve">СМЕТКА </w:t>
      </w:r>
      <w:r>
        <w:rPr>
          <w:rFonts w:ascii="Verdana" w:eastAsia="Μοντέρνα" w:hAnsi="Verdana" w:cs="Times New Roman"/>
          <w:b/>
          <w:sz w:val="20"/>
          <w:szCs w:val="20"/>
          <w:lang w:eastAsia="bg-BG"/>
        </w:rPr>
        <w:t>„КАПИТАЛ</w:t>
      </w:r>
      <w:r w:rsidRPr="00867674">
        <w:rPr>
          <w:rFonts w:ascii="Verdana" w:eastAsia="Μοντέρνα" w:hAnsi="Verdana" w:cs="Times New Roman"/>
          <w:b/>
          <w:sz w:val="20"/>
          <w:szCs w:val="20"/>
          <w:lang w:eastAsia="bg-BG"/>
        </w:rPr>
        <w:t>“</w:t>
      </w:r>
    </w:p>
    <w:p w14:paraId="239F9A38" w14:textId="49223BC2" w:rsidR="00027268" w:rsidRPr="00766551" w:rsidRDefault="002C749B" w:rsidP="002C749B">
      <w:pPr>
        <w:pStyle w:val="ListParagraph"/>
        <w:tabs>
          <w:tab w:val="left" w:pos="1276"/>
        </w:tabs>
        <w:spacing w:before="160" w:line="360" w:lineRule="auto"/>
        <w:ind w:left="0" w:firstLine="567"/>
        <w:jc w:val="both"/>
        <w:rPr>
          <w:rFonts w:ascii="Verdana" w:eastAsia="Μοντέρνα" w:hAnsi="Verdana" w:cs="Times New Roman"/>
          <w:sz w:val="20"/>
          <w:szCs w:val="20"/>
          <w:lang w:eastAsia="bg-BG"/>
        </w:rPr>
      </w:pPr>
      <w:r w:rsidRPr="00766551">
        <w:rPr>
          <w:rFonts w:ascii="Verdana" w:eastAsia="Μοντέρνα" w:hAnsi="Verdana" w:cs="Times New Roman"/>
          <w:sz w:val="20"/>
          <w:szCs w:val="20"/>
          <w:lang w:eastAsia="bg-BG"/>
        </w:rPr>
        <w:t>През 2023 г. бруто образуването на основен капитал в селското стопанство се равнява на 1 3</w:t>
      </w:r>
      <w:r w:rsidRPr="00766551">
        <w:rPr>
          <w:rFonts w:ascii="Verdana" w:eastAsia="Μοντέρνα" w:hAnsi="Verdana" w:cs="Times New Roman"/>
          <w:sz w:val="20"/>
          <w:szCs w:val="20"/>
          <w:lang w:val="en-US" w:eastAsia="bg-BG"/>
        </w:rPr>
        <w:t>54</w:t>
      </w:r>
      <w:r w:rsidRPr="00766551">
        <w:rPr>
          <w:rFonts w:ascii="Verdana" w:eastAsia="Μοντέρνα" w:hAnsi="Verdana" w:cs="Times New Roman"/>
          <w:sz w:val="20"/>
          <w:szCs w:val="20"/>
          <w:lang w:eastAsia="bg-BG"/>
        </w:rPr>
        <w:t xml:space="preserve">.2 </w:t>
      </w:r>
      <w:r w:rsidR="00EA7047">
        <w:rPr>
          <w:rFonts w:ascii="Verdana" w:eastAsia="Μοντέρνα" w:hAnsi="Verdana" w:cs="Times New Roman"/>
          <w:sz w:val="20"/>
          <w:szCs w:val="20"/>
          <w:lang w:eastAsia="bg-BG"/>
        </w:rPr>
        <w:t xml:space="preserve">млн. лв. </w:t>
      </w:r>
      <w:r w:rsidRPr="00766551">
        <w:rPr>
          <w:rFonts w:ascii="Verdana" w:eastAsia="Μοντέρνα" w:hAnsi="Verdana" w:cs="Times New Roman"/>
          <w:sz w:val="20"/>
          <w:szCs w:val="20"/>
          <w:lang w:eastAsia="bg-BG"/>
        </w:rPr>
        <w:t>и остава на почти същите нива като предходната година</w:t>
      </w:r>
      <w:r>
        <w:rPr>
          <w:rFonts w:ascii="Verdana" w:eastAsia="Μοντέρνα" w:hAnsi="Verdana" w:cs="Times New Roman"/>
          <w:sz w:val="20"/>
          <w:szCs w:val="20"/>
          <w:lang w:eastAsia="bg-BG"/>
        </w:rPr>
        <w:t>,</w:t>
      </w:r>
      <w:r w:rsidRPr="00766551">
        <w:rPr>
          <w:rFonts w:ascii="Verdana" w:eastAsia="Μοντέρνα" w:hAnsi="Verdana" w:cs="Times New Roman"/>
          <w:sz w:val="20"/>
          <w:szCs w:val="20"/>
          <w:lang w:eastAsia="bg-BG"/>
        </w:rPr>
        <w:t xml:space="preserve"> със слабо намаление от 0.3%.</w:t>
      </w:r>
    </w:p>
    <w:p w14:paraId="732A3773" w14:textId="0AE60C87" w:rsidR="002C749B" w:rsidRPr="00794CFC" w:rsidRDefault="002C749B" w:rsidP="00027268">
      <w:pPr>
        <w:pStyle w:val="ListParagraph"/>
        <w:tabs>
          <w:tab w:val="left" w:pos="1276"/>
        </w:tabs>
        <w:spacing w:before="160" w:line="360" w:lineRule="auto"/>
        <w:ind w:left="0" w:firstLine="567"/>
        <w:jc w:val="both"/>
        <w:rPr>
          <w:rFonts w:ascii="Verdana" w:eastAsia="Μοντέρνα" w:hAnsi="Verdana" w:cs="Times New Roman"/>
          <w:sz w:val="20"/>
          <w:szCs w:val="20"/>
          <w:lang w:eastAsia="bg-BG"/>
        </w:rPr>
      </w:pPr>
      <w:r w:rsidRPr="00794CFC">
        <w:rPr>
          <w:rFonts w:ascii="Verdana" w:eastAsia="Μοντέρνα" w:hAnsi="Verdana" w:cs="Times New Roman"/>
          <w:sz w:val="20"/>
          <w:szCs w:val="20"/>
          <w:lang w:eastAsia="bg-BG"/>
        </w:rPr>
        <w:t>По-голямата част от него - 1 248.7</w:t>
      </w:r>
      <w:r>
        <w:rPr>
          <w:rFonts w:ascii="Verdana" w:eastAsia="Μοντέρνα" w:hAnsi="Verdana" w:cs="Times New Roman"/>
          <w:sz w:val="20"/>
          <w:szCs w:val="20"/>
          <w:lang w:val="en-US" w:eastAsia="bg-BG"/>
        </w:rPr>
        <w:t> </w:t>
      </w:r>
      <w:r w:rsidRPr="00794CFC">
        <w:rPr>
          <w:rFonts w:ascii="Verdana" w:eastAsia="Μοντέρνα" w:hAnsi="Verdana" w:cs="Times New Roman"/>
          <w:sz w:val="20"/>
          <w:szCs w:val="20"/>
          <w:lang w:eastAsia="bg-BG"/>
        </w:rPr>
        <w:t>млн.</w:t>
      </w:r>
      <w:r>
        <w:rPr>
          <w:rFonts w:ascii="Verdana" w:eastAsia="Μοντέρνα" w:hAnsi="Verdana" w:cs="Times New Roman"/>
          <w:sz w:val="20"/>
          <w:szCs w:val="20"/>
          <w:lang w:val="en-US" w:eastAsia="bg-BG"/>
        </w:rPr>
        <w:t> </w:t>
      </w:r>
      <w:r w:rsidRPr="00794CFC">
        <w:rPr>
          <w:rFonts w:ascii="Verdana" w:eastAsia="Μοντέρνα" w:hAnsi="Verdana" w:cs="Times New Roman"/>
          <w:sz w:val="20"/>
          <w:szCs w:val="20"/>
          <w:lang w:eastAsia="bg-BG"/>
        </w:rPr>
        <w:t xml:space="preserve">лв. (92.2%), представлява бруто образуване на основен капитал в неселскостопански продукти, от които в </w:t>
      </w:r>
      <w:r w:rsidRPr="00794CFC">
        <w:rPr>
          <w:rFonts w:ascii="Verdana" w:eastAsia="Μοντέρνα" w:hAnsi="Verdana" w:cs="Times New Roman"/>
          <w:sz w:val="20"/>
          <w:szCs w:val="20"/>
          <w:lang w:eastAsia="bg-BG"/>
        </w:rPr>
        <w:lastRenderedPageBreak/>
        <w:t xml:space="preserve">селскостопански машини, оборудване и транспортни средства </w:t>
      </w:r>
      <w:r w:rsidR="00FF4498">
        <w:rPr>
          <w:rFonts w:ascii="Verdana" w:eastAsia="Μοντέρνα" w:hAnsi="Verdana" w:cs="Times New Roman"/>
          <w:sz w:val="20"/>
          <w:szCs w:val="20"/>
          <w:lang w:eastAsia="bg-BG"/>
        </w:rPr>
        <w:t>-</w:t>
      </w:r>
      <w:r w:rsidRPr="00794CFC">
        <w:rPr>
          <w:rFonts w:ascii="Verdana" w:eastAsia="Μοντέρνα" w:hAnsi="Verdana" w:cs="Times New Roman"/>
          <w:sz w:val="20"/>
          <w:szCs w:val="20"/>
          <w:lang w:eastAsia="bg-BG"/>
        </w:rPr>
        <w:t xml:space="preserve"> 905.8 млн. лв. (дял от 66.9%), </w:t>
      </w:r>
      <w:r w:rsidR="00FF4498">
        <w:rPr>
          <w:rFonts w:ascii="Verdana" w:eastAsia="Μοντέρνα" w:hAnsi="Verdana" w:cs="Times New Roman"/>
          <w:sz w:val="20"/>
          <w:szCs w:val="20"/>
          <w:lang w:eastAsia="bg-BG"/>
        </w:rPr>
        <w:t>а</w:t>
      </w:r>
      <w:r w:rsidRPr="00794CFC">
        <w:rPr>
          <w:rFonts w:ascii="Verdana" w:eastAsia="Μοντέρνα" w:hAnsi="Verdana" w:cs="Times New Roman"/>
          <w:sz w:val="20"/>
          <w:szCs w:val="20"/>
          <w:lang w:eastAsia="bg-BG"/>
        </w:rPr>
        <w:t xml:space="preserve"> в сгради </w:t>
      </w:r>
      <w:r w:rsidR="00FF4498">
        <w:rPr>
          <w:rFonts w:ascii="Verdana" w:eastAsia="Μοντέρνα" w:hAnsi="Verdana" w:cs="Times New Roman"/>
          <w:sz w:val="20"/>
          <w:szCs w:val="20"/>
          <w:lang w:eastAsia="bg-BG"/>
        </w:rPr>
        <w:t>-</w:t>
      </w:r>
      <w:r w:rsidRPr="00794CFC">
        <w:rPr>
          <w:rFonts w:ascii="Verdana" w:eastAsia="Μοντέρνα" w:hAnsi="Verdana" w:cs="Times New Roman"/>
          <w:sz w:val="20"/>
          <w:szCs w:val="20"/>
          <w:lang w:eastAsia="bg-BG"/>
        </w:rPr>
        <w:t xml:space="preserve"> 340.1 млн. лева (дял от 25.1%).</w:t>
      </w:r>
    </w:p>
    <w:p w14:paraId="520FB78B" w14:textId="4B2DA7CE" w:rsidR="001D22EA" w:rsidRPr="00394FDA" w:rsidRDefault="002C749B" w:rsidP="001D22EA">
      <w:pPr>
        <w:pStyle w:val="ListParagraph"/>
        <w:tabs>
          <w:tab w:val="left" w:pos="1276"/>
        </w:tabs>
        <w:spacing w:before="160" w:line="360" w:lineRule="auto"/>
        <w:ind w:left="0" w:firstLine="567"/>
        <w:jc w:val="both"/>
        <w:rPr>
          <w:rFonts w:ascii="Verdana" w:eastAsia="Μοντέρνα" w:hAnsi="Verdana" w:cs="Times New Roman"/>
          <w:sz w:val="20"/>
          <w:szCs w:val="20"/>
          <w:lang w:eastAsia="bg-BG"/>
        </w:rPr>
      </w:pPr>
      <w:r w:rsidRPr="00782E86">
        <w:rPr>
          <w:rFonts w:ascii="Verdana" w:eastAsia="Μοντέρνα" w:hAnsi="Verdana" w:cs="Times New Roman"/>
          <w:sz w:val="20"/>
          <w:szCs w:val="20"/>
          <w:lang w:eastAsia="bg-BG"/>
        </w:rPr>
        <w:t>Бруто образуването на основен капитал в селскостопански продукти (трайни насаждения и селскостопански животни) през 2023 г. е 105.5 млн. лева.</w:t>
      </w:r>
    </w:p>
    <w:p w14:paraId="7B641658" w14:textId="77777777" w:rsidR="001D22EA" w:rsidRPr="00C26EFB" w:rsidRDefault="001D22EA" w:rsidP="001D22EA">
      <w:pPr>
        <w:spacing w:after="160" w:line="360" w:lineRule="auto"/>
        <w:ind w:firstLine="567"/>
        <w:contextualSpacing/>
        <w:jc w:val="center"/>
        <w:rPr>
          <w:rFonts w:ascii="Verdana" w:eastAsia="Μοντέρνα" w:hAnsi="Verdana" w:cs="Times New Roman"/>
          <w:b/>
          <w:sz w:val="20"/>
          <w:szCs w:val="20"/>
          <w:lang w:eastAsia="bg-BG"/>
        </w:rPr>
      </w:pPr>
      <w:r w:rsidRPr="00C26EFB">
        <w:rPr>
          <w:rFonts w:ascii="Verdana" w:eastAsia="Μοντέρνα" w:hAnsi="Verdana" w:cs="Times New Roman"/>
          <w:b/>
          <w:sz w:val="20"/>
          <w:szCs w:val="20"/>
          <w:lang w:eastAsia="bg-BG"/>
        </w:rPr>
        <w:t>Методологични бележки</w:t>
      </w:r>
    </w:p>
    <w:p w14:paraId="49BA34FD" w14:textId="77777777" w:rsidR="001D22EA" w:rsidRPr="00C26EFB" w:rsidRDefault="001D22EA" w:rsidP="001D22EA">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Икономическите сметки за селското стопанство са сателитни сметки на националните сметки, които предоставят допълнителна информация и използват понятия, адаптирани към специфичното естество на отрасъла. Те са разработени съгласно Регламент (EС) № 138/2004 и приетата от Евростат методология, описана в „Manual on the Economic Accounts for Agriculture and Forestry, 1997, Rev. 1.1“. Архитектурата на сметките е изградена от четири сметки - три за текущи операции - „Производство“, „Формиране на дохода“, „Предприемачески доход“, и една за натрупване - „Капитал“, като последователността и изчерпателността им се осигуряват в съответствие с Европейската система от сметки.</w:t>
      </w:r>
    </w:p>
    <w:p w14:paraId="078FB40B" w14:textId="77777777" w:rsidR="001D22EA" w:rsidRPr="00C26EFB" w:rsidRDefault="001D22EA" w:rsidP="001D22EA">
      <w:pPr>
        <w:spacing w:before="160" w:line="360" w:lineRule="auto"/>
        <w:ind w:firstLine="567"/>
        <w:contextualSpacing/>
        <w:jc w:val="both"/>
        <w:rPr>
          <w:rFonts w:ascii="Verdana" w:eastAsia="Μοντέρνα" w:hAnsi="Verdana" w:cs="Times New Roman"/>
          <w:b/>
          <w:sz w:val="20"/>
          <w:szCs w:val="20"/>
          <w:lang w:eastAsia="bg-BG"/>
        </w:rPr>
      </w:pPr>
      <w:r w:rsidRPr="00C26EFB">
        <w:rPr>
          <w:rFonts w:ascii="Verdana" w:eastAsia="Μοντέρνα" w:hAnsi="Verdana" w:cs="Times New Roman"/>
          <w:b/>
          <w:sz w:val="20"/>
          <w:szCs w:val="20"/>
          <w:lang w:eastAsia="bg-BG"/>
        </w:rPr>
        <w:t>Основни показатели</w:t>
      </w:r>
    </w:p>
    <w:p w14:paraId="2EFAAD37" w14:textId="77777777" w:rsidR="001D22EA" w:rsidRPr="00C26EFB" w:rsidRDefault="001D22EA" w:rsidP="001D22EA">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Основната цел на разработването на икономическите сметки е анализирането на производствения процес и на предприемаческия доход, получен от отрасъл „Селско стопанство“. Изчислението на дохода се осъществява в рамките на трите сметки за текущи операции, при което се използват следните методологически връзки:</w:t>
      </w:r>
    </w:p>
    <w:p w14:paraId="61D3D8B1" w14:textId="77777777" w:rsidR="001D22EA" w:rsidRPr="00C26EFB" w:rsidRDefault="001D22EA" w:rsidP="001D22EA">
      <w:pPr>
        <w:spacing w:line="360" w:lineRule="auto"/>
        <w:ind w:left="708" w:firstLine="708"/>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Продукция от растениевъдството</w:t>
      </w:r>
    </w:p>
    <w:p w14:paraId="172CE39B" w14:textId="77777777" w:rsidR="001D22EA" w:rsidRPr="00C26EFB" w:rsidRDefault="001D22EA" w:rsidP="001D22EA">
      <w:pPr>
        <w:spacing w:line="360" w:lineRule="auto"/>
        <w:ind w:firstLine="568"/>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Продукция от животновъдството</w:t>
      </w:r>
    </w:p>
    <w:p w14:paraId="30247AF7" w14:textId="77777777" w:rsidR="001D22EA" w:rsidRPr="00C26EFB" w:rsidRDefault="001D22EA" w:rsidP="001D22EA">
      <w:pPr>
        <w:spacing w:line="360" w:lineRule="auto"/>
        <w:ind w:firstLine="568"/>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Селскостопански услуги</w:t>
      </w:r>
    </w:p>
    <w:p w14:paraId="028E1E6A" w14:textId="77777777" w:rsidR="001D22EA" w:rsidRPr="00C26EFB" w:rsidRDefault="001D22EA" w:rsidP="001D22EA">
      <w:pPr>
        <w:spacing w:line="360" w:lineRule="auto"/>
        <w:ind w:firstLine="568"/>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Неотделими неселскостопански дейности</w:t>
      </w:r>
    </w:p>
    <w:p w14:paraId="21318354" w14:textId="77777777" w:rsidR="001D22EA" w:rsidRPr="00C26EFB" w:rsidRDefault="001D22EA" w:rsidP="001D22EA">
      <w:pPr>
        <w:spacing w:line="360" w:lineRule="auto"/>
        <w:ind w:firstLine="568"/>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Продукция от отрасъл „Селско стопанство“</w:t>
      </w:r>
    </w:p>
    <w:p w14:paraId="0387F78D" w14:textId="2FC15109" w:rsidR="001D22EA" w:rsidRPr="00C26EFB" w:rsidRDefault="0084567D" w:rsidP="001D22EA">
      <w:pPr>
        <w:spacing w:line="360" w:lineRule="auto"/>
        <w:ind w:firstLine="568"/>
        <w:contextualSpacing/>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 xml:space="preserve">– </w:t>
      </w:r>
      <w:r w:rsidR="001D22EA">
        <w:rPr>
          <w:rFonts w:ascii="Verdana" w:eastAsia="Μοντέρνα" w:hAnsi="Verdana" w:cs="Times New Roman"/>
          <w:sz w:val="20"/>
          <w:szCs w:val="20"/>
          <w:lang w:eastAsia="bg-BG"/>
        </w:rPr>
        <w:tab/>
      </w:r>
      <w:r w:rsidR="001D22EA" w:rsidRPr="00C26EFB">
        <w:rPr>
          <w:rFonts w:ascii="Verdana" w:eastAsia="Μοντέρνα" w:hAnsi="Verdana" w:cs="Times New Roman"/>
          <w:sz w:val="20"/>
          <w:szCs w:val="20"/>
          <w:lang w:eastAsia="bg-BG"/>
        </w:rPr>
        <w:t>Междинно потребление</w:t>
      </w:r>
    </w:p>
    <w:p w14:paraId="12309206" w14:textId="77777777" w:rsidR="001D22EA" w:rsidRPr="00C26EFB" w:rsidRDefault="001D22EA" w:rsidP="001D22EA">
      <w:pPr>
        <w:spacing w:line="360" w:lineRule="auto"/>
        <w:ind w:firstLine="568"/>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Брутна добавена стойност</w:t>
      </w:r>
    </w:p>
    <w:p w14:paraId="6C5EB3B0" w14:textId="5BF407CC" w:rsidR="001D22EA" w:rsidRPr="00C26EFB" w:rsidRDefault="00AA4979" w:rsidP="001D22EA">
      <w:pPr>
        <w:spacing w:line="360" w:lineRule="auto"/>
        <w:ind w:firstLine="568"/>
        <w:contextualSpacing/>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w:t>
      </w:r>
      <w:r w:rsidR="001D22EA">
        <w:rPr>
          <w:rFonts w:ascii="Verdana" w:eastAsia="Μοντέρνα" w:hAnsi="Verdana" w:cs="Times New Roman"/>
          <w:sz w:val="20"/>
          <w:szCs w:val="20"/>
          <w:lang w:eastAsia="bg-BG"/>
        </w:rPr>
        <w:tab/>
      </w:r>
      <w:r>
        <w:rPr>
          <w:rFonts w:ascii="Verdana" w:eastAsia="Μοντέρνα" w:hAnsi="Verdana" w:cs="Times New Roman"/>
          <w:sz w:val="20"/>
          <w:szCs w:val="20"/>
          <w:lang w:eastAsia="bg-BG"/>
        </w:rPr>
        <w:tab/>
      </w:r>
      <w:r w:rsidR="001D22EA" w:rsidRPr="00C26EFB">
        <w:rPr>
          <w:rFonts w:ascii="Verdana" w:eastAsia="Μοντέρνα" w:hAnsi="Verdana" w:cs="Times New Roman"/>
          <w:sz w:val="20"/>
          <w:szCs w:val="20"/>
          <w:lang w:eastAsia="bg-BG"/>
        </w:rPr>
        <w:t>Потребление на основен капитал</w:t>
      </w:r>
    </w:p>
    <w:p w14:paraId="08205A08" w14:textId="77777777" w:rsidR="001D22EA" w:rsidRPr="00C26EFB" w:rsidRDefault="001D22EA" w:rsidP="001D22EA">
      <w:pPr>
        <w:spacing w:line="360" w:lineRule="auto"/>
        <w:ind w:firstLine="568"/>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Нетна добавена стойност</w:t>
      </w:r>
    </w:p>
    <w:p w14:paraId="5C2A9861" w14:textId="15A90358" w:rsidR="001D22EA" w:rsidRPr="00C26EFB" w:rsidRDefault="00AA4979" w:rsidP="001D22EA">
      <w:pPr>
        <w:spacing w:line="360" w:lineRule="auto"/>
        <w:ind w:firstLine="568"/>
        <w:contextualSpacing/>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w:t>
      </w:r>
      <w:r w:rsidR="001D22EA">
        <w:rPr>
          <w:rFonts w:ascii="Verdana" w:eastAsia="Μοντέρνα" w:hAnsi="Verdana" w:cs="Times New Roman"/>
          <w:sz w:val="20"/>
          <w:szCs w:val="20"/>
          <w:lang w:eastAsia="bg-BG"/>
        </w:rPr>
        <w:tab/>
      </w:r>
      <w:r>
        <w:rPr>
          <w:rFonts w:ascii="Verdana" w:eastAsia="Μοντέρνα" w:hAnsi="Verdana" w:cs="Times New Roman"/>
          <w:sz w:val="20"/>
          <w:szCs w:val="20"/>
          <w:lang w:eastAsia="bg-BG"/>
        </w:rPr>
        <w:tab/>
      </w:r>
      <w:r w:rsidR="001D22EA" w:rsidRPr="00C26EFB">
        <w:rPr>
          <w:rFonts w:ascii="Verdana" w:eastAsia="Μοντέρνα" w:hAnsi="Verdana" w:cs="Times New Roman"/>
          <w:sz w:val="20"/>
          <w:szCs w:val="20"/>
          <w:lang w:eastAsia="bg-BG"/>
        </w:rPr>
        <w:t>Компенсация на наетите</w:t>
      </w:r>
    </w:p>
    <w:p w14:paraId="6924B945" w14:textId="489DDA70" w:rsidR="001D22EA" w:rsidRPr="00C26EFB" w:rsidRDefault="00AA4979" w:rsidP="001D22EA">
      <w:pPr>
        <w:spacing w:line="360" w:lineRule="auto"/>
        <w:ind w:firstLine="568"/>
        <w:contextualSpacing/>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w:t>
      </w:r>
      <w:r w:rsidR="001D22EA">
        <w:rPr>
          <w:rFonts w:ascii="Verdana" w:eastAsia="Μοντέρνα" w:hAnsi="Verdana" w:cs="Times New Roman"/>
          <w:sz w:val="20"/>
          <w:szCs w:val="20"/>
          <w:lang w:eastAsia="bg-BG"/>
        </w:rPr>
        <w:tab/>
      </w:r>
      <w:r>
        <w:rPr>
          <w:rFonts w:ascii="Verdana" w:eastAsia="Μοντέρνα" w:hAnsi="Verdana" w:cs="Times New Roman"/>
          <w:sz w:val="20"/>
          <w:szCs w:val="20"/>
          <w:lang w:eastAsia="bg-BG"/>
        </w:rPr>
        <w:tab/>
      </w:r>
      <w:r w:rsidR="001D22EA" w:rsidRPr="00C26EFB">
        <w:rPr>
          <w:rFonts w:ascii="Verdana" w:eastAsia="Μοντέρνα" w:hAnsi="Verdana" w:cs="Times New Roman"/>
          <w:sz w:val="20"/>
          <w:szCs w:val="20"/>
          <w:lang w:eastAsia="bg-BG"/>
        </w:rPr>
        <w:t>Други данъци върху производството</w:t>
      </w:r>
    </w:p>
    <w:p w14:paraId="40E48BD2" w14:textId="77777777" w:rsidR="001D22EA" w:rsidRPr="00C26EFB" w:rsidRDefault="001D22EA" w:rsidP="001D22EA">
      <w:pPr>
        <w:spacing w:line="360" w:lineRule="auto"/>
        <w:ind w:firstLine="568"/>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Други субсидии върху производството</w:t>
      </w:r>
    </w:p>
    <w:p w14:paraId="1AD4C584" w14:textId="77777777" w:rsidR="001D22EA" w:rsidRPr="00C26EFB" w:rsidRDefault="001D22EA" w:rsidP="001D22EA">
      <w:pPr>
        <w:spacing w:line="360" w:lineRule="auto"/>
        <w:ind w:firstLine="568"/>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Нетен опериращ излишък/смесен доход</w:t>
      </w:r>
    </w:p>
    <w:p w14:paraId="6FAA24B4" w14:textId="2B3EC365" w:rsidR="001D22EA" w:rsidRPr="00C26EFB" w:rsidRDefault="00AA4979" w:rsidP="001D22EA">
      <w:pPr>
        <w:spacing w:line="360" w:lineRule="auto"/>
        <w:ind w:firstLine="568"/>
        <w:contextualSpacing/>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w:t>
      </w:r>
      <w:r w:rsidR="001D22EA">
        <w:rPr>
          <w:rFonts w:ascii="Verdana" w:eastAsia="Μοντέρνα" w:hAnsi="Verdana" w:cs="Times New Roman"/>
          <w:sz w:val="20"/>
          <w:szCs w:val="20"/>
          <w:lang w:eastAsia="bg-BG"/>
        </w:rPr>
        <w:tab/>
      </w:r>
      <w:r>
        <w:rPr>
          <w:rFonts w:ascii="Verdana" w:eastAsia="Μοντέρνα" w:hAnsi="Verdana" w:cs="Times New Roman"/>
          <w:sz w:val="20"/>
          <w:szCs w:val="20"/>
          <w:lang w:eastAsia="bg-BG"/>
        </w:rPr>
        <w:tab/>
      </w:r>
      <w:r w:rsidR="001D22EA" w:rsidRPr="00C26EFB">
        <w:rPr>
          <w:rFonts w:ascii="Verdana" w:eastAsia="Μοντέρνα" w:hAnsi="Verdana" w:cs="Times New Roman"/>
          <w:sz w:val="20"/>
          <w:szCs w:val="20"/>
          <w:lang w:eastAsia="bg-BG"/>
        </w:rPr>
        <w:t>Платени ренти</w:t>
      </w:r>
    </w:p>
    <w:p w14:paraId="6D4EFFBB" w14:textId="103D49FD" w:rsidR="001D22EA" w:rsidRPr="00C26EFB" w:rsidRDefault="00AA4979" w:rsidP="001D22EA">
      <w:pPr>
        <w:spacing w:line="360" w:lineRule="auto"/>
        <w:ind w:firstLine="568"/>
        <w:contextualSpacing/>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w:t>
      </w:r>
      <w:r w:rsidR="001D22EA" w:rsidRPr="00C26EFB">
        <w:rPr>
          <w:rFonts w:ascii="Verdana" w:eastAsia="Μοντέρνα" w:hAnsi="Verdana" w:cs="Times New Roman"/>
          <w:sz w:val="20"/>
          <w:szCs w:val="20"/>
          <w:lang w:eastAsia="bg-BG"/>
        </w:rPr>
        <w:tab/>
      </w:r>
      <w:r w:rsidR="001D22EA">
        <w:rPr>
          <w:rFonts w:ascii="Verdana" w:eastAsia="Μοντέρνα" w:hAnsi="Verdana" w:cs="Times New Roman"/>
          <w:sz w:val="20"/>
          <w:szCs w:val="20"/>
          <w:lang w:eastAsia="bg-BG"/>
        </w:rPr>
        <w:tab/>
      </w:r>
      <w:r w:rsidR="001D22EA" w:rsidRPr="00C26EFB">
        <w:rPr>
          <w:rFonts w:ascii="Verdana" w:eastAsia="Μοντέρνα" w:hAnsi="Verdana" w:cs="Times New Roman"/>
          <w:sz w:val="20"/>
          <w:szCs w:val="20"/>
          <w:lang w:eastAsia="bg-BG"/>
        </w:rPr>
        <w:t>Платени лихви</w:t>
      </w:r>
    </w:p>
    <w:p w14:paraId="0AB589F8" w14:textId="77777777" w:rsidR="001D22EA" w:rsidRPr="00C26EFB" w:rsidRDefault="001D22EA" w:rsidP="001D22EA">
      <w:pPr>
        <w:spacing w:line="360" w:lineRule="auto"/>
        <w:ind w:firstLine="568"/>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Получени лихви</w:t>
      </w:r>
    </w:p>
    <w:p w14:paraId="60EA5F02" w14:textId="427618C0" w:rsidR="001D22EA" w:rsidRPr="00394FDA" w:rsidRDefault="001D22EA" w:rsidP="00394FDA">
      <w:pPr>
        <w:spacing w:line="360" w:lineRule="auto"/>
        <w:ind w:firstLine="568"/>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Нетен предприемачески доход.</w:t>
      </w:r>
    </w:p>
    <w:p w14:paraId="0D5A7EDB" w14:textId="77777777" w:rsidR="002C749B" w:rsidRDefault="002C749B">
      <w:pPr>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br w:type="page"/>
      </w:r>
    </w:p>
    <w:p w14:paraId="6FC2C1E1" w14:textId="77777777" w:rsidR="002C749B" w:rsidRPr="00C26EFB" w:rsidRDefault="002C749B" w:rsidP="002C749B">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b/>
          <w:sz w:val="20"/>
          <w:szCs w:val="20"/>
          <w:lang w:eastAsia="bg-BG"/>
        </w:rPr>
        <w:lastRenderedPageBreak/>
        <w:t>Продукцията на отрасъл „Селско стопанство“</w:t>
      </w:r>
      <w:r w:rsidRPr="00C26EFB">
        <w:rPr>
          <w:rFonts w:ascii="Verdana" w:eastAsia="Μοντέρνα" w:hAnsi="Verdana" w:cs="Times New Roman"/>
          <w:sz w:val="20"/>
          <w:szCs w:val="20"/>
          <w:lang w:eastAsia="bg-BG"/>
        </w:rPr>
        <w:t xml:space="preserve"> представлява стойността на всички произведени стоки и услуги от единиците със селскостопанска дейност. Данните се отнасят за крайната продукция, която не включва вътрешния оборот (стоките и услугите, произведени и употребени в самото стопанство през отчетния период).</w:t>
      </w:r>
    </w:p>
    <w:p w14:paraId="1D94D16C" w14:textId="77777777" w:rsidR="002C749B" w:rsidRPr="00C26EFB" w:rsidRDefault="002C749B" w:rsidP="002C749B">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В икономическите сметки за селското стопанство съгласно изискванията на Приложение ХI на EAA ’97, Rev. 1.1, не се включват:</w:t>
      </w:r>
    </w:p>
    <w:p w14:paraId="7132D94C" w14:textId="77777777" w:rsidR="002C749B" w:rsidRPr="00C26EFB" w:rsidRDefault="002C749B" w:rsidP="002C749B">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продукцията от единиците, занимаващи се с производството на сертифициран размножителен материал за научни цели или за използване в растениевъдството и животновъдството;</w:t>
      </w:r>
    </w:p>
    <w:p w14:paraId="46C73A3C" w14:textId="77777777" w:rsidR="002C749B" w:rsidRPr="00C26EFB" w:rsidRDefault="002C749B" w:rsidP="002C749B">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продукцията от дейности, свързани с допълнителни услуги в селското стопанство, като използване на напоителни системи, дизайн, поддържане и засаждане на градини, паркове и други зелени площи, кастрене на дървета, подрязване на храсти и жив плет и т.н.;</w:t>
      </w:r>
    </w:p>
    <w:p w14:paraId="6411F2ED" w14:textId="77777777" w:rsidR="002C749B" w:rsidRPr="00C26EFB" w:rsidRDefault="002C749B" w:rsidP="002C749B">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незавършеното производство, отнасящо се за културите, чийто производствен цикъл е по-кратък от отчетния период (една календарна година) или се извършва в две календарни години;</w:t>
      </w:r>
    </w:p>
    <w:p w14:paraId="1FA153DA" w14:textId="77777777" w:rsidR="002C749B" w:rsidRPr="00C26EFB" w:rsidRDefault="002C749B" w:rsidP="002C749B">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w:t>
      </w:r>
      <w:r w:rsidRPr="00C26EFB">
        <w:rPr>
          <w:rFonts w:ascii="Verdana" w:eastAsia="Μοντέρνα" w:hAnsi="Verdana" w:cs="Times New Roman"/>
          <w:sz w:val="20"/>
          <w:szCs w:val="20"/>
          <w:lang w:eastAsia="bg-BG"/>
        </w:rPr>
        <w:tab/>
        <w:t>продукцията от неселскостопанските дейности на селскостопанските единици, когато те са счетоводно отделими.</w:t>
      </w:r>
    </w:p>
    <w:p w14:paraId="0B1A9F4D" w14:textId="77777777" w:rsidR="002C749B" w:rsidRPr="00C26EFB" w:rsidRDefault="002C749B" w:rsidP="002C749B">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Нетният доход по факторни разходи (изчислен след приспадане от нетната добавена стойност по базисни цени на стойността на другите данъци върху производството, като се прибави стойността на другите субсидии върху производството) измерва доходността от всички фактори на производството - земя, капитал и труд.</w:t>
      </w:r>
    </w:p>
    <w:p w14:paraId="175DFCEE" w14:textId="77777777" w:rsidR="002C749B" w:rsidRPr="00C26EFB" w:rsidRDefault="002C749B" w:rsidP="002C749B">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b/>
          <w:sz w:val="20"/>
          <w:szCs w:val="20"/>
          <w:lang w:eastAsia="bg-BG"/>
        </w:rPr>
        <w:t>Нетният опериращ излишък/нетен смесен доход</w:t>
      </w:r>
      <w:r w:rsidRPr="00C26EFB">
        <w:rPr>
          <w:rFonts w:ascii="Verdana" w:eastAsia="Μοντέρνα" w:hAnsi="Verdana" w:cs="Times New Roman"/>
          <w:sz w:val="20"/>
          <w:szCs w:val="20"/>
          <w:lang w:eastAsia="bg-BG"/>
        </w:rPr>
        <w:t xml:space="preserve"> (изчислен след приспадане от нетната добавена стойност по базисни цени на компенсациите на наетите лица и другите данъци върху производството и добавяне на другите субсидии върху производството) измерва доходността от използването на земята, капитала и незаплатения труд.</w:t>
      </w:r>
    </w:p>
    <w:p w14:paraId="0BBCF388" w14:textId="77777777" w:rsidR="002C749B" w:rsidRPr="00C26EFB" w:rsidRDefault="002C749B" w:rsidP="002C749B">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b/>
          <w:sz w:val="20"/>
          <w:szCs w:val="20"/>
          <w:lang w:eastAsia="bg-BG"/>
        </w:rPr>
        <w:t>Нетният предприемачески доход</w:t>
      </w:r>
      <w:r w:rsidRPr="00C26EFB">
        <w:rPr>
          <w:rFonts w:ascii="Verdana" w:eastAsia="Μοντέρνα" w:hAnsi="Verdana" w:cs="Times New Roman"/>
          <w:sz w:val="20"/>
          <w:szCs w:val="20"/>
          <w:lang w:eastAsia="bg-BG"/>
        </w:rPr>
        <w:t xml:space="preserve"> (изчислен след прибавяне към нетния опериращ излишък/нетен смесен доход на лихвите, получени от земеделските стопанства, опериращи като компании, и приспадане на платените от тях лихви и ренти) измерва компенсацията на незаплатения труд, възнаграждението от земята, принадлежаща на земеделските стопанства, и дохода от използването на капитала.</w:t>
      </w:r>
    </w:p>
    <w:p w14:paraId="6AD75D4E" w14:textId="77777777" w:rsidR="002C749B" w:rsidRDefault="002C749B" w:rsidP="002C749B">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 xml:space="preserve">Данните за икономическите сметки за селското стопанство се разработват за календарна година по текущи и съпоставими цени при база преходната година. Разработват се и икономически сметки на ниво </w:t>
      </w:r>
      <w:r>
        <w:rPr>
          <w:rFonts w:ascii="Verdana" w:eastAsia="Μοντέρνα" w:hAnsi="Verdana" w:cs="Times New Roman"/>
          <w:sz w:val="20"/>
          <w:szCs w:val="20"/>
          <w:lang w:eastAsia="bg-BG"/>
        </w:rPr>
        <w:t xml:space="preserve">статистически район </w:t>
      </w:r>
      <w:r w:rsidRPr="00C26EFB">
        <w:rPr>
          <w:rFonts w:ascii="Verdana" w:eastAsia="Μοντέρνα" w:hAnsi="Verdana" w:cs="Times New Roman"/>
          <w:sz w:val="20"/>
          <w:szCs w:val="20"/>
          <w:lang w:eastAsia="bg-BG"/>
        </w:rPr>
        <w:t>NUTS 2.</w:t>
      </w:r>
    </w:p>
    <w:p w14:paraId="63235C50" w14:textId="77777777" w:rsidR="002C749B" w:rsidRPr="00C26EFB" w:rsidRDefault="002C749B" w:rsidP="002C749B">
      <w:pPr>
        <w:spacing w:line="360" w:lineRule="auto"/>
        <w:ind w:firstLine="567"/>
        <w:contextualSpacing/>
        <w:jc w:val="both"/>
        <w:rPr>
          <w:rFonts w:ascii="Verdana" w:eastAsia="Μοντέρνα" w:hAnsi="Verdana" w:cs="Times New Roman"/>
          <w:b/>
          <w:sz w:val="20"/>
          <w:szCs w:val="20"/>
          <w:lang w:eastAsia="bg-BG"/>
        </w:rPr>
      </w:pPr>
      <w:r w:rsidRPr="00C26EFB">
        <w:rPr>
          <w:rFonts w:ascii="Verdana" w:eastAsia="Μοντέρνα" w:hAnsi="Verdana" w:cs="Times New Roman"/>
          <w:b/>
          <w:sz w:val="20"/>
          <w:szCs w:val="20"/>
          <w:lang w:eastAsia="bg-BG"/>
        </w:rPr>
        <w:lastRenderedPageBreak/>
        <w:t>Източници на информация</w:t>
      </w:r>
    </w:p>
    <w:p w14:paraId="5E996751" w14:textId="77777777" w:rsidR="002C749B" w:rsidRPr="00C26EFB" w:rsidRDefault="002C749B" w:rsidP="002C749B">
      <w:pPr>
        <w:spacing w:line="360" w:lineRule="auto"/>
        <w:ind w:firstLine="567"/>
        <w:contextualSpacing/>
        <w:jc w:val="both"/>
        <w:rPr>
          <w:rFonts w:ascii="Verdana" w:eastAsia="Μοντέρνα" w:hAnsi="Verdana" w:cs="Times New Roman"/>
          <w:sz w:val="20"/>
          <w:szCs w:val="20"/>
          <w:lang w:eastAsia="bg-BG"/>
        </w:rPr>
      </w:pPr>
      <w:r w:rsidRPr="00C26EFB">
        <w:rPr>
          <w:rFonts w:ascii="Verdana" w:eastAsia="Μοντέρνα" w:hAnsi="Verdana" w:cs="Times New Roman"/>
          <w:sz w:val="20"/>
          <w:szCs w:val="20"/>
          <w:lang w:eastAsia="bg-BG"/>
        </w:rPr>
        <w:t>Основни източници на информация са статистическите наблюдения, проведени от НСИ, и наблюденията на отдел „Агростатистика“ в Министерството на земеделието и храните. Използвани са и данни на Държавен фонд „Земеделие“ (Разплащателна агенция) за финансовото подпомагане в селското стопанство.</w:t>
      </w:r>
    </w:p>
    <w:p w14:paraId="3E1D6ABD" w14:textId="77777777" w:rsidR="002C749B" w:rsidRDefault="002C749B" w:rsidP="002C749B">
      <w:pPr>
        <w:rPr>
          <w:rFonts w:ascii="Verdana" w:eastAsia="Μοντέρνα" w:hAnsi="Verdana" w:cs="Times New Roman"/>
          <w:sz w:val="20"/>
          <w:szCs w:val="20"/>
          <w:lang w:val="en-US" w:eastAsia="bg-BG"/>
        </w:rPr>
      </w:pPr>
      <w:r>
        <w:rPr>
          <w:rFonts w:ascii="Verdana" w:eastAsia="Μοντέρνα" w:hAnsi="Verdana" w:cs="Times New Roman"/>
          <w:sz w:val="20"/>
          <w:szCs w:val="20"/>
          <w:lang w:val="en-US" w:eastAsia="bg-BG"/>
        </w:rPr>
        <w:br w:type="page"/>
      </w:r>
    </w:p>
    <w:p w14:paraId="0994A61C" w14:textId="77777777" w:rsidR="002C749B" w:rsidRPr="00023FB4" w:rsidRDefault="002C749B" w:rsidP="002C749B">
      <w:pPr>
        <w:autoSpaceDE w:val="0"/>
        <w:autoSpaceDN w:val="0"/>
        <w:adjustRightInd w:val="0"/>
        <w:spacing w:after="160" w:line="360" w:lineRule="auto"/>
        <w:jc w:val="center"/>
        <w:rPr>
          <w:rFonts w:ascii="Verdana" w:eastAsia="Times" w:hAnsi="Verdana"/>
          <w:b/>
          <w:sz w:val="20"/>
          <w:szCs w:val="20"/>
        </w:rPr>
      </w:pPr>
      <w:r w:rsidRPr="00023FB4">
        <w:rPr>
          <w:rFonts w:ascii="Verdana" w:eastAsia="Times" w:hAnsi="Verdana"/>
          <w:b/>
          <w:sz w:val="20"/>
          <w:szCs w:val="20"/>
        </w:rPr>
        <w:lastRenderedPageBreak/>
        <w:t>Приложение</w:t>
      </w:r>
    </w:p>
    <w:tbl>
      <w:tblPr>
        <w:tblStyle w:val="TableGrid"/>
        <w:tblW w:w="9225" w:type="dxa"/>
        <w:tblLook w:val="04A0" w:firstRow="1" w:lastRow="0" w:firstColumn="1" w:lastColumn="0" w:noHBand="0" w:noVBand="1"/>
      </w:tblPr>
      <w:tblGrid>
        <w:gridCol w:w="4053"/>
        <w:gridCol w:w="1187"/>
        <w:gridCol w:w="1339"/>
        <w:gridCol w:w="1229"/>
        <w:gridCol w:w="1417"/>
      </w:tblGrid>
      <w:tr w:rsidR="002C749B" w:rsidRPr="00AA3CED" w14:paraId="388C0199" w14:textId="77777777" w:rsidTr="00741EED">
        <w:tc>
          <w:tcPr>
            <w:tcW w:w="4053" w:type="dxa"/>
            <w:tcBorders>
              <w:top w:val="nil"/>
              <w:left w:val="nil"/>
              <w:bottom w:val="nil"/>
              <w:right w:val="nil"/>
            </w:tcBorders>
          </w:tcPr>
          <w:p w14:paraId="26B544A9" w14:textId="77777777" w:rsidR="002C749B" w:rsidRPr="00AA3CED" w:rsidRDefault="002C749B" w:rsidP="00741EED">
            <w:pPr>
              <w:spacing w:line="360" w:lineRule="auto"/>
              <w:jc w:val="both"/>
              <w:rPr>
                <w:rFonts w:ascii="Verdana" w:eastAsia="Μοντέρνα" w:hAnsi="Verdana" w:cs="Times New Roman"/>
                <w:sz w:val="16"/>
                <w:szCs w:val="16"/>
                <w:lang w:val="en-US" w:eastAsia="bg-BG"/>
              </w:rPr>
            </w:pPr>
          </w:p>
        </w:tc>
        <w:tc>
          <w:tcPr>
            <w:tcW w:w="1187" w:type="dxa"/>
            <w:tcBorders>
              <w:top w:val="nil"/>
              <w:left w:val="nil"/>
              <w:bottom w:val="nil"/>
              <w:right w:val="nil"/>
            </w:tcBorders>
          </w:tcPr>
          <w:p w14:paraId="1317BB9F" w14:textId="77777777" w:rsidR="002C749B" w:rsidRPr="00AA3CED" w:rsidRDefault="002C749B" w:rsidP="00741EED">
            <w:pPr>
              <w:spacing w:line="360" w:lineRule="auto"/>
              <w:jc w:val="both"/>
              <w:rPr>
                <w:rFonts w:ascii="Verdana" w:eastAsia="Μοντέρνα" w:hAnsi="Verdana" w:cs="Times New Roman"/>
                <w:sz w:val="16"/>
                <w:szCs w:val="16"/>
                <w:lang w:val="en-US" w:eastAsia="bg-BG"/>
              </w:rPr>
            </w:pPr>
          </w:p>
        </w:tc>
        <w:tc>
          <w:tcPr>
            <w:tcW w:w="1339" w:type="dxa"/>
            <w:tcBorders>
              <w:top w:val="nil"/>
              <w:left w:val="nil"/>
              <w:bottom w:val="nil"/>
              <w:right w:val="nil"/>
            </w:tcBorders>
          </w:tcPr>
          <w:p w14:paraId="10858D65" w14:textId="77777777" w:rsidR="002C749B" w:rsidRPr="00AA3CED" w:rsidRDefault="002C749B" w:rsidP="00741EED">
            <w:pPr>
              <w:spacing w:line="360" w:lineRule="auto"/>
              <w:jc w:val="both"/>
              <w:rPr>
                <w:rFonts w:ascii="Verdana" w:eastAsia="Μοντέρνα" w:hAnsi="Verdana" w:cs="Times New Roman"/>
                <w:sz w:val="16"/>
                <w:szCs w:val="16"/>
                <w:lang w:val="en-US" w:eastAsia="bg-BG"/>
              </w:rPr>
            </w:pPr>
          </w:p>
        </w:tc>
        <w:tc>
          <w:tcPr>
            <w:tcW w:w="1229" w:type="dxa"/>
            <w:tcBorders>
              <w:top w:val="nil"/>
              <w:left w:val="nil"/>
              <w:bottom w:val="nil"/>
              <w:right w:val="nil"/>
            </w:tcBorders>
          </w:tcPr>
          <w:p w14:paraId="6E8E0BDE" w14:textId="77777777" w:rsidR="002C749B" w:rsidRPr="00AA3CED" w:rsidRDefault="002C749B" w:rsidP="00741EED">
            <w:pPr>
              <w:spacing w:line="360" w:lineRule="auto"/>
              <w:jc w:val="both"/>
              <w:rPr>
                <w:rFonts w:ascii="Verdana" w:eastAsia="Μοντέρνα" w:hAnsi="Verdana" w:cs="Times New Roman"/>
                <w:sz w:val="16"/>
                <w:szCs w:val="16"/>
                <w:lang w:val="en-US" w:eastAsia="bg-BG"/>
              </w:rPr>
            </w:pPr>
          </w:p>
        </w:tc>
        <w:tc>
          <w:tcPr>
            <w:tcW w:w="1417" w:type="dxa"/>
            <w:tcBorders>
              <w:top w:val="nil"/>
              <w:left w:val="nil"/>
              <w:bottom w:val="nil"/>
              <w:right w:val="nil"/>
            </w:tcBorders>
          </w:tcPr>
          <w:p w14:paraId="5A6A3BFB" w14:textId="77777777" w:rsidR="002C749B" w:rsidRPr="00AA3CED" w:rsidRDefault="002C749B" w:rsidP="00741EED">
            <w:pPr>
              <w:spacing w:line="360" w:lineRule="auto"/>
              <w:jc w:val="both"/>
              <w:rPr>
                <w:rFonts w:ascii="Verdana" w:eastAsia="Μοντέρνα" w:hAnsi="Verdana" w:cs="Times New Roman"/>
                <w:sz w:val="16"/>
                <w:szCs w:val="16"/>
                <w:lang w:val="en-US" w:eastAsia="bg-BG"/>
              </w:rPr>
            </w:pPr>
            <w:r w:rsidRPr="00AA3CED">
              <w:rPr>
                <w:rFonts w:ascii="Verdana" w:eastAsia="Times" w:hAnsi="Verdana" w:cs="Times New Roman"/>
                <w:b/>
                <w:sz w:val="20"/>
                <w:szCs w:val="16"/>
                <w:lang w:eastAsia="bg-BG"/>
              </w:rPr>
              <w:t>Таблица 1</w:t>
            </w:r>
          </w:p>
        </w:tc>
      </w:tr>
      <w:tr w:rsidR="002C749B" w:rsidRPr="00AA3CED" w14:paraId="4630CD59" w14:textId="77777777" w:rsidTr="00741EED">
        <w:tc>
          <w:tcPr>
            <w:tcW w:w="9225" w:type="dxa"/>
            <w:gridSpan w:val="5"/>
            <w:tcBorders>
              <w:top w:val="nil"/>
              <w:left w:val="nil"/>
              <w:bottom w:val="single" w:sz="4" w:space="0" w:color="auto"/>
              <w:right w:val="nil"/>
            </w:tcBorders>
          </w:tcPr>
          <w:p w14:paraId="6E261642" w14:textId="77777777" w:rsidR="002C749B" w:rsidRPr="00AA3CED" w:rsidRDefault="002C749B" w:rsidP="00394FDA">
            <w:pPr>
              <w:spacing w:before="160" w:after="160" w:line="360" w:lineRule="auto"/>
              <w:jc w:val="center"/>
              <w:rPr>
                <w:rFonts w:ascii="Verdana" w:eastAsia="Μοντέρνα" w:hAnsi="Verdana" w:cs="Times New Roman"/>
                <w:sz w:val="16"/>
                <w:szCs w:val="16"/>
                <w:lang w:val="en-US" w:eastAsia="bg-BG"/>
              </w:rPr>
            </w:pPr>
            <w:r w:rsidRPr="00C31EA1">
              <w:rPr>
                <w:rFonts w:ascii="Verdana" w:eastAsia="Times New Roman" w:hAnsi="Verdana" w:cs="Times New Roman"/>
                <w:b/>
                <w:bCs/>
                <w:sz w:val="20"/>
                <w:szCs w:val="16"/>
                <w:lang w:eastAsia="bg-BG"/>
              </w:rPr>
              <w:t>Крайна продукция по базисни цени - окончателни данни за 2023 година</w:t>
            </w:r>
          </w:p>
        </w:tc>
      </w:tr>
      <w:tr w:rsidR="002C749B" w:rsidRPr="00AA3CED" w14:paraId="76688098" w14:textId="77777777" w:rsidTr="00741EED">
        <w:tc>
          <w:tcPr>
            <w:tcW w:w="4053" w:type="dxa"/>
            <w:tcBorders>
              <w:top w:val="single" w:sz="4" w:space="0" w:color="auto"/>
              <w:bottom w:val="single" w:sz="4" w:space="0" w:color="auto"/>
            </w:tcBorders>
          </w:tcPr>
          <w:p w14:paraId="5942B469" w14:textId="77777777" w:rsidR="002C749B" w:rsidRPr="00AA3CED" w:rsidRDefault="002C749B" w:rsidP="00741EED">
            <w:pPr>
              <w:spacing w:line="280" w:lineRule="exact"/>
              <w:jc w:val="both"/>
              <w:rPr>
                <w:rFonts w:ascii="Verdana" w:eastAsia="Μοντέρνα" w:hAnsi="Verdana" w:cs="Times New Roman"/>
                <w:sz w:val="16"/>
                <w:szCs w:val="16"/>
                <w:lang w:val="en-US" w:eastAsia="bg-BG"/>
              </w:rPr>
            </w:pPr>
          </w:p>
        </w:tc>
        <w:tc>
          <w:tcPr>
            <w:tcW w:w="1187" w:type="dxa"/>
            <w:tcBorders>
              <w:top w:val="single" w:sz="4" w:space="0" w:color="auto"/>
              <w:bottom w:val="single" w:sz="4" w:space="0" w:color="auto"/>
            </w:tcBorders>
          </w:tcPr>
          <w:p w14:paraId="6F0FFB41" w14:textId="77777777" w:rsidR="002C749B" w:rsidRPr="00AA3CED" w:rsidRDefault="002C749B" w:rsidP="00741EED">
            <w:pPr>
              <w:spacing w:line="280" w:lineRule="exact"/>
              <w:jc w:val="right"/>
              <w:rPr>
                <w:rFonts w:ascii="Verdana" w:eastAsia="Times New Roman" w:hAnsi="Verdana" w:cs="Times New Roman"/>
                <w:b/>
                <w:bCs/>
                <w:sz w:val="16"/>
                <w:szCs w:val="16"/>
                <w:lang w:eastAsia="bg-BG"/>
              </w:rPr>
            </w:pPr>
            <w:r w:rsidRPr="00AA3CED">
              <w:rPr>
                <w:rFonts w:ascii="Verdana" w:eastAsia="Times New Roman" w:hAnsi="Verdana" w:cs="Times New Roman"/>
                <w:b/>
                <w:bCs/>
                <w:sz w:val="16"/>
                <w:szCs w:val="16"/>
                <w:lang w:eastAsia="bg-BG"/>
              </w:rPr>
              <w:t>Текуща стойност за 202</w:t>
            </w:r>
            <w:r w:rsidRPr="00AA3CED">
              <w:rPr>
                <w:rFonts w:ascii="Verdana" w:eastAsia="Times New Roman" w:hAnsi="Verdana" w:cs="Times New Roman"/>
                <w:b/>
                <w:bCs/>
                <w:sz w:val="16"/>
                <w:szCs w:val="16"/>
                <w:lang w:val="en-US" w:eastAsia="bg-BG"/>
              </w:rPr>
              <w:t>3</w:t>
            </w:r>
            <w:r w:rsidRPr="00AA3CED">
              <w:rPr>
                <w:rFonts w:ascii="Verdana" w:eastAsia="Times New Roman" w:hAnsi="Verdana" w:cs="Times New Roman"/>
                <w:b/>
                <w:bCs/>
                <w:sz w:val="16"/>
                <w:szCs w:val="16"/>
                <w:lang w:eastAsia="bg-BG"/>
              </w:rPr>
              <w:t xml:space="preserve"> г. - млн. лв.</w:t>
            </w:r>
          </w:p>
        </w:tc>
        <w:tc>
          <w:tcPr>
            <w:tcW w:w="1339" w:type="dxa"/>
            <w:tcBorders>
              <w:top w:val="single" w:sz="4" w:space="0" w:color="auto"/>
              <w:bottom w:val="single" w:sz="4" w:space="0" w:color="auto"/>
            </w:tcBorders>
          </w:tcPr>
          <w:p w14:paraId="5326E805" w14:textId="77777777" w:rsidR="002C749B" w:rsidRPr="00AA3CED" w:rsidRDefault="002C749B" w:rsidP="00741EED">
            <w:pPr>
              <w:spacing w:line="280" w:lineRule="exact"/>
              <w:jc w:val="right"/>
              <w:rPr>
                <w:rFonts w:ascii="Verdana" w:eastAsia="Times New Roman" w:hAnsi="Verdana" w:cs="Times New Roman"/>
                <w:b/>
                <w:bCs/>
                <w:sz w:val="16"/>
                <w:szCs w:val="16"/>
                <w:lang w:eastAsia="bg-BG"/>
              </w:rPr>
            </w:pPr>
            <w:r w:rsidRPr="00AA3CED">
              <w:rPr>
                <w:rFonts w:ascii="Verdana" w:eastAsia="Times New Roman" w:hAnsi="Verdana" w:cs="Times New Roman"/>
                <w:b/>
                <w:bCs/>
                <w:sz w:val="16"/>
                <w:szCs w:val="16"/>
                <w:lang w:eastAsia="bg-BG"/>
              </w:rPr>
              <w:t>Индекс на физическия обем</w:t>
            </w:r>
            <w:r>
              <w:rPr>
                <w:rFonts w:ascii="Verdana" w:eastAsia="Times New Roman" w:hAnsi="Verdana" w:cs="Times New Roman"/>
                <w:b/>
                <w:bCs/>
                <w:sz w:val="16"/>
                <w:szCs w:val="16"/>
                <w:lang w:val="en-US" w:eastAsia="bg-BG"/>
              </w:rPr>
              <w:t xml:space="preserve"> </w:t>
            </w:r>
            <w:r w:rsidRPr="00AA3CED">
              <w:rPr>
                <w:rFonts w:ascii="Verdana" w:eastAsia="Times New Roman" w:hAnsi="Verdana" w:cs="Times New Roman"/>
                <w:b/>
                <w:bCs/>
                <w:sz w:val="16"/>
                <w:szCs w:val="16"/>
                <w:lang w:eastAsia="bg-BG"/>
              </w:rPr>
              <w:t>за 2023 г.</w:t>
            </w:r>
          </w:p>
        </w:tc>
        <w:tc>
          <w:tcPr>
            <w:tcW w:w="1229" w:type="dxa"/>
            <w:tcBorders>
              <w:top w:val="single" w:sz="4" w:space="0" w:color="auto"/>
              <w:bottom w:val="single" w:sz="4" w:space="0" w:color="auto"/>
            </w:tcBorders>
          </w:tcPr>
          <w:p w14:paraId="169FE7F4" w14:textId="77777777" w:rsidR="002C749B" w:rsidRPr="00AA3CED" w:rsidRDefault="002C749B" w:rsidP="00741EED">
            <w:pPr>
              <w:spacing w:line="280" w:lineRule="exact"/>
              <w:jc w:val="right"/>
              <w:rPr>
                <w:rFonts w:ascii="Verdana" w:eastAsia="Times New Roman" w:hAnsi="Verdana" w:cs="Times New Roman"/>
                <w:b/>
                <w:bCs/>
                <w:sz w:val="16"/>
                <w:szCs w:val="16"/>
                <w:lang w:eastAsia="bg-BG"/>
              </w:rPr>
            </w:pPr>
            <w:r w:rsidRPr="00AA3CED">
              <w:rPr>
                <w:rFonts w:ascii="Verdana" w:eastAsia="Times New Roman" w:hAnsi="Verdana" w:cs="Times New Roman"/>
                <w:b/>
                <w:bCs/>
                <w:sz w:val="16"/>
                <w:szCs w:val="16"/>
                <w:lang w:eastAsia="bg-BG"/>
              </w:rPr>
              <w:t>Индекс на цените</w:t>
            </w:r>
            <w:r>
              <w:rPr>
                <w:rFonts w:ascii="Verdana" w:eastAsia="Times New Roman" w:hAnsi="Verdana" w:cs="Times New Roman"/>
                <w:b/>
                <w:bCs/>
                <w:sz w:val="16"/>
                <w:szCs w:val="16"/>
                <w:lang w:val="en-US" w:eastAsia="bg-BG"/>
              </w:rPr>
              <w:t xml:space="preserve"> </w:t>
            </w:r>
            <w:r w:rsidRPr="00AA3CED">
              <w:rPr>
                <w:rFonts w:ascii="Verdana" w:eastAsia="Times New Roman" w:hAnsi="Verdana" w:cs="Times New Roman"/>
                <w:b/>
                <w:bCs/>
                <w:sz w:val="16"/>
                <w:szCs w:val="16"/>
                <w:lang w:eastAsia="bg-BG"/>
              </w:rPr>
              <w:t>за 2023 г.</w:t>
            </w:r>
          </w:p>
        </w:tc>
        <w:tc>
          <w:tcPr>
            <w:tcW w:w="1417" w:type="dxa"/>
            <w:tcBorders>
              <w:top w:val="single" w:sz="4" w:space="0" w:color="auto"/>
              <w:bottom w:val="single" w:sz="4" w:space="0" w:color="auto"/>
            </w:tcBorders>
          </w:tcPr>
          <w:p w14:paraId="0F9230D8" w14:textId="77777777" w:rsidR="002C749B" w:rsidRPr="00AA3CED" w:rsidRDefault="002C749B" w:rsidP="00741EED">
            <w:pPr>
              <w:spacing w:line="280" w:lineRule="exact"/>
              <w:jc w:val="right"/>
              <w:rPr>
                <w:rFonts w:ascii="Verdana" w:eastAsia="Times New Roman" w:hAnsi="Verdana" w:cs="Times New Roman"/>
                <w:b/>
                <w:bCs/>
                <w:sz w:val="16"/>
                <w:szCs w:val="16"/>
                <w:lang w:eastAsia="bg-BG"/>
              </w:rPr>
            </w:pPr>
            <w:r w:rsidRPr="00AA3CED">
              <w:rPr>
                <w:rFonts w:ascii="Verdana" w:eastAsia="Times New Roman" w:hAnsi="Verdana" w:cs="Times New Roman"/>
                <w:b/>
                <w:bCs/>
                <w:sz w:val="16"/>
                <w:szCs w:val="16"/>
                <w:lang w:eastAsia="bg-BG"/>
              </w:rPr>
              <w:t>Индекс 2022 = 100</w:t>
            </w:r>
          </w:p>
        </w:tc>
      </w:tr>
      <w:tr w:rsidR="002C749B" w:rsidRPr="00A80209" w14:paraId="58E0ED1A" w14:textId="77777777" w:rsidTr="00741EED">
        <w:tc>
          <w:tcPr>
            <w:tcW w:w="4053" w:type="dxa"/>
            <w:tcBorders>
              <w:top w:val="single" w:sz="4" w:space="0" w:color="auto"/>
              <w:left w:val="nil"/>
              <w:bottom w:val="nil"/>
              <w:right w:val="nil"/>
            </w:tcBorders>
          </w:tcPr>
          <w:p w14:paraId="221A34EA" w14:textId="77777777" w:rsidR="002C749B" w:rsidRPr="00AA3CED" w:rsidRDefault="002C749B" w:rsidP="00741EED">
            <w:pPr>
              <w:spacing w:line="280" w:lineRule="exact"/>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п</w:t>
            </w:r>
            <w:r w:rsidRPr="00AA3CED">
              <w:rPr>
                <w:rFonts w:ascii="Verdana" w:eastAsia="Times" w:hAnsi="Verdana" w:cs="Times New Roman"/>
                <w:b/>
                <w:bCs/>
                <w:color w:val="000000"/>
                <w:sz w:val="16"/>
                <w:szCs w:val="16"/>
                <w:lang w:eastAsia="bg-BG"/>
              </w:rPr>
              <w:t xml:space="preserve">родукция от отрасъл </w:t>
            </w:r>
            <w:r w:rsidRPr="00AA3CED">
              <w:rPr>
                <w:rFonts w:ascii="Verdana" w:eastAsia="Times" w:hAnsi="Verdana" w:cs="Times New Roman"/>
                <w:b/>
                <w:sz w:val="16"/>
                <w:szCs w:val="16"/>
                <w:lang w:eastAsia="bg-BG"/>
              </w:rPr>
              <w:t>„</w:t>
            </w:r>
            <w:r w:rsidRPr="00AA3CED">
              <w:rPr>
                <w:rFonts w:ascii="Verdana" w:eastAsia="Times" w:hAnsi="Verdana" w:cs="Times New Roman"/>
                <w:b/>
                <w:bCs/>
                <w:color w:val="000000"/>
                <w:sz w:val="16"/>
                <w:szCs w:val="16"/>
                <w:lang w:eastAsia="bg-BG"/>
              </w:rPr>
              <w:t>Селско стопанство“</w:t>
            </w:r>
          </w:p>
        </w:tc>
        <w:tc>
          <w:tcPr>
            <w:tcW w:w="1187" w:type="dxa"/>
            <w:tcBorders>
              <w:top w:val="single" w:sz="4" w:space="0" w:color="auto"/>
              <w:left w:val="nil"/>
              <w:bottom w:val="nil"/>
              <w:right w:val="nil"/>
            </w:tcBorders>
            <w:shd w:val="clear" w:color="auto" w:fill="auto"/>
            <w:vAlign w:val="center"/>
          </w:tcPr>
          <w:p w14:paraId="626CCBD9"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10554,4</w:t>
            </w:r>
          </w:p>
        </w:tc>
        <w:tc>
          <w:tcPr>
            <w:tcW w:w="1339" w:type="dxa"/>
            <w:tcBorders>
              <w:top w:val="single" w:sz="4" w:space="0" w:color="auto"/>
              <w:left w:val="nil"/>
              <w:bottom w:val="nil"/>
              <w:right w:val="nil"/>
            </w:tcBorders>
            <w:shd w:val="clear" w:color="auto" w:fill="auto"/>
            <w:vAlign w:val="center"/>
          </w:tcPr>
          <w:p w14:paraId="02D531AE"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96,5</w:t>
            </w:r>
          </w:p>
        </w:tc>
        <w:tc>
          <w:tcPr>
            <w:tcW w:w="1229" w:type="dxa"/>
            <w:tcBorders>
              <w:top w:val="single" w:sz="4" w:space="0" w:color="auto"/>
              <w:left w:val="nil"/>
              <w:bottom w:val="nil"/>
              <w:right w:val="nil"/>
            </w:tcBorders>
            <w:shd w:val="clear" w:color="auto" w:fill="auto"/>
            <w:vAlign w:val="center"/>
          </w:tcPr>
          <w:p w14:paraId="47DF9EA0"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84,7</w:t>
            </w:r>
          </w:p>
        </w:tc>
        <w:tc>
          <w:tcPr>
            <w:tcW w:w="1417" w:type="dxa"/>
            <w:tcBorders>
              <w:top w:val="single" w:sz="4" w:space="0" w:color="auto"/>
              <w:left w:val="nil"/>
              <w:bottom w:val="nil"/>
              <w:right w:val="nil"/>
            </w:tcBorders>
            <w:shd w:val="clear" w:color="auto" w:fill="auto"/>
            <w:vAlign w:val="center"/>
          </w:tcPr>
          <w:p w14:paraId="68D545BA"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81,7</w:t>
            </w:r>
          </w:p>
        </w:tc>
      </w:tr>
      <w:tr w:rsidR="002C749B" w:rsidRPr="00A80209" w14:paraId="6D50A416" w14:textId="77777777" w:rsidTr="00741EED">
        <w:tc>
          <w:tcPr>
            <w:tcW w:w="4053" w:type="dxa"/>
            <w:tcBorders>
              <w:top w:val="nil"/>
              <w:left w:val="nil"/>
              <w:bottom w:val="nil"/>
              <w:right w:val="nil"/>
            </w:tcBorders>
          </w:tcPr>
          <w:p w14:paraId="47F4D3F0" w14:textId="77777777" w:rsidR="002C749B" w:rsidRPr="00AA3CED" w:rsidRDefault="002C749B" w:rsidP="00741EED">
            <w:pPr>
              <w:spacing w:line="280" w:lineRule="exact"/>
              <w:ind w:firstLine="113"/>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п</w:t>
            </w:r>
            <w:r w:rsidRPr="00AA3CED">
              <w:rPr>
                <w:rFonts w:ascii="Verdana" w:eastAsia="Times" w:hAnsi="Verdana" w:cs="Times New Roman"/>
                <w:b/>
                <w:bCs/>
                <w:color w:val="000000"/>
                <w:sz w:val="16"/>
                <w:szCs w:val="16"/>
                <w:lang w:eastAsia="bg-BG"/>
              </w:rPr>
              <w:t>родукция от селското стопанство</w:t>
            </w:r>
          </w:p>
        </w:tc>
        <w:tc>
          <w:tcPr>
            <w:tcW w:w="1187" w:type="dxa"/>
            <w:tcBorders>
              <w:top w:val="nil"/>
              <w:left w:val="nil"/>
              <w:bottom w:val="nil"/>
              <w:right w:val="nil"/>
            </w:tcBorders>
            <w:shd w:val="clear" w:color="auto" w:fill="auto"/>
            <w:vAlign w:val="center"/>
          </w:tcPr>
          <w:p w14:paraId="167381B2"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10255,4</w:t>
            </w:r>
          </w:p>
        </w:tc>
        <w:tc>
          <w:tcPr>
            <w:tcW w:w="1339" w:type="dxa"/>
            <w:tcBorders>
              <w:top w:val="nil"/>
              <w:left w:val="nil"/>
              <w:bottom w:val="nil"/>
              <w:right w:val="nil"/>
            </w:tcBorders>
            <w:shd w:val="clear" w:color="auto" w:fill="auto"/>
            <w:vAlign w:val="center"/>
          </w:tcPr>
          <w:p w14:paraId="68434588"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96,6</w:t>
            </w:r>
          </w:p>
        </w:tc>
        <w:tc>
          <w:tcPr>
            <w:tcW w:w="1229" w:type="dxa"/>
            <w:tcBorders>
              <w:top w:val="nil"/>
              <w:left w:val="nil"/>
              <w:bottom w:val="nil"/>
              <w:right w:val="nil"/>
            </w:tcBorders>
            <w:shd w:val="clear" w:color="auto" w:fill="auto"/>
            <w:vAlign w:val="center"/>
          </w:tcPr>
          <w:p w14:paraId="77CF5143"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84,1</w:t>
            </w:r>
          </w:p>
        </w:tc>
        <w:tc>
          <w:tcPr>
            <w:tcW w:w="1417" w:type="dxa"/>
            <w:tcBorders>
              <w:top w:val="nil"/>
              <w:left w:val="nil"/>
              <w:bottom w:val="nil"/>
              <w:right w:val="nil"/>
            </w:tcBorders>
            <w:shd w:val="clear" w:color="auto" w:fill="auto"/>
            <w:vAlign w:val="center"/>
          </w:tcPr>
          <w:p w14:paraId="676D75E4"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81,2</w:t>
            </w:r>
          </w:p>
        </w:tc>
      </w:tr>
      <w:tr w:rsidR="002C749B" w:rsidRPr="00A80209" w14:paraId="2E0AC4A8" w14:textId="77777777" w:rsidTr="00741EED">
        <w:tc>
          <w:tcPr>
            <w:tcW w:w="4053" w:type="dxa"/>
            <w:tcBorders>
              <w:top w:val="nil"/>
              <w:left w:val="nil"/>
              <w:bottom w:val="nil"/>
              <w:right w:val="nil"/>
            </w:tcBorders>
          </w:tcPr>
          <w:p w14:paraId="49B3CE49" w14:textId="77777777" w:rsidR="002C749B" w:rsidRPr="00AA3CED" w:rsidRDefault="002C749B" w:rsidP="00741EED">
            <w:pPr>
              <w:spacing w:line="280" w:lineRule="exact"/>
              <w:ind w:firstLine="227"/>
              <w:outlineLvl w:val="1"/>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п</w:t>
            </w:r>
            <w:r w:rsidRPr="00AA3CED">
              <w:rPr>
                <w:rFonts w:ascii="Verdana" w:eastAsia="Times" w:hAnsi="Verdana" w:cs="Times New Roman"/>
                <w:b/>
                <w:bCs/>
                <w:color w:val="000000"/>
                <w:sz w:val="16"/>
                <w:szCs w:val="16"/>
                <w:lang w:eastAsia="bg-BG"/>
              </w:rPr>
              <w:t>родукция от растениевъдството</w:t>
            </w:r>
          </w:p>
        </w:tc>
        <w:tc>
          <w:tcPr>
            <w:tcW w:w="1187" w:type="dxa"/>
            <w:tcBorders>
              <w:top w:val="nil"/>
              <w:left w:val="nil"/>
              <w:bottom w:val="nil"/>
              <w:right w:val="nil"/>
            </w:tcBorders>
            <w:shd w:val="clear" w:color="auto" w:fill="auto"/>
            <w:vAlign w:val="center"/>
          </w:tcPr>
          <w:p w14:paraId="11FDAEBF"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7124,5</w:t>
            </w:r>
          </w:p>
        </w:tc>
        <w:tc>
          <w:tcPr>
            <w:tcW w:w="1339" w:type="dxa"/>
            <w:tcBorders>
              <w:top w:val="nil"/>
              <w:left w:val="nil"/>
              <w:bottom w:val="nil"/>
              <w:right w:val="nil"/>
            </w:tcBorders>
            <w:shd w:val="clear" w:color="auto" w:fill="auto"/>
            <w:vAlign w:val="center"/>
          </w:tcPr>
          <w:p w14:paraId="4C25A243"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97,2</w:t>
            </w:r>
          </w:p>
        </w:tc>
        <w:tc>
          <w:tcPr>
            <w:tcW w:w="1229" w:type="dxa"/>
            <w:tcBorders>
              <w:top w:val="nil"/>
              <w:left w:val="nil"/>
              <w:bottom w:val="nil"/>
              <w:right w:val="nil"/>
            </w:tcBorders>
            <w:shd w:val="clear" w:color="auto" w:fill="auto"/>
            <w:vAlign w:val="center"/>
          </w:tcPr>
          <w:p w14:paraId="5ACECC1D"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75,5</w:t>
            </w:r>
          </w:p>
        </w:tc>
        <w:tc>
          <w:tcPr>
            <w:tcW w:w="1417" w:type="dxa"/>
            <w:tcBorders>
              <w:top w:val="nil"/>
              <w:left w:val="nil"/>
              <w:bottom w:val="nil"/>
              <w:right w:val="nil"/>
            </w:tcBorders>
            <w:shd w:val="clear" w:color="auto" w:fill="auto"/>
            <w:vAlign w:val="center"/>
          </w:tcPr>
          <w:p w14:paraId="4A796454"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73,4</w:t>
            </w:r>
          </w:p>
        </w:tc>
      </w:tr>
      <w:tr w:rsidR="002C749B" w:rsidRPr="00A80209" w14:paraId="4F96DFD8" w14:textId="77777777" w:rsidTr="00741EED">
        <w:tc>
          <w:tcPr>
            <w:tcW w:w="4053" w:type="dxa"/>
            <w:tcBorders>
              <w:top w:val="nil"/>
              <w:left w:val="nil"/>
              <w:bottom w:val="nil"/>
              <w:right w:val="nil"/>
            </w:tcBorders>
          </w:tcPr>
          <w:p w14:paraId="6E272836" w14:textId="77777777" w:rsidR="002C749B" w:rsidRPr="00AA3CED" w:rsidRDefault="002C749B" w:rsidP="00741EED">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з</w:t>
            </w:r>
            <w:r w:rsidRPr="00AA3CED">
              <w:rPr>
                <w:rFonts w:ascii="Verdana" w:eastAsia="Times" w:hAnsi="Verdana" w:cs="Times New Roman"/>
                <w:color w:val="000000"/>
                <w:sz w:val="16"/>
                <w:szCs w:val="16"/>
                <w:lang w:eastAsia="bg-BG"/>
              </w:rPr>
              <w:t>ърнени култури</w:t>
            </w:r>
          </w:p>
        </w:tc>
        <w:tc>
          <w:tcPr>
            <w:tcW w:w="1187" w:type="dxa"/>
            <w:tcBorders>
              <w:top w:val="nil"/>
              <w:left w:val="nil"/>
              <w:bottom w:val="nil"/>
              <w:right w:val="nil"/>
            </w:tcBorders>
            <w:shd w:val="clear" w:color="auto" w:fill="auto"/>
            <w:vAlign w:val="bottom"/>
          </w:tcPr>
          <w:p w14:paraId="6F3E8EE2"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4104,0</w:t>
            </w:r>
          </w:p>
        </w:tc>
        <w:tc>
          <w:tcPr>
            <w:tcW w:w="1339" w:type="dxa"/>
            <w:tcBorders>
              <w:top w:val="nil"/>
              <w:left w:val="nil"/>
              <w:bottom w:val="nil"/>
              <w:right w:val="nil"/>
            </w:tcBorders>
            <w:shd w:val="clear" w:color="auto" w:fill="auto"/>
            <w:vAlign w:val="bottom"/>
          </w:tcPr>
          <w:p w14:paraId="4DFC6A43"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106,1</w:t>
            </w:r>
          </w:p>
        </w:tc>
        <w:tc>
          <w:tcPr>
            <w:tcW w:w="1229" w:type="dxa"/>
            <w:tcBorders>
              <w:top w:val="nil"/>
              <w:left w:val="nil"/>
              <w:bottom w:val="nil"/>
              <w:right w:val="nil"/>
            </w:tcBorders>
            <w:shd w:val="clear" w:color="auto" w:fill="auto"/>
            <w:vAlign w:val="bottom"/>
          </w:tcPr>
          <w:p w14:paraId="67857769"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70,5</w:t>
            </w:r>
          </w:p>
        </w:tc>
        <w:tc>
          <w:tcPr>
            <w:tcW w:w="1417" w:type="dxa"/>
            <w:tcBorders>
              <w:top w:val="nil"/>
              <w:left w:val="nil"/>
              <w:bottom w:val="nil"/>
              <w:right w:val="nil"/>
            </w:tcBorders>
            <w:shd w:val="clear" w:color="auto" w:fill="auto"/>
            <w:vAlign w:val="bottom"/>
          </w:tcPr>
          <w:p w14:paraId="0642E6A4"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74,8</w:t>
            </w:r>
          </w:p>
        </w:tc>
      </w:tr>
      <w:tr w:rsidR="002C749B" w:rsidRPr="00A80209" w14:paraId="129B4D02" w14:textId="77777777" w:rsidTr="00741EED">
        <w:tc>
          <w:tcPr>
            <w:tcW w:w="4053" w:type="dxa"/>
            <w:tcBorders>
              <w:top w:val="nil"/>
              <w:left w:val="nil"/>
              <w:bottom w:val="nil"/>
              <w:right w:val="nil"/>
            </w:tcBorders>
          </w:tcPr>
          <w:p w14:paraId="6A163922" w14:textId="77777777" w:rsidR="002C749B" w:rsidRPr="00AA3CED" w:rsidRDefault="002C749B" w:rsidP="00741EED">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т</w:t>
            </w:r>
            <w:r w:rsidRPr="00AA3CED">
              <w:rPr>
                <w:rFonts w:ascii="Verdana" w:eastAsia="Times" w:hAnsi="Verdana" w:cs="Times New Roman"/>
                <w:color w:val="000000"/>
                <w:sz w:val="16"/>
                <w:szCs w:val="16"/>
                <w:lang w:eastAsia="bg-BG"/>
              </w:rPr>
              <w:t>ехнически култури</w:t>
            </w:r>
          </w:p>
        </w:tc>
        <w:tc>
          <w:tcPr>
            <w:tcW w:w="1187" w:type="dxa"/>
            <w:tcBorders>
              <w:top w:val="nil"/>
              <w:left w:val="nil"/>
              <w:bottom w:val="nil"/>
              <w:right w:val="nil"/>
            </w:tcBorders>
            <w:shd w:val="clear" w:color="auto" w:fill="auto"/>
            <w:vAlign w:val="bottom"/>
          </w:tcPr>
          <w:p w14:paraId="719ABB1E"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1783,8</w:t>
            </w:r>
          </w:p>
        </w:tc>
        <w:tc>
          <w:tcPr>
            <w:tcW w:w="1339" w:type="dxa"/>
            <w:tcBorders>
              <w:top w:val="nil"/>
              <w:left w:val="nil"/>
              <w:bottom w:val="nil"/>
              <w:right w:val="nil"/>
            </w:tcBorders>
            <w:shd w:val="clear" w:color="auto" w:fill="auto"/>
            <w:vAlign w:val="bottom"/>
          </w:tcPr>
          <w:p w14:paraId="58097212"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83,2</w:t>
            </w:r>
          </w:p>
        </w:tc>
        <w:tc>
          <w:tcPr>
            <w:tcW w:w="1229" w:type="dxa"/>
            <w:tcBorders>
              <w:top w:val="nil"/>
              <w:left w:val="nil"/>
              <w:bottom w:val="nil"/>
              <w:right w:val="nil"/>
            </w:tcBorders>
            <w:shd w:val="clear" w:color="auto" w:fill="auto"/>
            <w:vAlign w:val="bottom"/>
          </w:tcPr>
          <w:p w14:paraId="7D6A0642"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72,1</w:t>
            </w:r>
          </w:p>
        </w:tc>
        <w:tc>
          <w:tcPr>
            <w:tcW w:w="1417" w:type="dxa"/>
            <w:tcBorders>
              <w:top w:val="nil"/>
              <w:left w:val="nil"/>
              <w:bottom w:val="nil"/>
              <w:right w:val="nil"/>
            </w:tcBorders>
            <w:shd w:val="clear" w:color="auto" w:fill="auto"/>
            <w:vAlign w:val="bottom"/>
          </w:tcPr>
          <w:p w14:paraId="677F1D7E"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60,0</w:t>
            </w:r>
          </w:p>
        </w:tc>
      </w:tr>
      <w:tr w:rsidR="002C749B" w:rsidRPr="00A80209" w14:paraId="42ADAD14" w14:textId="77777777" w:rsidTr="00741EED">
        <w:tc>
          <w:tcPr>
            <w:tcW w:w="4053" w:type="dxa"/>
            <w:tcBorders>
              <w:top w:val="nil"/>
              <w:left w:val="nil"/>
              <w:bottom w:val="nil"/>
              <w:right w:val="nil"/>
            </w:tcBorders>
          </w:tcPr>
          <w:p w14:paraId="6AE5FE38" w14:textId="77777777" w:rsidR="002C749B" w:rsidRPr="00AA3CED" w:rsidRDefault="002C749B" w:rsidP="00741EED">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ф</w:t>
            </w:r>
            <w:r w:rsidRPr="00AA3CED">
              <w:rPr>
                <w:rFonts w:ascii="Verdana" w:eastAsia="Times" w:hAnsi="Verdana" w:cs="Times New Roman"/>
                <w:color w:val="000000"/>
                <w:sz w:val="16"/>
                <w:szCs w:val="16"/>
                <w:lang w:eastAsia="bg-BG"/>
              </w:rPr>
              <w:t>уражни култури</w:t>
            </w:r>
          </w:p>
        </w:tc>
        <w:tc>
          <w:tcPr>
            <w:tcW w:w="1187" w:type="dxa"/>
            <w:tcBorders>
              <w:top w:val="nil"/>
              <w:left w:val="nil"/>
              <w:bottom w:val="nil"/>
              <w:right w:val="nil"/>
            </w:tcBorders>
            <w:shd w:val="clear" w:color="auto" w:fill="auto"/>
            <w:vAlign w:val="bottom"/>
          </w:tcPr>
          <w:p w14:paraId="1456A8E7"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221,4</w:t>
            </w:r>
          </w:p>
        </w:tc>
        <w:tc>
          <w:tcPr>
            <w:tcW w:w="1339" w:type="dxa"/>
            <w:tcBorders>
              <w:top w:val="nil"/>
              <w:left w:val="nil"/>
              <w:bottom w:val="nil"/>
              <w:right w:val="nil"/>
            </w:tcBorders>
            <w:shd w:val="clear" w:color="auto" w:fill="auto"/>
            <w:vAlign w:val="bottom"/>
          </w:tcPr>
          <w:p w14:paraId="5B9A5173"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105,7</w:t>
            </w:r>
          </w:p>
        </w:tc>
        <w:tc>
          <w:tcPr>
            <w:tcW w:w="1229" w:type="dxa"/>
            <w:tcBorders>
              <w:top w:val="nil"/>
              <w:left w:val="nil"/>
              <w:bottom w:val="nil"/>
              <w:right w:val="nil"/>
            </w:tcBorders>
            <w:shd w:val="clear" w:color="auto" w:fill="auto"/>
            <w:vAlign w:val="bottom"/>
          </w:tcPr>
          <w:p w14:paraId="4A339712"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101,9</w:t>
            </w:r>
          </w:p>
        </w:tc>
        <w:tc>
          <w:tcPr>
            <w:tcW w:w="1417" w:type="dxa"/>
            <w:tcBorders>
              <w:top w:val="nil"/>
              <w:left w:val="nil"/>
              <w:bottom w:val="nil"/>
              <w:right w:val="nil"/>
            </w:tcBorders>
            <w:shd w:val="clear" w:color="auto" w:fill="auto"/>
            <w:vAlign w:val="bottom"/>
          </w:tcPr>
          <w:p w14:paraId="383775C4"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107,7</w:t>
            </w:r>
          </w:p>
        </w:tc>
      </w:tr>
      <w:tr w:rsidR="002C749B" w:rsidRPr="00A80209" w14:paraId="02ED925D" w14:textId="77777777" w:rsidTr="00741EED">
        <w:tc>
          <w:tcPr>
            <w:tcW w:w="4053" w:type="dxa"/>
            <w:tcBorders>
              <w:top w:val="nil"/>
              <w:left w:val="nil"/>
              <w:bottom w:val="nil"/>
              <w:right w:val="nil"/>
            </w:tcBorders>
          </w:tcPr>
          <w:p w14:paraId="1BD5C00B" w14:textId="77777777" w:rsidR="002C749B" w:rsidRPr="00AA3CED" w:rsidRDefault="002C749B" w:rsidP="00741EED">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з</w:t>
            </w:r>
            <w:r w:rsidRPr="00AA3CED">
              <w:rPr>
                <w:rFonts w:ascii="Verdana" w:eastAsia="Times" w:hAnsi="Verdana" w:cs="Times New Roman"/>
                <w:color w:val="000000"/>
                <w:sz w:val="16"/>
                <w:szCs w:val="16"/>
                <w:lang w:eastAsia="bg-BG"/>
              </w:rPr>
              <w:t>еленчуци</w:t>
            </w:r>
          </w:p>
        </w:tc>
        <w:tc>
          <w:tcPr>
            <w:tcW w:w="1187" w:type="dxa"/>
            <w:tcBorders>
              <w:top w:val="nil"/>
              <w:left w:val="nil"/>
              <w:bottom w:val="nil"/>
              <w:right w:val="nil"/>
            </w:tcBorders>
            <w:shd w:val="clear" w:color="auto" w:fill="auto"/>
            <w:vAlign w:val="bottom"/>
          </w:tcPr>
          <w:p w14:paraId="72352F6C"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532,6</w:t>
            </w:r>
          </w:p>
        </w:tc>
        <w:tc>
          <w:tcPr>
            <w:tcW w:w="1339" w:type="dxa"/>
            <w:tcBorders>
              <w:top w:val="nil"/>
              <w:left w:val="nil"/>
              <w:bottom w:val="nil"/>
              <w:right w:val="nil"/>
            </w:tcBorders>
            <w:shd w:val="clear" w:color="auto" w:fill="auto"/>
            <w:vAlign w:val="bottom"/>
          </w:tcPr>
          <w:p w14:paraId="7D6942BC"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98,1</w:t>
            </w:r>
          </w:p>
        </w:tc>
        <w:tc>
          <w:tcPr>
            <w:tcW w:w="1229" w:type="dxa"/>
            <w:tcBorders>
              <w:top w:val="nil"/>
              <w:left w:val="nil"/>
              <w:bottom w:val="nil"/>
              <w:right w:val="nil"/>
            </w:tcBorders>
            <w:shd w:val="clear" w:color="auto" w:fill="auto"/>
            <w:vAlign w:val="bottom"/>
          </w:tcPr>
          <w:p w14:paraId="4A3213EB"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105,9</w:t>
            </w:r>
          </w:p>
        </w:tc>
        <w:tc>
          <w:tcPr>
            <w:tcW w:w="1417" w:type="dxa"/>
            <w:tcBorders>
              <w:top w:val="nil"/>
              <w:left w:val="nil"/>
              <w:bottom w:val="nil"/>
              <w:right w:val="nil"/>
            </w:tcBorders>
            <w:shd w:val="clear" w:color="auto" w:fill="auto"/>
            <w:vAlign w:val="bottom"/>
          </w:tcPr>
          <w:p w14:paraId="7E32EE51"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103,9</w:t>
            </w:r>
          </w:p>
        </w:tc>
      </w:tr>
      <w:tr w:rsidR="002C749B" w:rsidRPr="00A80209" w14:paraId="043F0E41" w14:textId="77777777" w:rsidTr="00741EED">
        <w:tc>
          <w:tcPr>
            <w:tcW w:w="4053" w:type="dxa"/>
            <w:tcBorders>
              <w:top w:val="nil"/>
              <w:left w:val="nil"/>
              <w:bottom w:val="nil"/>
              <w:right w:val="nil"/>
            </w:tcBorders>
          </w:tcPr>
          <w:p w14:paraId="6F14B3DA" w14:textId="77777777" w:rsidR="002C749B" w:rsidRPr="00AA3CED" w:rsidRDefault="002C749B" w:rsidP="00741EED">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к</w:t>
            </w:r>
            <w:r w:rsidRPr="00AA3CED">
              <w:rPr>
                <w:rFonts w:ascii="Verdana" w:eastAsia="Times" w:hAnsi="Verdana" w:cs="Times New Roman"/>
                <w:color w:val="000000"/>
                <w:sz w:val="16"/>
                <w:szCs w:val="16"/>
                <w:lang w:eastAsia="bg-BG"/>
              </w:rPr>
              <w:t>артофи</w:t>
            </w:r>
          </w:p>
        </w:tc>
        <w:tc>
          <w:tcPr>
            <w:tcW w:w="1187" w:type="dxa"/>
            <w:tcBorders>
              <w:top w:val="nil"/>
              <w:left w:val="nil"/>
              <w:bottom w:val="nil"/>
              <w:right w:val="nil"/>
            </w:tcBorders>
            <w:shd w:val="clear" w:color="auto" w:fill="auto"/>
            <w:vAlign w:val="bottom"/>
          </w:tcPr>
          <w:p w14:paraId="0844A9A3"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75,6</w:t>
            </w:r>
          </w:p>
        </w:tc>
        <w:tc>
          <w:tcPr>
            <w:tcW w:w="1339" w:type="dxa"/>
            <w:tcBorders>
              <w:top w:val="nil"/>
              <w:left w:val="nil"/>
              <w:bottom w:val="nil"/>
              <w:right w:val="nil"/>
            </w:tcBorders>
            <w:shd w:val="clear" w:color="auto" w:fill="auto"/>
            <w:vAlign w:val="bottom"/>
          </w:tcPr>
          <w:p w14:paraId="4D2C8AEF"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72,8</w:t>
            </w:r>
          </w:p>
        </w:tc>
        <w:tc>
          <w:tcPr>
            <w:tcW w:w="1229" w:type="dxa"/>
            <w:tcBorders>
              <w:top w:val="nil"/>
              <w:left w:val="nil"/>
              <w:bottom w:val="nil"/>
              <w:right w:val="nil"/>
            </w:tcBorders>
            <w:shd w:val="clear" w:color="auto" w:fill="auto"/>
            <w:vAlign w:val="bottom"/>
          </w:tcPr>
          <w:p w14:paraId="40DADFEC"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106,3</w:t>
            </w:r>
          </w:p>
        </w:tc>
        <w:tc>
          <w:tcPr>
            <w:tcW w:w="1417" w:type="dxa"/>
            <w:tcBorders>
              <w:top w:val="nil"/>
              <w:left w:val="nil"/>
              <w:bottom w:val="nil"/>
              <w:right w:val="nil"/>
            </w:tcBorders>
            <w:shd w:val="clear" w:color="auto" w:fill="auto"/>
            <w:vAlign w:val="bottom"/>
          </w:tcPr>
          <w:p w14:paraId="27CD2632"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77,4</w:t>
            </w:r>
          </w:p>
        </w:tc>
      </w:tr>
      <w:tr w:rsidR="002C749B" w:rsidRPr="00A80209" w14:paraId="452299D0" w14:textId="77777777" w:rsidTr="00741EED">
        <w:tc>
          <w:tcPr>
            <w:tcW w:w="4053" w:type="dxa"/>
            <w:tcBorders>
              <w:top w:val="nil"/>
              <w:left w:val="nil"/>
              <w:bottom w:val="nil"/>
              <w:right w:val="nil"/>
            </w:tcBorders>
          </w:tcPr>
          <w:p w14:paraId="02128F09" w14:textId="77777777" w:rsidR="002C749B" w:rsidRPr="00AA3CED" w:rsidRDefault="002C749B" w:rsidP="00741EED">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п</w:t>
            </w:r>
            <w:r w:rsidRPr="00AA3CED">
              <w:rPr>
                <w:rFonts w:ascii="Verdana" w:eastAsia="Times" w:hAnsi="Verdana" w:cs="Times New Roman"/>
                <w:color w:val="000000"/>
                <w:sz w:val="16"/>
                <w:szCs w:val="16"/>
                <w:lang w:eastAsia="bg-BG"/>
              </w:rPr>
              <w:t>лодове</w:t>
            </w:r>
          </w:p>
        </w:tc>
        <w:tc>
          <w:tcPr>
            <w:tcW w:w="1187" w:type="dxa"/>
            <w:tcBorders>
              <w:top w:val="nil"/>
              <w:left w:val="nil"/>
              <w:bottom w:val="nil"/>
              <w:right w:val="nil"/>
            </w:tcBorders>
            <w:shd w:val="clear" w:color="auto" w:fill="auto"/>
            <w:vAlign w:val="bottom"/>
          </w:tcPr>
          <w:p w14:paraId="1D060152"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355,4</w:t>
            </w:r>
          </w:p>
        </w:tc>
        <w:tc>
          <w:tcPr>
            <w:tcW w:w="1339" w:type="dxa"/>
            <w:tcBorders>
              <w:top w:val="nil"/>
              <w:left w:val="nil"/>
              <w:bottom w:val="nil"/>
              <w:right w:val="nil"/>
            </w:tcBorders>
            <w:shd w:val="clear" w:color="auto" w:fill="auto"/>
            <w:vAlign w:val="bottom"/>
          </w:tcPr>
          <w:p w14:paraId="0A6D7159"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77,7</w:t>
            </w:r>
          </w:p>
        </w:tc>
        <w:tc>
          <w:tcPr>
            <w:tcW w:w="1229" w:type="dxa"/>
            <w:tcBorders>
              <w:top w:val="nil"/>
              <w:left w:val="nil"/>
              <w:bottom w:val="nil"/>
              <w:right w:val="nil"/>
            </w:tcBorders>
            <w:shd w:val="clear" w:color="auto" w:fill="auto"/>
            <w:vAlign w:val="bottom"/>
          </w:tcPr>
          <w:p w14:paraId="23A2238C"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118,3</w:t>
            </w:r>
          </w:p>
        </w:tc>
        <w:tc>
          <w:tcPr>
            <w:tcW w:w="1417" w:type="dxa"/>
            <w:tcBorders>
              <w:top w:val="nil"/>
              <w:left w:val="nil"/>
              <w:bottom w:val="nil"/>
              <w:right w:val="nil"/>
            </w:tcBorders>
            <w:shd w:val="clear" w:color="auto" w:fill="auto"/>
            <w:vAlign w:val="bottom"/>
          </w:tcPr>
          <w:p w14:paraId="1E3A7EE3"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91,9</w:t>
            </w:r>
          </w:p>
        </w:tc>
      </w:tr>
      <w:tr w:rsidR="002C749B" w:rsidRPr="00A80209" w14:paraId="46E15E3D" w14:textId="77777777" w:rsidTr="00741EED">
        <w:tc>
          <w:tcPr>
            <w:tcW w:w="4053" w:type="dxa"/>
            <w:tcBorders>
              <w:top w:val="nil"/>
              <w:left w:val="nil"/>
              <w:bottom w:val="nil"/>
              <w:right w:val="nil"/>
            </w:tcBorders>
          </w:tcPr>
          <w:p w14:paraId="5B73A81D" w14:textId="77777777" w:rsidR="002C749B" w:rsidRPr="00AA3CED" w:rsidRDefault="002C749B" w:rsidP="00741EED">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д</w:t>
            </w:r>
            <w:r w:rsidRPr="00AA3CED">
              <w:rPr>
                <w:rFonts w:ascii="Verdana" w:eastAsia="Times" w:hAnsi="Verdana" w:cs="Times New Roman"/>
                <w:color w:val="000000"/>
                <w:sz w:val="16"/>
                <w:szCs w:val="16"/>
                <w:lang w:eastAsia="bg-BG"/>
              </w:rPr>
              <w:t>руги растениевъдни култури</w:t>
            </w:r>
          </w:p>
        </w:tc>
        <w:tc>
          <w:tcPr>
            <w:tcW w:w="1187" w:type="dxa"/>
            <w:tcBorders>
              <w:top w:val="nil"/>
              <w:left w:val="nil"/>
              <w:bottom w:val="nil"/>
              <w:right w:val="nil"/>
            </w:tcBorders>
            <w:shd w:val="clear" w:color="auto" w:fill="auto"/>
            <w:vAlign w:val="bottom"/>
          </w:tcPr>
          <w:p w14:paraId="7F053B6B"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51,7</w:t>
            </w:r>
          </w:p>
        </w:tc>
        <w:tc>
          <w:tcPr>
            <w:tcW w:w="1339" w:type="dxa"/>
            <w:tcBorders>
              <w:top w:val="nil"/>
              <w:left w:val="nil"/>
              <w:bottom w:val="nil"/>
              <w:right w:val="nil"/>
            </w:tcBorders>
            <w:shd w:val="clear" w:color="auto" w:fill="auto"/>
            <w:vAlign w:val="bottom"/>
          </w:tcPr>
          <w:p w14:paraId="06C584BD"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107,0</w:t>
            </w:r>
          </w:p>
        </w:tc>
        <w:tc>
          <w:tcPr>
            <w:tcW w:w="1229" w:type="dxa"/>
            <w:tcBorders>
              <w:top w:val="nil"/>
              <w:left w:val="nil"/>
              <w:bottom w:val="nil"/>
              <w:right w:val="nil"/>
            </w:tcBorders>
            <w:shd w:val="clear" w:color="auto" w:fill="auto"/>
            <w:vAlign w:val="bottom"/>
          </w:tcPr>
          <w:p w14:paraId="62820CB7"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117,0</w:t>
            </w:r>
          </w:p>
        </w:tc>
        <w:tc>
          <w:tcPr>
            <w:tcW w:w="1417" w:type="dxa"/>
            <w:tcBorders>
              <w:top w:val="nil"/>
              <w:left w:val="nil"/>
              <w:bottom w:val="nil"/>
              <w:right w:val="nil"/>
            </w:tcBorders>
            <w:shd w:val="clear" w:color="auto" w:fill="auto"/>
            <w:vAlign w:val="bottom"/>
          </w:tcPr>
          <w:p w14:paraId="322EC251"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125,2</w:t>
            </w:r>
          </w:p>
        </w:tc>
      </w:tr>
      <w:tr w:rsidR="002C749B" w:rsidRPr="00A80209" w14:paraId="5A003A4C" w14:textId="77777777" w:rsidTr="00741EED">
        <w:tc>
          <w:tcPr>
            <w:tcW w:w="4053" w:type="dxa"/>
            <w:tcBorders>
              <w:top w:val="nil"/>
              <w:left w:val="nil"/>
              <w:bottom w:val="nil"/>
              <w:right w:val="nil"/>
            </w:tcBorders>
          </w:tcPr>
          <w:p w14:paraId="4EE92892" w14:textId="77777777" w:rsidR="002C749B" w:rsidRPr="00AA3CED" w:rsidRDefault="002C749B" w:rsidP="00741EED">
            <w:pPr>
              <w:spacing w:line="280" w:lineRule="exact"/>
              <w:ind w:firstLine="227"/>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п</w:t>
            </w:r>
            <w:r w:rsidRPr="00AA3CED">
              <w:rPr>
                <w:rFonts w:ascii="Verdana" w:eastAsia="Times" w:hAnsi="Verdana" w:cs="Times New Roman"/>
                <w:b/>
                <w:bCs/>
                <w:color w:val="000000"/>
                <w:sz w:val="16"/>
                <w:szCs w:val="16"/>
                <w:lang w:eastAsia="bg-BG"/>
              </w:rPr>
              <w:t>родукция от животновъдството</w:t>
            </w:r>
          </w:p>
        </w:tc>
        <w:tc>
          <w:tcPr>
            <w:tcW w:w="1187" w:type="dxa"/>
            <w:tcBorders>
              <w:top w:val="nil"/>
              <w:left w:val="nil"/>
              <w:bottom w:val="nil"/>
              <w:right w:val="nil"/>
            </w:tcBorders>
            <w:shd w:val="clear" w:color="auto" w:fill="auto"/>
            <w:vAlign w:val="bottom"/>
          </w:tcPr>
          <w:p w14:paraId="61C63DC8"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2535,2</w:t>
            </w:r>
          </w:p>
        </w:tc>
        <w:tc>
          <w:tcPr>
            <w:tcW w:w="1339" w:type="dxa"/>
            <w:tcBorders>
              <w:top w:val="nil"/>
              <w:left w:val="nil"/>
              <w:bottom w:val="nil"/>
              <w:right w:val="nil"/>
            </w:tcBorders>
            <w:shd w:val="clear" w:color="auto" w:fill="auto"/>
            <w:vAlign w:val="bottom"/>
          </w:tcPr>
          <w:p w14:paraId="0D3D0C35"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95,1</w:t>
            </w:r>
          </w:p>
        </w:tc>
        <w:tc>
          <w:tcPr>
            <w:tcW w:w="1229" w:type="dxa"/>
            <w:tcBorders>
              <w:top w:val="nil"/>
              <w:left w:val="nil"/>
              <w:bottom w:val="nil"/>
              <w:right w:val="nil"/>
            </w:tcBorders>
            <w:shd w:val="clear" w:color="auto" w:fill="auto"/>
            <w:vAlign w:val="bottom"/>
          </w:tcPr>
          <w:p w14:paraId="7A0A0BF7"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114,2</w:t>
            </w:r>
          </w:p>
        </w:tc>
        <w:tc>
          <w:tcPr>
            <w:tcW w:w="1417" w:type="dxa"/>
            <w:tcBorders>
              <w:top w:val="nil"/>
              <w:left w:val="nil"/>
              <w:bottom w:val="nil"/>
              <w:right w:val="nil"/>
            </w:tcBorders>
            <w:shd w:val="clear" w:color="auto" w:fill="auto"/>
            <w:vAlign w:val="bottom"/>
          </w:tcPr>
          <w:p w14:paraId="6E7A0434"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108,6</w:t>
            </w:r>
          </w:p>
        </w:tc>
      </w:tr>
      <w:tr w:rsidR="002C749B" w:rsidRPr="00A80209" w14:paraId="13CAEA9D" w14:textId="77777777" w:rsidTr="00741EED">
        <w:tc>
          <w:tcPr>
            <w:tcW w:w="4053" w:type="dxa"/>
            <w:tcBorders>
              <w:top w:val="nil"/>
              <w:left w:val="nil"/>
              <w:bottom w:val="nil"/>
              <w:right w:val="nil"/>
            </w:tcBorders>
          </w:tcPr>
          <w:p w14:paraId="55C955BE" w14:textId="77777777" w:rsidR="002C749B" w:rsidRPr="00AA3CED" w:rsidRDefault="002C749B" w:rsidP="00741EED">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с</w:t>
            </w:r>
            <w:r w:rsidRPr="00AA3CED">
              <w:rPr>
                <w:rFonts w:ascii="Verdana" w:eastAsia="Times" w:hAnsi="Verdana" w:cs="Times New Roman"/>
                <w:color w:val="000000"/>
                <w:sz w:val="16"/>
                <w:szCs w:val="16"/>
                <w:lang w:eastAsia="bg-BG"/>
              </w:rPr>
              <w:t>елскостопански животни</w:t>
            </w:r>
          </w:p>
        </w:tc>
        <w:tc>
          <w:tcPr>
            <w:tcW w:w="1187" w:type="dxa"/>
            <w:tcBorders>
              <w:top w:val="nil"/>
              <w:left w:val="nil"/>
              <w:bottom w:val="nil"/>
              <w:right w:val="nil"/>
            </w:tcBorders>
            <w:shd w:val="clear" w:color="auto" w:fill="auto"/>
            <w:vAlign w:val="bottom"/>
          </w:tcPr>
          <w:p w14:paraId="27EB3596"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1362,5</w:t>
            </w:r>
          </w:p>
        </w:tc>
        <w:tc>
          <w:tcPr>
            <w:tcW w:w="1339" w:type="dxa"/>
            <w:tcBorders>
              <w:top w:val="nil"/>
              <w:left w:val="nil"/>
              <w:bottom w:val="nil"/>
              <w:right w:val="nil"/>
            </w:tcBorders>
            <w:shd w:val="clear" w:color="auto" w:fill="auto"/>
            <w:vAlign w:val="bottom"/>
          </w:tcPr>
          <w:p w14:paraId="057393FD"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97,0</w:t>
            </w:r>
          </w:p>
        </w:tc>
        <w:tc>
          <w:tcPr>
            <w:tcW w:w="1229" w:type="dxa"/>
            <w:tcBorders>
              <w:top w:val="nil"/>
              <w:left w:val="nil"/>
              <w:bottom w:val="nil"/>
              <w:right w:val="nil"/>
            </w:tcBorders>
            <w:shd w:val="clear" w:color="auto" w:fill="auto"/>
            <w:vAlign w:val="bottom"/>
          </w:tcPr>
          <w:p w14:paraId="3E00F1E1"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122,1</w:t>
            </w:r>
          </w:p>
        </w:tc>
        <w:tc>
          <w:tcPr>
            <w:tcW w:w="1417" w:type="dxa"/>
            <w:tcBorders>
              <w:top w:val="nil"/>
              <w:left w:val="nil"/>
              <w:bottom w:val="nil"/>
              <w:right w:val="nil"/>
            </w:tcBorders>
            <w:shd w:val="clear" w:color="auto" w:fill="auto"/>
            <w:vAlign w:val="bottom"/>
          </w:tcPr>
          <w:p w14:paraId="454C1B95"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118,4</w:t>
            </w:r>
          </w:p>
        </w:tc>
      </w:tr>
      <w:tr w:rsidR="002C749B" w:rsidRPr="00A80209" w14:paraId="4A2B56B2" w14:textId="77777777" w:rsidTr="00741EED">
        <w:tc>
          <w:tcPr>
            <w:tcW w:w="4053" w:type="dxa"/>
            <w:tcBorders>
              <w:top w:val="nil"/>
              <w:left w:val="nil"/>
              <w:bottom w:val="nil"/>
              <w:right w:val="nil"/>
            </w:tcBorders>
          </w:tcPr>
          <w:p w14:paraId="6A974773" w14:textId="77777777" w:rsidR="002C749B" w:rsidRPr="00AA3CED" w:rsidRDefault="002C749B" w:rsidP="00741EED">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п</w:t>
            </w:r>
            <w:r w:rsidRPr="00AA3CED">
              <w:rPr>
                <w:rFonts w:ascii="Verdana" w:eastAsia="Times" w:hAnsi="Verdana" w:cs="Times New Roman"/>
                <w:color w:val="000000"/>
                <w:sz w:val="16"/>
                <w:szCs w:val="16"/>
                <w:lang w:eastAsia="bg-BG"/>
              </w:rPr>
              <w:t>родукти от животновъдството</w:t>
            </w:r>
          </w:p>
        </w:tc>
        <w:tc>
          <w:tcPr>
            <w:tcW w:w="1187" w:type="dxa"/>
            <w:tcBorders>
              <w:top w:val="nil"/>
              <w:left w:val="nil"/>
              <w:bottom w:val="nil"/>
              <w:right w:val="nil"/>
            </w:tcBorders>
            <w:shd w:val="clear" w:color="auto" w:fill="auto"/>
            <w:vAlign w:val="bottom"/>
          </w:tcPr>
          <w:p w14:paraId="489CEC61"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1172,7</w:t>
            </w:r>
          </w:p>
        </w:tc>
        <w:tc>
          <w:tcPr>
            <w:tcW w:w="1339" w:type="dxa"/>
            <w:tcBorders>
              <w:top w:val="nil"/>
              <w:left w:val="nil"/>
              <w:bottom w:val="nil"/>
              <w:right w:val="nil"/>
            </w:tcBorders>
            <w:shd w:val="clear" w:color="auto" w:fill="auto"/>
            <w:vAlign w:val="bottom"/>
          </w:tcPr>
          <w:p w14:paraId="47252AC4"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93,3</w:t>
            </w:r>
          </w:p>
        </w:tc>
        <w:tc>
          <w:tcPr>
            <w:tcW w:w="1229" w:type="dxa"/>
            <w:tcBorders>
              <w:top w:val="nil"/>
              <w:left w:val="nil"/>
              <w:bottom w:val="nil"/>
              <w:right w:val="nil"/>
            </w:tcBorders>
            <w:shd w:val="clear" w:color="auto" w:fill="auto"/>
            <w:vAlign w:val="bottom"/>
          </w:tcPr>
          <w:p w14:paraId="77E67FC2"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106,3</w:t>
            </w:r>
          </w:p>
        </w:tc>
        <w:tc>
          <w:tcPr>
            <w:tcW w:w="1417" w:type="dxa"/>
            <w:tcBorders>
              <w:top w:val="nil"/>
              <w:left w:val="nil"/>
              <w:bottom w:val="nil"/>
              <w:right w:val="nil"/>
            </w:tcBorders>
            <w:shd w:val="clear" w:color="auto" w:fill="auto"/>
            <w:vAlign w:val="bottom"/>
          </w:tcPr>
          <w:p w14:paraId="60C03E85"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99,2</w:t>
            </w:r>
          </w:p>
        </w:tc>
      </w:tr>
      <w:tr w:rsidR="002C749B" w:rsidRPr="00A80209" w14:paraId="66E00BF6" w14:textId="77777777" w:rsidTr="00741EED">
        <w:tc>
          <w:tcPr>
            <w:tcW w:w="4053" w:type="dxa"/>
            <w:tcBorders>
              <w:top w:val="nil"/>
              <w:left w:val="nil"/>
              <w:bottom w:val="nil"/>
              <w:right w:val="nil"/>
            </w:tcBorders>
          </w:tcPr>
          <w:p w14:paraId="7BA9D775" w14:textId="77777777" w:rsidR="002C749B" w:rsidRPr="00AA3CED" w:rsidRDefault="002C749B" w:rsidP="00741EED">
            <w:pPr>
              <w:spacing w:line="280" w:lineRule="exact"/>
              <w:ind w:firstLine="227"/>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п</w:t>
            </w:r>
            <w:r w:rsidRPr="00AA3CED">
              <w:rPr>
                <w:rFonts w:ascii="Verdana" w:eastAsia="Times" w:hAnsi="Verdana" w:cs="Times New Roman"/>
                <w:b/>
                <w:bCs/>
                <w:color w:val="000000"/>
                <w:sz w:val="16"/>
                <w:szCs w:val="16"/>
                <w:lang w:eastAsia="bg-BG"/>
              </w:rPr>
              <w:t>родукция на селскостопански услуги</w:t>
            </w:r>
          </w:p>
        </w:tc>
        <w:tc>
          <w:tcPr>
            <w:tcW w:w="1187" w:type="dxa"/>
            <w:tcBorders>
              <w:top w:val="nil"/>
              <w:left w:val="nil"/>
              <w:bottom w:val="nil"/>
              <w:right w:val="nil"/>
            </w:tcBorders>
            <w:shd w:val="clear" w:color="auto" w:fill="auto"/>
            <w:vAlign w:val="bottom"/>
          </w:tcPr>
          <w:p w14:paraId="3DBB99D1"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595,7</w:t>
            </w:r>
          </w:p>
        </w:tc>
        <w:tc>
          <w:tcPr>
            <w:tcW w:w="1339" w:type="dxa"/>
            <w:tcBorders>
              <w:top w:val="nil"/>
              <w:left w:val="nil"/>
              <w:bottom w:val="nil"/>
              <w:right w:val="nil"/>
            </w:tcBorders>
            <w:shd w:val="clear" w:color="auto" w:fill="auto"/>
            <w:vAlign w:val="bottom"/>
          </w:tcPr>
          <w:p w14:paraId="6108B992"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91,9</w:t>
            </w:r>
          </w:p>
        </w:tc>
        <w:tc>
          <w:tcPr>
            <w:tcW w:w="1229" w:type="dxa"/>
            <w:tcBorders>
              <w:top w:val="nil"/>
              <w:left w:val="nil"/>
              <w:bottom w:val="nil"/>
              <w:right w:val="nil"/>
            </w:tcBorders>
            <w:shd w:val="clear" w:color="auto" w:fill="auto"/>
            <w:vAlign w:val="bottom"/>
          </w:tcPr>
          <w:p w14:paraId="26C3FD4B"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108,9</w:t>
            </w:r>
          </w:p>
        </w:tc>
        <w:tc>
          <w:tcPr>
            <w:tcW w:w="1417" w:type="dxa"/>
            <w:tcBorders>
              <w:top w:val="nil"/>
              <w:left w:val="nil"/>
              <w:bottom w:val="nil"/>
              <w:right w:val="nil"/>
            </w:tcBorders>
            <w:shd w:val="clear" w:color="auto" w:fill="auto"/>
            <w:vAlign w:val="bottom"/>
          </w:tcPr>
          <w:p w14:paraId="47D8E543"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100,1</w:t>
            </w:r>
          </w:p>
        </w:tc>
      </w:tr>
      <w:tr w:rsidR="002C749B" w:rsidRPr="00A80209" w14:paraId="4ED826BD" w14:textId="77777777" w:rsidTr="00741EED">
        <w:tc>
          <w:tcPr>
            <w:tcW w:w="4053" w:type="dxa"/>
            <w:tcBorders>
              <w:top w:val="nil"/>
              <w:left w:val="nil"/>
              <w:bottom w:val="nil"/>
              <w:right w:val="nil"/>
            </w:tcBorders>
          </w:tcPr>
          <w:p w14:paraId="3C37C74A" w14:textId="77777777" w:rsidR="002C749B" w:rsidRPr="00AA3CED" w:rsidRDefault="002C749B" w:rsidP="00741EED">
            <w:pPr>
              <w:spacing w:line="280" w:lineRule="exact"/>
              <w:ind w:firstLine="113"/>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н</w:t>
            </w:r>
            <w:r w:rsidRPr="00AA3CED">
              <w:rPr>
                <w:rFonts w:ascii="Verdana" w:eastAsia="Times" w:hAnsi="Verdana" w:cs="Times New Roman"/>
                <w:b/>
                <w:bCs/>
                <w:color w:val="000000"/>
                <w:sz w:val="16"/>
                <w:szCs w:val="16"/>
                <w:lang w:eastAsia="bg-BG"/>
              </w:rPr>
              <w:t>еселскостопански неотделими второстепенни дейности</w:t>
            </w:r>
          </w:p>
        </w:tc>
        <w:tc>
          <w:tcPr>
            <w:tcW w:w="1187" w:type="dxa"/>
            <w:tcBorders>
              <w:top w:val="nil"/>
              <w:left w:val="nil"/>
              <w:bottom w:val="nil"/>
              <w:right w:val="nil"/>
            </w:tcBorders>
            <w:shd w:val="clear" w:color="auto" w:fill="auto"/>
            <w:vAlign w:val="bottom"/>
          </w:tcPr>
          <w:p w14:paraId="42E54371"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299,0</w:t>
            </w:r>
          </w:p>
        </w:tc>
        <w:tc>
          <w:tcPr>
            <w:tcW w:w="1339" w:type="dxa"/>
            <w:tcBorders>
              <w:top w:val="nil"/>
              <w:left w:val="nil"/>
              <w:bottom w:val="nil"/>
              <w:right w:val="nil"/>
            </w:tcBorders>
            <w:shd w:val="clear" w:color="auto" w:fill="auto"/>
            <w:vAlign w:val="bottom"/>
          </w:tcPr>
          <w:p w14:paraId="70590C8E"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94,6</w:t>
            </w:r>
          </w:p>
        </w:tc>
        <w:tc>
          <w:tcPr>
            <w:tcW w:w="1229" w:type="dxa"/>
            <w:tcBorders>
              <w:top w:val="nil"/>
              <w:left w:val="nil"/>
              <w:bottom w:val="nil"/>
              <w:right w:val="nil"/>
            </w:tcBorders>
            <w:shd w:val="clear" w:color="auto" w:fill="auto"/>
            <w:vAlign w:val="bottom"/>
          </w:tcPr>
          <w:p w14:paraId="2343A0DE"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115,7</w:t>
            </w:r>
          </w:p>
        </w:tc>
        <w:tc>
          <w:tcPr>
            <w:tcW w:w="1417" w:type="dxa"/>
            <w:tcBorders>
              <w:top w:val="nil"/>
              <w:left w:val="nil"/>
              <w:bottom w:val="nil"/>
              <w:right w:val="nil"/>
            </w:tcBorders>
            <w:shd w:val="clear" w:color="auto" w:fill="auto"/>
            <w:vAlign w:val="bottom"/>
          </w:tcPr>
          <w:p w14:paraId="747F3318"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109,5</w:t>
            </w:r>
          </w:p>
        </w:tc>
      </w:tr>
      <w:tr w:rsidR="002C749B" w:rsidRPr="00A80209" w14:paraId="5DED240D" w14:textId="77777777" w:rsidTr="00741EED">
        <w:tc>
          <w:tcPr>
            <w:tcW w:w="4053" w:type="dxa"/>
            <w:tcBorders>
              <w:top w:val="nil"/>
              <w:left w:val="nil"/>
              <w:bottom w:val="nil"/>
              <w:right w:val="nil"/>
            </w:tcBorders>
          </w:tcPr>
          <w:p w14:paraId="555306C9" w14:textId="77777777" w:rsidR="002C749B" w:rsidRPr="00AA3CED" w:rsidRDefault="002C749B" w:rsidP="00741EED">
            <w:pPr>
              <w:spacing w:line="280" w:lineRule="exact"/>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м</w:t>
            </w:r>
            <w:r w:rsidRPr="00AA3CED">
              <w:rPr>
                <w:rFonts w:ascii="Verdana" w:eastAsia="Times" w:hAnsi="Verdana" w:cs="Times New Roman"/>
                <w:b/>
                <w:bCs/>
                <w:color w:val="000000"/>
                <w:sz w:val="16"/>
                <w:szCs w:val="16"/>
                <w:lang w:eastAsia="bg-BG"/>
              </w:rPr>
              <w:t>еждинно потребление</w:t>
            </w:r>
          </w:p>
        </w:tc>
        <w:tc>
          <w:tcPr>
            <w:tcW w:w="1187" w:type="dxa"/>
            <w:tcBorders>
              <w:top w:val="nil"/>
              <w:left w:val="nil"/>
              <w:bottom w:val="nil"/>
              <w:right w:val="nil"/>
            </w:tcBorders>
            <w:shd w:val="clear" w:color="auto" w:fill="auto"/>
            <w:vAlign w:val="bottom"/>
          </w:tcPr>
          <w:p w14:paraId="6D383CF6"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6337,4</w:t>
            </w:r>
          </w:p>
        </w:tc>
        <w:tc>
          <w:tcPr>
            <w:tcW w:w="1339" w:type="dxa"/>
            <w:tcBorders>
              <w:top w:val="nil"/>
              <w:left w:val="nil"/>
              <w:bottom w:val="nil"/>
              <w:right w:val="nil"/>
            </w:tcBorders>
            <w:shd w:val="clear" w:color="auto" w:fill="auto"/>
            <w:vAlign w:val="bottom"/>
          </w:tcPr>
          <w:p w14:paraId="21879172"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96,0</w:t>
            </w:r>
          </w:p>
        </w:tc>
        <w:tc>
          <w:tcPr>
            <w:tcW w:w="1229" w:type="dxa"/>
            <w:tcBorders>
              <w:top w:val="nil"/>
              <w:left w:val="nil"/>
              <w:bottom w:val="nil"/>
              <w:right w:val="nil"/>
            </w:tcBorders>
            <w:shd w:val="clear" w:color="auto" w:fill="auto"/>
            <w:vAlign w:val="bottom"/>
          </w:tcPr>
          <w:p w14:paraId="68E3816D"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94,5</w:t>
            </w:r>
          </w:p>
        </w:tc>
        <w:tc>
          <w:tcPr>
            <w:tcW w:w="1417" w:type="dxa"/>
            <w:tcBorders>
              <w:top w:val="nil"/>
              <w:left w:val="nil"/>
              <w:bottom w:val="nil"/>
              <w:right w:val="nil"/>
            </w:tcBorders>
            <w:shd w:val="clear" w:color="auto" w:fill="auto"/>
            <w:vAlign w:val="bottom"/>
          </w:tcPr>
          <w:p w14:paraId="7AE92995"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90,7</w:t>
            </w:r>
          </w:p>
        </w:tc>
      </w:tr>
      <w:tr w:rsidR="002C749B" w:rsidRPr="00A80209" w14:paraId="5FB57FFE" w14:textId="77777777" w:rsidTr="00741EED">
        <w:tc>
          <w:tcPr>
            <w:tcW w:w="4053" w:type="dxa"/>
            <w:tcBorders>
              <w:top w:val="nil"/>
              <w:left w:val="nil"/>
              <w:bottom w:val="nil"/>
              <w:right w:val="nil"/>
            </w:tcBorders>
          </w:tcPr>
          <w:p w14:paraId="6D8CE85A" w14:textId="77777777" w:rsidR="002C749B" w:rsidRPr="00AA3CED" w:rsidRDefault="002C749B" w:rsidP="00741EED">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с</w:t>
            </w:r>
            <w:r w:rsidRPr="00AA3CED">
              <w:rPr>
                <w:rFonts w:ascii="Verdana" w:eastAsia="Times" w:hAnsi="Verdana" w:cs="Times New Roman"/>
                <w:color w:val="000000"/>
                <w:sz w:val="16"/>
                <w:szCs w:val="16"/>
                <w:lang w:eastAsia="bg-BG"/>
              </w:rPr>
              <w:t>емена и посадъчен материал</w:t>
            </w:r>
          </w:p>
        </w:tc>
        <w:tc>
          <w:tcPr>
            <w:tcW w:w="1187" w:type="dxa"/>
            <w:tcBorders>
              <w:top w:val="nil"/>
              <w:left w:val="nil"/>
              <w:bottom w:val="nil"/>
              <w:right w:val="nil"/>
            </w:tcBorders>
            <w:shd w:val="clear" w:color="auto" w:fill="auto"/>
            <w:vAlign w:val="bottom"/>
          </w:tcPr>
          <w:p w14:paraId="51BAB889"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380,9</w:t>
            </w:r>
          </w:p>
        </w:tc>
        <w:tc>
          <w:tcPr>
            <w:tcW w:w="1339" w:type="dxa"/>
            <w:tcBorders>
              <w:top w:val="nil"/>
              <w:left w:val="nil"/>
              <w:bottom w:val="nil"/>
              <w:right w:val="nil"/>
            </w:tcBorders>
            <w:shd w:val="clear" w:color="auto" w:fill="auto"/>
            <w:vAlign w:val="bottom"/>
          </w:tcPr>
          <w:p w14:paraId="034632B8"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103,0</w:t>
            </w:r>
          </w:p>
        </w:tc>
        <w:tc>
          <w:tcPr>
            <w:tcW w:w="1229" w:type="dxa"/>
            <w:tcBorders>
              <w:top w:val="nil"/>
              <w:left w:val="nil"/>
              <w:bottom w:val="nil"/>
              <w:right w:val="nil"/>
            </w:tcBorders>
            <w:shd w:val="clear" w:color="auto" w:fill="auto"/>
            <w:vAlign w:val="bottom"/>
          </w:tcPr>
          <w:p w14:paraId="3714733E"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113,5</w:t>
            </w:r>
          </w:p>
        </w:tc>
        <w:tc>
          <w:tcPr>
            <w:tcW w:w="1417" w:type="dxa"/>
            <w:tcBorders>
              <w:top w:val="nil"/>
              <w:left w:val="nil"/>
              <w:bottom w:val="nil"/>
              <w:right w:val="nil"/>
            </w:tcBorders>
            <w:shd w:val="clear" w:color="auto" w:fill="auto"/>
            <w:vAlign w:val="bottom"/>
          </w:tcPr>
          <w:p w14:paraId="2695E66C"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116,9</w:t>
            </w:r>
          </w:p>
        </w:tc>
      </w:tr>
      <w:tr w:rsidR="002C749B" w:rsidRPr="00A80209" w14:paraId="1B360988" w14:textId="77777777" w:rsidTr="00741EED">
        <w:tc>
          <w:tcPr>
            <w:tcW w:w="4053" w:type="dxa"/>
            <w:tcBorders>
              <w:top w:val="nil"/>
              <w:left w:val="nil"/>
              <w:bottom w:val="nil"/>
              <w:right w:val="nil"/>
            </w:tcBorders>
          </w:tcPr>
          <w:p w14:paraId="50FC2D68" w14:textId="77777777" w:rsidR="002C749B" w:rsidRPr="00AA3CED" w:rsidRDefault="002C749B" w:rsidP="00741EED">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г</w:t>
            </w:r>
            <w:r w:rsidRPr="00AA3CED">
              <w:rPr>
                <w:rFonts w:ascii="Verdana" w:eastAsia="Times" w:hAnsi="Verdana" w:cs="Times New Roman"/>
                <w:color w:val="000000"/>
                <w:sz w:val="16"/>
                <w:szCs w:val="16"/>
                <w:lang w:eastAsia="bg-BG"/>
              </w:rPr>
              <w:t>орива и масла</w:t>
            </w:r>
          </w:p>
        </w:tc>
        <w:tc>
          <w:tcPr>
            <w:tcW w:w="1187" w:type="dxa"/>
            <w:tcBorders>
              <w:top w:val="nil"/>
              <w:left w:val="nil"/>
              <w:bottom w:val="nil"/>
              <w:right w:val="nil"/>
            </w:tcBorders>
            <w:shd w:val="clear" w:color="auto" w:fill="auto"/>
            <w:vAlign w:val="bottom"/>
          </w:tcPr>
          <w:p w14:paraId="7566CB77"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1171,5</w:t>
            </w:r>
          </w:p>
        </w:tc>
        <w:tc>
          <w:tcPr>
            <w:tcW w:w="1339" w:type="dxa"/>
            <w:tcBorders>
              <w:top w:val="nil"/>
              <w:left w:val="nil"/>
              <w:bottom w:val="nil"/>
              <w:right w:val="nil"/>
            </w:tcBorders>
            <w:shd w:val="clear" w:color="auto" w:fill="auto"/>
            <w:vAlign w:val="bottom"/>
          </w:tcPr>
          <w:p w14:paraId="03988886"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95,0</w:t>
            </w:r>
          </w:p>
        </w:tc>
        <w:tc>
          <w:tcPr>
            <w:tcW w:w="1229" w:type="dxa"/>
            <w:tcBorders>
              <w:top w:val="nil"/>
              <w:left w:val="nil"/>
              <w:bottom w:val="nil"/>
              <w:right w:val="nil"/>
            </w:tcBorders>
            <w:shd w:val="clear" w:color="auto" w:fill="auto"/>
            <w:vAlign w:val="bottom"/>
          </w:tcPr>
          <w:p w14:paraId="0DBA2C90"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94,5</w:t>
            </w:r>
          </w:p>
        </w:tc>
        <w:tc>
          <w:tcPr>
            <w:tcW w:w="1417" w:type="dxa"/>
            <w:tcBorders>
              <w:top w:val="nil"/>
              <w:left w:val="nil"/>
              <w:bottom w:val="nil"/>
              <w:right w:val="nil"/>
            </w:tcBorders>
            <w:shd w:val="clear" w:color="auto" w:fill="auto"/>
            <w:vAlign w:val="bottom"/>
          </w:tcPr>
          <w:p w14:paraId="3A4C4669"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89,8</w:t>
            </w:r>
          </w:p>
        </w:tc>
      </w:tr>
      <w:tr w:rsidR="002C749B" w:rsidRPr="00A80209" w14:paraId="6BB2B3B7" w14:textId="77777777" w:rsidTr="00741EED">
        <w:tc>
          <w:tcPr>
            <w:tcW w:w="4053" w:type="dxa"/>
            <w:tcBorders>
              <w:top w:val="nil"/>
              <w:left w:val="nil"/>
              <w:bottom w:val="nil"/>
              <w:right w:val="nil"/>
            </w:tcBorders>
          </w:tcPr>
          <w:p w14:paraId="031862A7" w14:textId="77777777" w:rsidR="002C749B" w:rsidRPr="00AA3CED" w:rsidRDefault="002C749B" w:rsidP="00741EED">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т</w:t>
            </w:r>
            <w:r w:rsidRPr="00AA3CED">
              <w:rPr>
                <w:rFonts w:ascii="Verdana" w:eastAsia="Times" w:hAnsi="Verdana" w:cs="Times New Roman"/>
                <w:color w:val="000000"/>
                <w:sz w:val="16"/>
                <w:szCs w:val="16"/>
                <w:lang w:eastAsia="bg-BG"/>
              </w:rPr>
              <w:t>орове и почвени подобрители</w:t>
            </w:r>
          </w:p>
        </w:tc>
        <w:tc>
          <w:tcPr>
            <w:tcW w:w="1187" w:type="dxa"/>
            <w:tcBorders>
              <w:top w:val="nil"/>
              <w:left w:val="nil"/>
              <w:bottom w:val="nil"/>
              <w:right w:val="nil"/>
            </w:tcBorders>
            <w:shd w:val="clear" w:color="auto" w:fill="auto"/>
            <w:vAlign w:val="bottom"/>
          </w:tcPr>
          <w:p w14:paraId="598D55A4"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1152,7</w:t>
            </w:r>
          </w:p>
        </w:tc>
        <w:tc>
          <w:tcPr>
            <w:tcW w:w="1339" w:type="dxa"/>
            <w:tcBorders>
              <w:top w:val="nil"/>
              <w:left w:val="nil"/>
              <w:bottom w:val="nil"/>
              <w:right w:val="nil"/>
            </w:tcBorders>
            <w:shd w:val="clear" w:color="auto" w:fill="auto"/>
            <w:vAlign w:val="bottom"/>
          </w:tcPr>
          <w:p w14:paraId="1E1B5E88"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119,5</w:t>
            </w:r>
          </w:p>
        </w:tc>
        <w:tc>
          <w:tcPr>
            <w:tcW w:w="1229" w:type="dxa"/>
            <w:tcBorders>
              <w:top w:val="nil"/>
              <w:left w:val="nil"/>
              <w:bottom w:val="nil"/>
              <w:right w:val="nil"/>
            </w:tcBorders>
            <w:shd w:val="clear" w:color="auto" w:fill="auto"/>
            <w:vAlign w:val="bottom"/>
          </w:tcPr>
          <w:p w14:paraId="1B064BBE"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68,3</w:t>
            </w:r>
          </w:p>
        </w:tc>
        <w:tc>
          <w:tcPr>
            <w:tcW w:w="1417" w:type="dxa"/>
            <w:tcBorders>
              <w:top w:val="nil"/>
              <w:left w:val="nil"/>
              <w:bottom w:val="nil"/>
              <w:right w:val="nil"/>
            </w:tcBorders>
            <w:shd w:val="clear" w:color="auto" w:fill="auto"/>
            <w:vAlign w:val="bottom"/>
          </w:tcPr>
          <w:p w14:paraId="5B9484AC"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81,6</w:t>
            </w:r>
          </w:p>
        </w:tc>
      </w:tr>
      <w:tr w:rsidR="002C749B" w:rsidRPr="00A80209" w14:paraId="78EFC4BB" w14:textId="77777777" w:rsidTr="00741EED">
        <w:tc>
          <w:tcPr>
            <w:tcW w:w="4053" w:type="dxa"/>
            <w:tcBorders>
              <w:top w:val="nil"/>
              <w:left w:val="nil"/>
              <w:bottom w:val="nil"/>
              <w:right w:val="nil"/>
            </w:tcBorders>
          </w:tcPr>
          <w:p w14:paraId="41A56FA3" w14:textId="77777777" w:rsidR="002C749B" w:rsidRPr="00AA3CED" w:rsidRDefault="002C749B" w:rsidP="00741EED">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п</w:t>
            </w:r>
            <w:r w:rsidRPr="00AA3CED">
              <w:rPr>
                <w:rFonts w:ascii="Verdana" w:eastAsia="Times" w:hAnsi="Verdana" w:cs="Times New Roman"/>
                <w:color w:val="000000"/>
                <w:sz w:val="16"/>
                <w:szCs w:val="16"/>
                <w:lang w:eastAsia="bg-BG"/>
              </w:rPr>
              <w:t>репарати за растителна защита</w:t>
            </w:r>
          </w:p>
        </w:tc>
        <w:tc>
          <w:tcPr>
            <w:tcW w:w="1187" w:type="dxa"/>
            <w:tcBorders>
              <w:top w:val="nil"/>
              <w:left w:val="nil"/>
              <w:bottom w:val="nil"/>
              <w:right w:val="nil"/>
            </w:tcBorders>
            <w:shd w:val="clear" w:color="auto" w:fill="auto"/>
            <w:vAlign w:val="bottom"/>
          </w:tcPr>
          <w:p w14:paraId="02B8994F"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513,8</w:t>
            </w:r>
          </w:p>
        </w:tc>
        <w:tc>
          <w:tcPr>
            <w:tcW w:w="1339" w:type="dxa"/>
            <w:tcBorders>
              <w:top w:val="nil"/>
              <w:left w:val="nil"/>
              <w:bottom w:val="nil"/>
              <w:right w:val="nil"/>
            </w:tcBorders>
            <w:shd w:val="clear" w:color="auto" w:fill="auto"/>
            <w:vAlign w:val="bottom"/>
          </w:tcPr>
          <w:p w14:paraId="7EDE1E0C"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104,5</w:t>
            </w:r>
          </w:p>
        </w:tc>
        <w:tc>
          <w:tcPr>
            <w:tcW w:w="1229" w:type="dxa"/>
            <w:tcBorders>
              <w:top w:val="nil"/>
              <w:left w:val="nil"/>
              <w:bottom w:val="nil"/>
              <w:right w:val="nil"/>
            </w:tcBorders>
            <w:shd w:val="clear" w:color="auto" w:fill="auto"/>
            <w:vAlign w:val="bottom"/>
          </w:tcPr>
          <w:p w14:paraId="2A33B4F7"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96,1</w:t>
            </w:r>
          </w:p>
        </w:tc>
        <w:tc>
          <w:tcPr>
            <w:tcW w:w="1417" w:type="dxa"/>
            <w:tcBorders>
              <w:top w:val="nil"/>
              <w:left w:val="nil"/>
              <w:bottom w:val="nil"/>
              <w:right w:val="nil"/>
            </w:tcBorders>
            <w:shd w:val="clear" w:color="auto" w:fill="auto"/>
            <w:vAlign w:val="bottom"/>
          </w:tcPr>
          <w:p w14:paraId="1CB222DA"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100,4</w:t>
            </w:r>
          </w:p>
        </w:tc>
      </w:tr>
      <w:tr w:rsidR="002C749B" w:rsidRPr="00A80209" w14:paraId="31518148" w14:textId="77777777" w:rsidTr="00741EED">
        <w:tc>
          <w:tcPr>
            <w:tcW w:w="4053" w:type="dxa"/>
            <w:tcBorders>
              <w:top w:val="nil"/>
              <w:left w:val="nil"/>
              <w:bottom w:val="nil"/>
              <w:right w:val="nil"/>
            </w:tcBorders>
          </w:tcPr>
          <w:p w14:paraId="215B3B56" w14:textId="77777777" w:rsidR="002C749B" w:rsidRPr="00AA3CED" w:rsidRDefault="002C749B" w:rsidP="00741EED">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в</w:t>
            </w:r>
            <w:r w:rsidRPr="00AA3CED">
              <w:rPr>
                <w:rFonts w:ascii="Verdana" w:eastAsia="Times" w:hAnsi="Verdana" w:cs="Times New Roman"/>
                <w:color w:val="000000"/>
                <w:sz w:val="16"/>
                <w:szCs w:val="16"/>
                <w:lang w:eastAsia="bg-BG"/>
              </w:rPr>
              <w:t>етеринарни разходи</w:t>
            </w:r>
          </w:p>
        </w:tc>
        <w:tc>
          <w:tcPr>
            <w:tcW w:w="1187" w:type="dxa"/>
            <w:tcBorders>
              <w:top w:val="nil"/>
              <w:left w:val="nil"/>
              <w:bottom w:val="nil"/>
              <w:right w:val="nil"/>
            </w:tcBorders>
            <w:shd w:val="clear" w:color="auto" w:fill="auto"/>
            <w:vAlign w:val="bottom"/>
          </w:tcPr>
          <w:p w14:paraId="44002064"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161,6</w:t>
            </w:r>
          </w:p>
        </w:tc>
        <w:tc>
          <w:tcPr>
            <w:tcW w:w="1339" w:type="dxa"/>
            <w:tcBorders>
              <w:top w:val="nil"/>
              <w:left w:val="nil"/>
              <w:bottom w:val="nil"/>
              <w:right w:val="nil"/>
            </w:tcBorders>
            <w:shd w:val="clear" w:color="auto" w:fill="auto"/>
            <w:vAlign w:val="bottom"/>
          </w:tcPr>
          <w:p w14:paraId="53E7877A"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68,9</w:t>
            </w:r>
          </w:p>
        </w:tc>
        <w:tc>
          <w:tcPr>
            <w:tcW w:w="1229" w:type="dxa"/>
            <w:tcBorders>
              <w:top w:val="nil"/>
              <w:left w:val="nil"/>
              <w:bottom w:val="nil"/>
              <w:right w:val="nil"/>
            </w:tcBorders>
            <w:shd w:val="clear" w:color="auto" w:fill="auto"/>
            <w:vAlign w:val="bottom"/>
          </w:tcPr>
          <w:p w14:paraId="7445236A"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105,9</w:t>
            </w:r>
          </w:p>
        </w:tc>
        <w:tc>
          <w:tcPr>
            <w:tcW w:w="1417" w:type="dxa"/>
            <w:tcBorders>
              <w:top w:val="nil"/>
              <w:left w:val="nil"/>
              <w:bottom w:val="nil"/>
              <w:right w:val="nil"/>
            </w:tcBorders>
            <w:shd w:val="clear" w:color="auto" w:fill="auto"/>
            <w:vAlign w:val="bottom"/>
          </w:tcPr>
          <w:p w14:paraId="1B6CA062"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73,0</w:t>
            </w:r>
          </w:p>
        </w:tc>
      </w:tr>
      <w:tr w:rsidR="002C749B" w:rsidRPr="00A80209" w14:paraId="36BB117E" w14:textId="77777777" w:rsidTr="00741EED">
        <w:tc>
          <w:tcPr>
            <w:tcW w:w="4053" w:type="dxa"/>
            <w:tcBorders>
              <w:top w:val="nil"/>
              <w:left w:val="nil"/>
              <w:bottom w:val="nil"/>
              <w:right w:val="nil"/>
            </w:tcBorders>
          </w:tcPr>
          <w:p w14:paraId="1ED96B0B" w14:textId="77777777" w:rsidR="002C749B" w:rsidRPr="00AA3CED" w:rsidRDefault="002C749B" w:rsidP="00741EED">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ф</w:t>
            </w:r>
            <w:r w:rsidRPr="00AA3CED">
              <w:rPr>
                <w:rFonts w:ascii="Verdana" w:eastAsia="Times" w:hAnsi="Verdana" w:cs="Times New Roman"/>
                <w:color w:val="000000"/>
                <w:sz w:val="16"/>
                <w:szCs w:val="16"/>
                <w:lang w:eastAsia="bg-BG"/>
              </w:rPr>
              <w:t>уражни добавки</w:t>
            </w:r>
          </w:p>
        </w:tc>
        <w:tc>
          <w:tcPr>
            <w:tcW w:w="1187" w:type="dxa"/>
            <w:tcBorders>
              <w:top w:val="nil"/>
              <w:left w:val="nil"/>
              <w:bottom w:val="nil"/>
              <w:right w:val="nil"/>
            </w:tcBorders>
            <w:shd w:val="clear" w:color="auto" w:fill="auto"/>
            <w:vAlign w:val="bottom"/>
          </w:tcPr>
          <w:p w14:paraId="15EC4E34"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1351,0</w:t>
            </w:r>
          </w:p>
        </w:tc>
        <w:tc>
          <w:tcPr>
            <w:tcW w:w="1339" w:type="dxa"/>
            <w:tcBorders>
              <w:top w:val="nil"/>
              <w:left w:val="nil"/>
              <w:bottom w:val="nil"/>
              <w:right w:val="nil"/>
            </w:tcBorders>
            <w:shd w:val="clear" w:color="auto" w:fill="auto"/>
            <w:vAlign w:val="bottom"/>
          </w:tcPr>
          <w:p w14:paraId="2580E620"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86,2</w:t>
            </w:r>
          </w:p>
        </w:tc>
        <w:tc>
          <w:tcPr>
            <w:tcW w:w="1229" w:type="dxa"/>
            <w:tcBorders>
              <w:top w:val="nil"/>
              <w:left w:val="nil"/>
              <w:bottom w:val="nil"/>
              <w:right w:val="nil"/>
            </w:tcBorders>
            <w:shd w:val="clear" w:color="auto" w:fill="auto"/>
            <w:vAlign w:val="bottom"/>
          </w:tcPr>
          <w:p w14:paraId="5D092D2B"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106,0</w:t>
            </w:r>
          </w:p>
        </w:tc>
        <w:tc>
          <w:tcPr>
            <w:tcW w:w="1417" w:type="dxa"/>
            <w:tcBorders>
              <w:top w:val="nil"/>
              <w:left w:val="nil"/>
              <w:bottom w:val="nil"/>
              <w:right w:val="nil"/>
            </w:tcBorders>
            <w:shd w:val="clear" w:color="auto" w:fill="auto"/>
            <w:vAlign w:val="bottom"/>
          </w:tcPr>
          <w:p w14:paraId="4416B8C4"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91,4</w:t>
            </w:r>
          </w:p>
        </w:tc>
      </w:tr>
      <w:tr w:rsidR="002C749B" w:rsidRPr="00A80209" w14:paraId="5FB0F707" w14:textId="77777777" w:rsidTr="00741EED">
        <w:tc>
          <w:tcPr>
            <w:tcW w:w="4053" w:type="dxa"/>
            <w:tcBorders>
              <w:top w:val="nil"/>
              <w:left w:val="nil"/>
              <w:bottom w:val="nil"/>
              <w:right w:val="nil"/>
            </w:tcBorders>
          </w:tcPr>
          <w:p w14:paraId="419AE3E4" w14:textId="77777777" w:rsidR="002C749B" w:rsidRPr="00AA3CED" w:rsidRDefault="002C749B" w:rsidP="00741EED">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п</w:t>
            </w:r>
            <w:r w:rsidRPr="00AA3CED">
              <w:rPr>
                <w:rFonts w:ascii="Verdana" w:eastAsia="Times" w:hAnsi="Verdana" w:cs="Times New Roman"/>
                <w:color w:val="000000"/>
                <w:sz w:val="16"/>
                <w:szCs w:val="16"/>
                <w:lang w:eastAsia="bg-BG"/>
              </w:rPr>
              <w:t>оддръжка и ремонт на машини</w:t>
            </w:r>
          </w:p>
        </w:tc>
        <w:tc>
          <w:tcPr>
            <w:tcW w:w="1187" w:type="dxa"/>
            <w:tcBorders>
              <w:top w:val="nil"/>
              <w:left w:val="nil"/>
              <w:bottom w:val="nil"/>
              <w:right w:val="nil"/>
            </w:tcBorders>
            <w:shd w:val="clear" w:color="auto" w:fill="auto"/>
            <w:vAlign w:val="bottom"/>
          </w:tcPr>
          <w:p w14:paraId="6E2588DA"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379,4</w:t>
            </w:r>
          </w:p>
        </w:tc>
        <w:tc>
          <w:tcPr>
            <w:tcW w:w="1339" w:type="dxa"/>
            <w:tcBorders>
              <w:top w:val="nil"/>
              <w:left w:val="nil"/>
              <w:bottom w:val="nil"/>
              <w:right w:val="nil"/>
            </w:tcBorders>
            <w:shd w:val="clear" w:color="auto" w:fill="auto"/>
            <w:vAlign w:val="bottom"/>
          </w:tcPr>
          <w:p w14:paraId="31000A08"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86,0</w:t>
            </w:r>
          </w:p>
        </w:tc>
        <w:tc>
          <w:tcPr>
            <w:tcW w:w="1229" w:type="dxa"/>
            <w:tcBorders>
              <w:top w:val="nil"/>
              <w:left w:val="nil"/>
              <w:bottom w:val="nil"/>
              <w:right w:val="nil"/>
            </w:tcBorders>
            <w:shd w:val="clear" w:color="auto" w:fill="auto"/>
            <w:vAlign w:val="bottom"/>
          </w:tcPr>
          <w:p w14:paraId="698DB20A"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106,2</w:t>
            </w:r>
          </w:p>
        </w:tc>
        <w:tc>
          <w:tcPr>
            <w:tcW w:w="1417" w:type="dxa"/>
            <w:tcBorders>
              <w:top w:val="nil"/>
              <w:left w:val="nil"/>
              <w:bottom w:val="nil"/>
              <w:right w:val="nil"/>
            </w:tcBorders>
            <w:shd w:val="clear" w:color="auto" w:fill="auto"/>
            <w:vAlign w:val="bottom"/>
          </w:tcPr>
          <w:p w14:paraId="7BF4215D"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91,3</w:t>
            </w:r>
          </w:p>
        </w:tc>
      </w:tr>
      <w:tr w:rsidR="002C749B" w:rsidRPr="00A80209" w14:paraId="355B948F" w14:textId="77777777" w:rsidTr="00741EED">
        <w:tc>
          <w:tcPr>
            <w:tcW w:w="4053" w:type="dxa"/>
            <w:tcBorders>
              <w:top w:val="nil"/>
              <w:left w:val="nil"/>
              <w:bottom w:val="nil"/>
              <w:right w:val="nil"/>
            </w:tcBorders>
          </w:tcPr>
          <w:p w14:paraId="2301A654" w14:textId="77777777" w:rsidR="002C749B" w:rsidRPr="00AA3CED" w:rsidRDefault="002C749B" w:rsidP="00741EED">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п</w:t>
            </w:r>
            <w:r w:rsidRPr="00AA3CED">
              <w:rPr>
                <w:rFonts w:ascii="Verdana" w:eastAsia="Times" w:hAnsi="Verdana" w:cs="Times New Roman"/>
                <w:color w:val="000000"/>
                <w:sz w:val="16"/>
                <w:szCs w:val="16"/>
                <w:lang w:eastAsia="bg-BG"/>
              </w:rPr>
              <w:t>оддръжка на сгради</w:t>
            </w:r>
          </w:p>
        </w:tc>
        <w:tc>
          <w:tcPr>
            <w:tcW w:w="1187" w:type="dxa"/>
            <w:tcBorders>
              <w:top w:val="nil"/>
              <w:left w:val="nil"/>
              <w:bottom w:val="nil"/>
              <w:right w:val="nil"/>
            </w:tcBorders>
            <w:shd w:val="clear" w:color="auto" w:fill="auto"/>
            <w:vAlign w:val="bottom"/>
          </w:tcPr>
          <w:p w14:paraId="1156B5BE"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154,8</w:t>
            </w:r>
          </w:p>
        </w:tc>
        <w:tc>
          <w:tcPr>
            <w:tcW w:w="1339" w:type="dxa"/>
            <w:tcBorders>
              <w:top w:val="nil"/>
              <w:left w:val="nil"/>
              <w:bottom w:val="nil"/>
              <w:right w:val="nil"/>
            </w:tcBorders>
            <w:shd w:val="clear" w:color="auto" w:fill="auto"/>
            <w:vAlign w:val="bottom"/>
          </w:tcPr>
          <w:p w14:paraId="4686E99A"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79,9</w:t>
            </w:r>
          </w:p>
        </w:tc>
        <w:tc>
          <w:tcPr>
            <w:tcW w:w="1229" w:type="dxa"/>
            <w:tcBorders>
              <w:top w:val="nil"/>
              <w:left w:val="nil"/>
              <w:bottom w:val="nil"/>
              <w:right w:val="nil"/>
            </w:tcBorders>
            <w:shd w:val="clear" w:color="auto" w:fill="auto"/>
            <w:vAlign w:val="bottom"/>
          </w:tcPr>
          <w:p w14:paraId="40BC9FE6"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109,6</w:t>
            </w:r>
          </w:p>
        </w:tc>
        <w:tc>
          <w:tcPr>
            <w:tcW w:w="1417" w:type="dxa"/>
            <w:tcBorders>
              <w:top w:val="nil"/>
              <w:left w:val="nil"/>
              <w:bottom w:val="nil"/>
              <w:right w:val="nil"/>
            </w:tcBorders>
            <w:shd w:val="clear" w:color="auto" w:fill="auto"/>
            <w:vAlign w:val="bottom"/>
          </w:tcPr>
          <w:p w14:paraId="1F4F0410"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87,6</w:t>
            </w:r>
          </w:p>
        </w:tc>
      </w:tr>
      <w:tr w:rsidR="002C749B" w:rsidRPr="00A80209" w14:paraId="35252D59" w14:textId="77777777" w:rsidTr="00741EED">
        <w:tc>
          <w:tcPr>
            <w:tcW w:w="4053" w:type="dxa"/>
            <w:tcBorders>
              <w:top w:val="nil"/>
              <w:left w:val="nil"/>
              <w:bottom w:val="nil"/>
              <w:right w:val="nil"/>
            </w:tcBorders>
          </w:tcPr>
          <w:p w14:paraId="155EF503" w14:textId="77777777" w:rsidR="002C749B" w:rsidRPr="00AA3CED" w:rsidRDefault="002C749B" w:rsidP="00741EED">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с</w:t>
            </w:r>
            <w:r w:rsidRPr="00AA3CED">
              <w:rPr>
                <w:rFonts w:ascii="Verdana" w:eastAsia="Times" w:hAnsi="Verdana" w:cs="Times New Roman"/>
                <w:color w:val="000000"/>
                <w:sz w:val="16"/>
                <w:szCs w:val="16"/>
                <w:lang w:eastAsia="bg-BG"/>
              </w:rPr>
              <w:t>елскостопански услуги</w:t>
            </w:r>
          </w:p>
        </w:tc>
        <w:tc>
          <w:tcPr>
            <w:tcW w:w="1187" w:type="dxa"/>
            <w:tcBorders>
              <w:top w:val="nil"/>
              <w:left w:val="nil"/>
              <w:bottom w:val="nil"/>
              <w:right w:val="nil"/>
            </w:tcBorders>
            <w:shd w:val="clear" w:color="auto" w:fill="auto"/>
            <w:vAlign w:val="bottom"/>
          </w:tcPr>
          <w:p w14:paraId="76EA3D5E"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595,7</w:t>
            </w:r>
          </w:p>
        </w:tc>
        <w:tc>
          <w:tcPr>
            <w:tcW w:w="1339" w:type="dxa"/>
            <w:tcBorders>
              <w:top w:val="nil"/>
              <w:left w:val="nil"/>
              <w:bottom w:val="nil"/>
              <w:right w:val="nil"/>
            </w:tcBorders>
            <w:shd w:val="clear" w:color="auto" w:fill="auto"/>
            <w:vAlign w:val="bottom"/>
          </w:tcPr>
          <w:p w14:paraId="134131B8"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91,9</w:t>
            </w:r>
          </w:p>
        </w:tc>
        <w:tc>
          <w:tcPr>
            <w:tcW w:w="1229" w:type="dxa"/>
            <w:tcBorders>
              <w:top w:val="nil"/>
              <w:left w:val="nil"/>
              <w:bottom w:val="nil"/>
              <w:right w:val="nil"/>
            </w:tcBorders>
            <w:shd w:val="clear" w:color="auto" w:fill="auto"/>
            <w:vAlign w:val="bottom"/>
          </w:tcPr>
          <w:p w14:paraId="471D08FB"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108,9</w:t>
            </w:r>
          </w:p>
        </w:tc>
        <w:tc>
          <w:tcPr>
            <w:tcW w:w="1417" w:type="dxa"/>
            <w:tcBorders>
              <w:top w:val="nil"/>
              <w:left w:val="nil"/>
              <w:bottom w:val="nil"/>
              <w:right w:val="nil"/>
            </w:tcBorders>
            <w:shd w:val="clear" w:color="auto" w:fill="auto"/>
            <w:vAlign w:val="bottom"/>
          </w:tcPr>
          <w:p w14:paraId="3FEE544F"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100,1</w:t>
            </w:r>
          </w:p>
        </w:tc>
      </w:tr>
      <w:tr w:rsidR="002C749B" w:rsidRPr="00A80209" w14:paraId="365B8B19" w14:textId="77777777" w:rsidTr="00741EED">
        <w:tc>
          <w:tcPr>
            <w:tcW w:w="4053" w:type="dxa"/>
            <w:tcBorders>
              <w:top w:val="nil"/>
              <w:left w:val="nil"/>
              <w:bottom w:val="nil"/>
              <w:right w:val="nil"/>
            </w:tcBorders>
          </w:tcPr>
          <w:p w14:paraId="6E497038" w14:textId="77777777" w:rsidR="002C749B" w:rsidRPr="00AA3CED" w:rsidRDefault="002C749B" w:rsidP="00741EED">
            <w:pPr>
              <w:spacing w:line="280" w:lineRule="exact"/>
              <w:ind w:firstLine="340"/>
              <w:rPr>
                <w:rFonts w:ascii="Verdana" w:eastAsia="Μοντέρνα" w:hAnsi="Verdana" w:cs="Times New Roman"/>
                <w:sz w:val="16"/>
                <w:szCs w:val="16"/>
                <w:lang w:val="en-US" w:eastAsia="bg-BG"/>
              </w:rPr>
            </w:pPr>
            <w:r w:rsidRPr="00AA3CED">
              <w:rPr>
                <w:rFonts w:ascii="Verdana" w:eastAsia="Times" w:hAnsi="Verdana" w:cs="Times New Roman"/>
                <w:color w:val="000000"/>
                <w:sz w:val="16"/>
                <w:szCs w:val="16"/>
                <w:lang w:eastAsia="bg-BG"/>
              </w:rPr>
              <w:t>ФИЗИМ</w:t>
            </w:r>
          </w:p>
        </w:tc>
        <w:tc>
          <w:tcPr>
            <w:tcW w:w="1187" w:type="dxa"/>
            <w:tcBorders>
              <w:top w:val="nil"/>
              <w:left w:val="nil"/>
              <w:bottom w:val="nil"/>
              <w:right w:val="nil"/>
            </w:tcBorders>
            <w:shd w:val="clear" w:color="auto" w:fill="auto"/>
            <w:vAlign w:val="bottom"/>
          </w:tcPr>
          <w:p w14:paraId="1262F9BA"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50,6</w:t>
            </w:r>
          </w:p>
        </w:tc>
        <w:tc>
          <w:tcPr>
            <w:tcW w:w="1339" w:type="dxa"/>
            <w:tcBorders>
              <w:top w:val="nil"/>
              <w:left w:val="nil"/>
              <w:bottom w:val="nil"/>
              <w:right w:val="nil"/>
            </w:tcBorders>
            <w:shd w:val="clear" w:color="auto" w:fill="auto"/>
            <w:vAlign w:val="bottom"/>
          </w:tcPr>
          <w:p w14:paraId="7A12FEE7"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67,6</w:t>
            </w:r>
          </w:p>
        </w:tc>
        <w:tc>
          <w:tcPr>
            <w:tcW w:w="1229" w:type="dxa"/>
            <w:tcBorders>
              <w:top w:val="nil"/>
              <w:left w:val="nil"/>
              <w:bottom w:val="nil"/>
              <w:right w:val="nil"/>
            </w:tcBorders>
            <w:shd w:val="clear" w:color="auto" w:fill="auto"/>
            <w:vAlign w:val="bottom"/>
          </w:tcPr>
          <w:p w14:paraId="45C9D5CF"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108,8</w:t>
            </w:r>
          </w:p>
        </w:tc>
        <w:tc>
          <w:tcPr>
            <w:tcW w:w="1417" w:type="dxa"/>
            <w:tcBorders>
              <w:top w:val="nil"/>
              <w:left w:val="nil"/>
              <w:bottom w:val="nil"/>
              <w:right w:val="nil"/>
            </w:tcBorders>
            <w:shd w:val="clear" w:color="auto" w:fill="auto"/>
            <w:vAlign w:val="bottom"/>
          </w:tcPr>
          <w:p w14:paraId="6B1C43A2"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73,5</w:t>
            </w:r>
          </w:p>
        </w:tc>
      </w:tr>
      <w:tr w:rsidR="002C749B" w:rsidRPr="00A80209" w14:paraId="245A225F" w14:textId="77777777" w:rsidTr="00741EED">
        <w:tc>
          <w:tcPr>
            <w:tcW w:w="4053" w:type="dxa"/>
            <w:tcBorders>
              <w:top w:val="nil"/>
              <w:left w:val="nil"/>
              <w:bottom w:val="nil"/>
              <w:right w:val="nil"/>
            </w:tcBorders>
          </w:tcPr>
          <w:p w14:paraId="70F411A0" w14:textId="77777777" w:rsidR="002C749B" w:rsidRPr="00AA3CED" w:rsidRDefault="002C749B" w:rsidP="00741EED">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д</w:t>
            </w:r>
            <w:r w:rsidRPr="00AA3CED">
              <w:rPr>
                <w:rFonts w:ascii="Verdana" w:eastAsia="Times" w:hAnsi="Verdana" w:cs="Times New Roman"/>
                <w:color w:val="000000"/>
                <w:sz w:val="16"/>
                <w:szCs w:val="16"/>
                <w:lang w:eastAsia="bg-BG"/>
              </w:rPr>
              <w:t>руги стоки и услуги</w:t>
            </w:r>
          </w:p>
        </w:tc>
        <w:tc>
          <w:tcPr>
            <w:tcW w:w="1187" w:type="dxa"/>
            <w:tcBorders>
              <w:top w:val="nil"/>
              <w:left w:val="nil"/>
              <w:bottom w:val="nil"/>
              <w:right w:val="nil"/>
            </w:tcBorders>
            <w:shd w:val="clear" w:color="auto" w:fill="auto"/>
            <w:vAlign w:val="bottom"/>
          </w:tcPr>
          <w:p w14:paraId="5E551545"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425,4</w:t>
            </w:r>
          </w:p>
        </w:tc>
        <w:tc>
          <w:tcPr>
            <w:tcW w:w="1339" w:type="dxa"/>
            <w:tcBorders>
              <w:top w:val="nil"/>
              <w:left w:val="nil"/>
              <w:bottom w:val="nil"/>
              <w:right w:val="nil"/>
            </w:tcBorders>
            <w:shd w:val="clear" w:color="auto" w:fill="auto"/>
            <w:vAlign w:val="bottom"/>
          </w:tcPr>
          <w:p w14:paraId="011DD282"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82,2</w:t>
            </w:r>
          </w:p>
        </w:tc>
        <w:tc>
          <w:tcPr>
            <w:tcW w:w="1229" w:type="dxa"/>
            <w:tcBorders>
              <w:top w:val="nil"/>
              <w:left w:val="nil"/>
              <w:bottom w:val="nil"/>
              <w:right w:val="nil"/>
            </w:tcBorders>
            <w:shd w:val="clear" w:color="auto" w:fill="auto"/>
            <w:vAlign w:val="bottom"/>
          </w:tcPr>
          <w:p w14:paraId="702181EA"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108,9</w:t>
            </w:r>
          </w:p>
        </w:tc>
        <w:tc>
          <w:tcPr>
            <w:tcW w:w="1417" w:type="dxa"/>
            <w:tcBorders>
              <w:top w:val="nil"/>
              <w:left w:val="nil"/>
              <w:bottom w:val="nil"/>
              <w:right w:val="nil"/>
            </w:tcBorders>
            <w:shd w:val="clear" w:color="auto" w:fill="auto"/>
            <w:vAlign w:val="bottom"/>
          </w:tcPr>
          <w:p w14:paraId="5081F328"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89,5</w:t>
            </w:r>
          </w:p>
        </w:tc>
      </w:tr>
      <w:tr w:rsidR="002C749B" w:rsidRPr="00A80209" w14:paraId="2DB64EB4" w14:textId="77777777" w:rsidTr="00741EED">
        <w:tc>
          <w:tcPr>
            <w:tcW w:w="4053" w:type="dxa"/>
            <w:tcBorders>
              <w:top w:val="nil"/>
              <w:left w:val="nil"/>
              <w:bottom w:val="nil"/>
              <w:right w:val="nil"/>
            </w:tcBorders>
          </w:tcPr>
          <w:p w14:paraId="30E54C03" w14:textId="77777777" w:rsidR="002C749B" w:rsidRPr="00AA3CED" w:rsidRDefault="002C749B" w:rsidP="00741EED">
            <w:pPr>
              <w:spacing w:line="280" w:lineRule="exact"/>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б</w:t>
            </w:r>
            <w:r w:rsidRPr="00AA3CED">
              <w:rPr>
                <w:rFonts w:ascii="Verdana" w:eastAsia="Times" w:hAnsi="Verdana" w:cs="Times New Roman"/>
                <w:b/>
                <w:bCs/>
                <w:color w:val="000000"/>
                <w:sz w:val="16"/>
                <w:szCs w:val="16"/>
                <w:lang w:eastAsia="bg-BG"/>
              </w:rPr>
              <w:t>рутна добавена стойност по базисни цени</w:t>
            </w:r>
          </w:p>
        </w:tc>
        <w:tc>
          <w:tcPr>
            <w:tcW w:w="1187" w:type="dxa"/>
            <w:tcBorders>
              <w:top w:val="nil"/>
              <w:left w:val="nil"/>
              <w:bottom w:val="nil"/>
              <w:right w:val="nil"/>
            </w:tcBorders>
            <w:shd w:val="clear" w:color="auto" w:fill="auto"/>
            <w:vAlign w:val="bottom"/>
          </w:tcPr>
          <w:p w14:paraId="67A1DD17"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4217,0</w:t>
            </w:r>
          </w:p>
        </w:tc>
        <w:tc>
          <w:tcPr>
            <w:tcW w:w="1339" w:type="dxa"/>
            <w:tcBorders>
              <w:top w:val="nil"/>
              <w:left w:val="nil"/>
              <w:bottom w:val="nil"/>
              <w:right w:val="nil"/>
            </w:tcBorders>
            <w:shd w:val="clear" w:color="auto" w:fill="auto"/>
            <w:vAlign w:val="bottom"/>
          </w:tcPr>
          <w:p w14:paraId="47AB9891"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97,2</w:t>
            </w:r>
          </w:p>
        </w:tc>
        <w:tc>
          <w:tcPr>
            <w:tcW w:w="1229" w:type="dxa"/>
            <w:tcBorders>
              <w:top w:val="nil"/>
              <w:left w:val="nil"/>
              <w:bottom w:val="nil"/>
              <w:right w:val="nil"/>
            </w:tcBorders>
            <w:shd w:val="clear" w:color="auto" w:fill="auto"/>
            <w:vAlign w:val="bottom"/>
          </w:tcPr>
          <w:p w14:paraId="1D08CB05"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73,4</w:t>
            </w:r>
          </w:p>
        </w:tc>
        <w:tc>
          <w:tcPr>
            <w:tcW w:w="1417" w:type="dxa"/>
            <w:tcBorders>
              <w:top w:val="nil"/>
              <w:left w:val="nil"/>
              <w:bottom w:val="nil"/>
              <w:right w:val="nil"/>
            </w:tcBorders>
            <w:shd w:val="clear" w:color="auto" w:fill="auto"/>
            <w:vAlign w:val="bottom"/>
          </w:tcPr>
          <w:p w14:paraId="75613835"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71,3</w:t>
            </w:r>
          </w:p>
        </w:tc>
      </w:tr>
      <w:tr w:rsidR="002C749B" w:rsidRPr="00A80209" w14:paraId="142B1E02" w14:textId="77777777" w:rsidTr="00741EED">
        <w:tc>
          <w:tcPr>
            <w:tcW w:w="4053" w:type="dxa"/>
            <w:tcBorders>
              <w:top w:val="nil"/>
              <w:left w:val="nil"/>
              <w:bottom w:val="nil"/>
              <w:right w:val="nil"/>
            </w:tcBorders>
          </w:tcPr>
          <w:p w14:paraId="45F61633" w14:textId="77777777" w:rsidR="002C749B" w:rsidRPr="00AA3CED" w:rsidRDefault="002C749B" w:rsidP="00741EED">
            <w:pPr>
              <w:spacing w:line="280" w:lineRule="exact"/>
              <w:ind w:firstLine="340"/>
              <w:rPr>
                <w:rFonts w:ascii="Verdana" w:eastAsia="Μοντέρνα" w:hAnsi="Verdana" w:cs="Times New Roman"/>
                <w:sz w:val="16"/>
                <w:szCs w:val="16"/>
                <w:lang w:val="en-US" w:eastAsia="bg-BG"/>
              </w:rPr>
            </w:pPr>
            <w:r>
              <w:rPr>
                <w:rFonts w:ascii="Verdana" w:eastAsia="Times" w:hAnsi="Verdana" w:cs="Times New Roman"/>
                <w:color w:val="000000"/>
                <w:sz w:val="16"/>
                <w:szCs w:val="16"/>
                <w:lang w:eastAsia="bg-BG"/>
              </w:rPr>
              <w:t>п</w:t>
            </w:r>
            <w:r w:rsidRPr="00AA3CED">
              <w:rPr>
                <w:rFonts w:ascii="Verdana" w:eastAsia="Times" w:hAnsi="Verdana" w:cs="Times New Roman"/>
                <w:color w:val="000000"/>
                <w:sz w:val="16"/>
                <w:szCs w:val="16"/>
                <w:lang w:eastAsia="bg-BG"/>
              </w:rPr>
              <w:t>отребление на основен капитал</w:t>
            </w:r>
          </w:p>
        </w:tc>
        <w:tc>
          <w:tcPr>
            <w:tcW w:w="1187" w:type="dxa"/>
            <w:tcBorders>
              <w:top w:val="nil"/>
              <w:left w:val="nil"/>
              <w:bottom w:val="nil"/>
              <w:right w:val="nil"/>
            </w:tcBorders>
            <w:shd w:val="clear" w:color="auto" w:fill="auto"/>
            <w:vAlign w:val="bottom"/>
          </w:tcPr>
          <w:p w14:paraId="0CBE6EF5"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1232,2</w:t>
            </w:r>
          </w:p>
        </w:tc>
        <w:tc>
          <w:tcPr>
            <w:tcW w:w="1339" w:type="dxa"/>
            <w:tcBorders>
              <w:top w:val="nil"/>
              <w:left w:val="nil"/>
              <w:bottom w:val="nil"/>
              <w:right w:val="nil"/>
            </w:tcBorders>
            <w:shd w:val="clear" w:color="auto" w:fill="auto"/>
            <w:vAlign w:val="bottom"/>
          </w:tcPr>
          <w:p w14:paraId="00B36AF9"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95,1</w:t>
            </w:r>
          </w:p>
        </w:tc>
        <w:tc>
          <w:tcPr>
            <w:tcW w:w="1229" w:type="dxa"/>
            <w:tcBorders>
              <w:top w:val="nil"/>
              <w:left w:val="nil"/>
              <w:bottom w:val="nil"/>
              <w:right w:val="nil"/>
            </w:tcBorders>
            <w:shd w:val="clear" w:color="auto" w:fill="auto"/>
            <w:vAlign w:val="bottom"/>
          </w:tcPr>
          <w:p w14:paraId="7E1B8E3F"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115,3</w:t>
            </w:r>
          </w:p>
        </w:tc>
        <w:tc>
          <w:tcPr>
            <w:tcW w:w="1417" w:type="dxa"/>
            <w:tcBorders>
              <w:top w:val="nil"/>
              <w:left w:val="nil"/>
              <w:bottom w:val="nil"/>
              <w:right w:val="nil"/>
            </w:tcBorders>
            <w:shd w:val="clear" w:color="auto" w:fill="auto"/>
            <w:vAlign w:val="bottom"/>
          </w:tcPr>
          <w:p w14:paraId="022D0525" w14:textId="77777777" w:rsidR="002C749B" w:rsidRPr="00A80209" w:rsidRDefault="002C749B" w:rsidP="00741EED">
            <w:pPr>
              <w:spacing w:line="280" w:lineRule="exact"/>
              <w:jc w:val="right"/>
              <w:rPr>
                <w:rFonts w:ascii="Verdana" w:hAnsi="Verdana"/>
                <w:sz w:val="16"/>
                <w:szCs w:val="16"/>
              </w:rPr>
            </w:pPr>
            <w:r w:rsidRPr="00A80209">
              <w:rPr>
                <w:rFonts w:ascii="Verdana" w:hAnsi="Verdana"/>
                <w:sz w:val="16"/>
                <w:szCs w:val="16"/>
              </w:rPr>
              <w:t>109,7</w:t>
            </w:r>
          </w:p>
        </w:tc>
      </w:tr>
      <w:tr w:rsidR="002C749B" w:rsidRPr="00A80209" w14:paraId="0032A943" w14:textId="77777777" w:rsidTr="00741EED">
        <w:tc>
          <w:tcPr>
            <w:tcW w:w="4053" w:type="dxa"/>
            <w:tcBorders>
              <w:top w:val="nil"/>
              <w:left w:val="nil"/>
              <w:bottom w:val="nil"/>
              <w:right w:val="nil"/>
            </w:tcBorders>
          </w:tcPr>
          <w:p w14:paraId="552AE3BB" w14:textId="77777777" w:rsidR="002C749B" w:rsidRPr="00AA3CED" w:rsidRDefault="002C749B" w:rsidP="00741EED">
            <w:pPr>
              <w:spacing w:line="280" w:lineRule="exact"/>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н</w:t>
            </w:r>
            <w:r w:rsidRPr="00AA3CED">
              <w:rPr>
                <w:rFonts w:ascii="Verdana" w:eastAsia="Times" w:hAnsi="Verdana" w:cs="Times New Roman"/>
                <w:b/>
                <w:bCs/>
                <w:color w:val="000000"/>
                <w:sz w:val="16"/>
                <w:szCs w:val="16"/>
                <w:lang w:eastAsia="bg-BG"/>
              </w:rPr>
              <w:t>етна добавена стойност по базисни цени</w:t>
            </w:r>
          </w:p>
        </w:tc>
        <w:tc>
          <w:tcPr>
            <w:tcW w:w="1187" w:type="dxa"/>
            <w:tcBorders>
              <w:top w:val="nil"/>
              <w:left w:val="nil"/>
              <w:bottom w:val="nil"/>
              <w:right w:val="nil"/>
            </w:tcBorders>
            <w:shd w:val="clear" w:color="auto" w:fill="auto"/>
            <w:vAlign w:val="bottom"/>
          </w:tcPr>
          <w:p w14:paraId="696F65D5"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2984,8</w:t>
            </w:r>
          </w:p>
        </w:tc>
        <w:tc>
          <w:tcPr>
            <w:tcW w:w="1339" w:type="dxa"/>
            <w:tcBorders>
              <w:top w:val="nil"/>
              <w:left w:val="nil"/>
              <w:bottom w:val="nil"/>
              <w:right w:val="nil"/>
            </w:tcBorders>
            <w:shd w:val="clear" w:color="auto" w:fill="auto"/>
            <w:vAlign w:val="bottom"/>
          </w:tcPr>
          <w:p w14:paraId="71A2819B"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97,7</w:t>
            </w:r>
          </w:p>
        </w:tc>
        <w:tc>
          <w:tcPr>
            <w:tcW w:w="1229" w:type="dxa"/>
            <w:tcBorders>
              <w:top w:val="nil"/>
              <w:left w:val="nil"/>
              <w:bottom w:val="nil"/>
              <w:right w:val="nil"/>
            </w:tcBorders>
            <w:shd w:val="clear" w:color="auto" w:fill="auto"/>
            <w:vAlign w:val="bottom"/>
          </w:tcPr>
          <w:p w14:paraId="0253005D"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63,8</w:t>
            </w:r>
          </w:p>
        </w:tc>
        <w:tc>
          <w:tcPr>
            <w:tcW w:w="1417" w:type="dxa"/>
            <w:tcBorders>
              <w:top w:val="nil"/>
              <w:left w:val="nil"/>
              <w:bottom w:val="nil"/>
              <w:right w:val="nil"/>
            </w:tcBorders>
            <w:shd w:val="clear" w:color="auto" w:fill="auto"/>
            <w:vAlign w:val="bottom"/>
          </w:tcPr>
          <w:p w14:paraId="45419660"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62,3</w:t>
            </w:r>
          </w:p>
        </w:tc>
      </w:tr>
      <w:tr w:rsidR="002C749B" w:rsidRPr="00A80209" w14:paraId="60174744" w14:textId="77777777" w:rsidTr="00741EED">
        <w:tc>
          <w:tcPr>
            <w:tcW w:w="4053" w:type="dxa"/>
            <w:tcBorders>
              <w:top w:val="nil"/>
              <w:left w:val="nil"/>
              <w:bottom w:val="nil"/>
              <w:right w:val="nil"/>
            </w:tcBorders>
          </w:tcPr>
          <w:p w14:paraId="3294254A" w14:textId="77777777" w:rsidR="002C749B" w:rsidRPr="00AA3CED" w:rsidRDefault="002C749B" w:rsidP="00741EED">
            <w:pPr>
              <w:spacing w:line="280" w:lineRule="exact"/>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н</w:t>
            </w:r>
            <w:r w:rsidRPr="00AA3CED">
              <w:rPr>
                <w:rFonts w:ascii="Verdana" w:eastAsia="Times" w:hAnsi="Verdana" w:cs="Times New Roman"/>
                <w:b/>
                <w:bCs/>
                <w:color w:val="000000"/>
                <w:sz w:val="16"/>
                <w:szCs w:val="16"/>
                <w:lang w:eastAsia="bg-BG"/>
              </w:rPr>
              <w:t>етен доход по факторни разходи</w:t>
            </w:r>
          </w:p>
        </w:tc>
        <w:tc>
          <w:tcPr>
            <w:tcW w:w="1187" w:type="dxa"/>
            <w:tcBorders>
              <w:top w:val="nil"/>
              <w:left w:val="nil"/>
              <w:bottom w:val="nil"/>
              <w:right w:val="nil"/>
            </w:tcBorders>
            <w:shd w:val="clear" w:color="auto" w:fill="auto"/>
            <w:vAlign w:val="center"/>
          </w:tcPr>
          <w:p w14:paraId="78675954"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5253,4</w:t>
            </w:r>
          </w:p>
        </w:tc>
        <w:tc>
          <w:tcPr>
            <w:tcW w:w="1339" w:type="dxa"/>
            <w:tcBorders>
              <w:top w:val="nil"/>
              <w:left w:val="nil"/>
              <w:bottom w:val="nil"/>
              <w:right w:val="nil"/>
            </w:tcBorders>
            <w:shd w:val="clear" w:color="auto" w:fill="auto"/>
            <w:vAlign w:val="center"/>
          </w:tcPr>
          <w:p w14:paraId="2FDAE4C0"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w:t>
            </w:r>
          </w:p>
        </w:tc>
        <w:tc>
          <w:tcPr>
            <w:tcW w:w="1229" w:type="dxa"/>
            <w:tcBorders>
              <w:top w:val="nil"/>
              <w:left w:val="nil"/>
              <w:bottom w:val="nil"/>
              <w:right w:val="nil"/>
            </w:tcBorders>
            <w:shd w:val="clear" w:color="auto" w:fill="auto"/>
            <w:vAlign w:val="center"/>
          </w:tcPr>
          <w:p w14:paraId="7B866FB0"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w:t>
            </w:r>
          </w:p>
        </w:tc>
        <w:tc>
          <w:tcPr>
            <w:tcW w:w="1417" w:type="dxa"/>
            <w:tcBorders>
              <w:top w:val="nil"/>
              <w:left w:val="nil"/>
              <w:bottom w:val="nil"/>
              <w:right w:val="nil"/>
            </w:tcBorders>
            <w:shd w:val="clear" w:color="auto" w:fill="auto"/>
            <w:vAlign w:val="center"/>
          </w:tcPr>
          <w:p w14:paraId="6F77C040"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73,1</w:t>
            </w:r>
          </w:p>
        </w:tc>
      </w:tr>
      <w:tr w:rsidR="002C749B" w:rsidRPr="00A80209" w14:paraId="482FFE90" w14:textId="77777777" w:rsidTr="00741EED">
        <w:tc>
          <w:tcPr>
            <w:tcW w:w="4053" w:type="dxa"/>
            <w:tcBorders>
              <w:top w:val="nil"/>
              <w:left w:val="nil"/>
              <w:bottom w:val="nil"/>
              <w:right w:val="nil"/>
            </w:tcBorders>
          </w:tcPr>
          <w:p w14:paraId="7815EAD2" w14:textId="77777777" w:rsidR="002C749B" w:rsidRPr="00AA3CED" w:rsidRDefault="002C749B" w:rsidP="00741EED">
            <w:pPr>
              <w:spacing w:line="280" w:lineRule="exact"/>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н</w:t>
            </w:r>
            <w:r w:rsidRPr="00AA3CED">
              <w:rPr>
                <w:rFonts w:ascii="Verdana" w:eastAsia="Times" w:hAnsi="Verdana" w:cs="Times New Roman"/>
                <w:b/>
                <w:bCs/>
                <w:color w:val="000000"/>
                <w:sz w:val="16"/>
                <w:szCs w:val="16"/>
                <w:lang w:eastAsia="bg-BG"/>
              </w:rPr>
              <w:t>етен опериращ излишък</w:t>
            </w:r>
          </w:p>
        </w:tc>
        <w:tc>
          <w:tcPr>
            <w:tcW w:w="1187" w:type="dxa"/>
            <w:tcBorders>
              <w:top w:val="nil"/>
              <w:left w:val="nil"/>
              <w:bottom w:val="nil"/>
              <w:right w:val="nil"/>
            </w:tcBorders>
            <w:shd w:val="clear" w:color="auto" w:fill="auto"/>
            <w:vAlign w:val="center"/>
          </w:tcPr>
          <w:p w14:paraId="7BDE6270"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3604,5</w:t>
            </w:r>
          </w:p>
        </w:tc>
        <w:tc>
          <w:tcPr>
            <w:tcW w:w="1339" w:type="dxa"/>
            <w:tcBorders>
              <w:top w:val="nil"/>
              <w:left w:val="nil"/>
              <w:bottom w:val="nil"/>
              <w:right w:val="nil"/>
            </w:tcBorders>
            <w:shd w:val="clear" w:color="auto" w:fill="auto"/>
            <w:vAlign w:val="center"/>
          </w:tcPr>
          <w:p w14:paraId="1D734F1C"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w:t>
            </w:r>
          </w:p>
        </w:tc>
        <w:tc>
          <w:tcPr>
            <w:tcW w:w="1229" w:type="dxa"/>
            <w:tcBorders>
              <w:top w:val="nil"/>
              <w:left w:val="nil"/>
              <w:bottom w:val="nil"/>
              <w:right w:val="nil"/>
            </w:tcBorders>
            <w:shd w:val="clear" w:color="auto" w:fill="auto"/>
            <w:vAlign w:val="center"/>
          </w:tcPr>
          <w:p w14:paraId="6BAEB8B7"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w:t>
            </w:r>
          </w:p>
        </w:tc>
        <w:tc>
          <w:tcPr>
            <w:tcW w:w="1417" w:type="dxa"/>
            <w:tcBorders>
              <w:top w:val="nil"/>
              <w:left w:val="nil"/>
              <w:bottom w:val="nil"/>
              <w:right w:val="nil"/>
            </w:tcBorders>
            <w:shd w:val="clear" w:color="auto" w:fill="auto"/>
            <w:vAlign w:val="center"/>
          </w:tcPr>
          <w:p w14:paraId="28F132A0"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62,2</w:t>
            </w:r>
          </w:p>
        </w:tc>
      </w:tr>
      <w:tr w:rsidR="002C749B" w:rsidRPr="00A80209" w14:paraId="5820D6E1" w14:textId="77777777" w:rsidTr="00741EED">
        <w:tc>
          <w:tcPr>
            <w:tcW w:w="4053" w:type="dxa"/>
            <w:tcBorders>
              <w:top w:val="nil"/>
              <w:left w:val="nil"/>
              <w:bottom w:val="nil"/>
              <w:right w:val="nil"/>
            </w:tcBorders>
          </w:tcPr>
          <w:p w14:paraId="7445BD5D" w14:textId="77777777" w:rsidR="002C749B" w:rsidRPr="00AA3CED" w:rsidRDefault="002C749B" w:rsidP="00741EED">
            <w:pPr>
              <w:spacing w:line="280" w:lineRule="exact"/>
              <w:rPr>
                <w:rFonts w:ascii="Verdana" w:eastAsia="Μοντέρνα" w:hAnsi="Verdana" w:cs="Times New Roman"/>
                <w:sz w:val="16"/>
                <w:szCs w:val="16"/>
                <w:lang w:val="en-US" w:eastAsia="bg-BG"/>
              </w:rPr>
            </w:pPr>
            <w:r>
              <w:rPr>
                <w:rFonts w:ascii="Verdana" w:eastAsia="Times" w:hAnsi="Verdana" w:cs="Times New Roman"/>
                <w:b/>
                <w:bCs/>
                <w:color w:val="000000"/>
                <w:sz w:val="16"/>
                <w:szCs w:val="16"/>
                <w:lang w:eastAsia="bg-BG"/>
              </w:rPr>
              <w:t>н</w:t>
            </w:r>
            <w:r w:rsidRPr="00AA3CED">
              <w:rPr>
                <w:rFonts w:ascii="Verdana" w:eastAsia="Times" w:hAnsi="Verdana" w:cs="Times New Roman"/>
                <w:b/>
                <w:bCs/>
                <w:color w:val="000000"/>
                <w:sz w:val="16"/>
                <w:szCs w:val="16"/>
                <w:lang w:eastAsia="bg-BG"/>
              </w:rPr>
              <w:t>етен предприемачески доход</w:t>
            </w:r>
          </w:p>
        </w:tc>
        <w:tc>
          <w:tcPr>
            <w:tcW w:w="1187" w:type="dxa"/>
            <w:tcBorders>
              <w:top w:val="nil"/>
              <w:left w:val="nil"/>
              <w:bottom w:val="nil"/>
              <w:right w:val="nil"/>
            </w:tcBorders>
            <w:shd w:val="clear" w:color="auto" w:fill="auto"/>
            <w:vAlign w:val="center"/>
          </w:tcPr>
          <w:p w14:paraId="327E9DEF"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969,4</w:t>
            </w:r>
          </w:p>
        </w:tc>
        <w:tc>
          <w:tcPr>
            <w:tcW w:w="1339" w:type="dxa"/>
            <w:tcBorders>
              <w:top w:val="nil"/>
              <w:left w:val="nil"/>
              <w:bottom w:val="nil"/>
              <w:right w:val="nil"/>
            </w:tcBorders>
            <w:shd w:val="clear" w:color="auto" w:fill="auto"/>
            <w:vAlign w:val="center"/>
          </w:tcPr>
          <w:p w14:paraId="3E7DAB1F"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w:t>
            </w:r>
          </w:p>
        </w:tc>
        <w:tc>
          <w:tcPr>
            <w:tcW w:w="1229" w:type="dxa"/>
            <w:tcBorders>
              <w:top w:val="nil"/>
              <w:left w:val="nil"/>
              <w:bottom w:val="nil"/>
              <w:right w:val="nil"/>
            </w:tcBorders>
            <w:shd w:val="clear" w:color="auto" w:fill="auto"/>
            <w:vAlign w:val="center"/>
          </w:tcPr>
          <w:p w14:paraId="761AA12B"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w:t>
            </w:r>
          </w:p>
        </w:tc>
        <w:tc>
          <w:tcPr>
            <w:tcW w:w="1417" w:type="dxa"/>
            <w:tcBorders>
              <w:top w:val="nil"/>
              <w:left w:val="nil"/>
              <w:bottom w:val="nil"/>
              <w:right w:val="nil"/>
            </w:tcBorders>
            <w:shd w:val="clear" w:color="auto" w:fill="auto"/>
            <w:vAlign w:val="center"/>
          </w:tcPr>
          <w:p w14:paraId="76A5F7D0" w14:textId="77777777" w:rsidR="002C749B" w:rsidRPr="00A80209" w:rsidRDefault="002C749B" w:rsidP="00741EED">
            <w:pPr>
              <w:spacing w:line="280" w:lineRule="exact"/>
              <w:jc w:val="right"/>
              <w:rPr>
                <w:rFonts w:ascii="Verdana" w:hAnsi="Verdana"/>
                <w:b/>
                <w:bCs/>
                <w:sz w:val="16"/>
                <w:szCs w:val="16"/>
              </w:rPr>
            </w:pPr>
            <w:r w:rsidRPr="00A80209">
              <w:rPr>
                <w:rFonts w:ascii="Verdana" w:hAnsi="Verdana"/>
                <w:b/>
                <w:bCs/>
                <w:sz w:val="16"/>
                <w:szCs w:val="16"/>
              </w:rPr>
              <w:t>29,9</w:t>
            </w:r>
          </w:p>
        </w:tc>
      </w:tr>
    </w:tbl>
    <w:p w14:paraId="7EE05A5D" w14:textId="77777777" w:rsidR="002C749B" w:rsidRDefault="002C749B" w:rsidP="002C749B">
      <w:pPr>
        <w:spacing w:line="360" w:lineRule="auto"/>
        <w:ind w:firstLine="567"/>
      </w:pPr>
    </w:p>
    <w:p w14:paraId="7FF79FD0" w14:textId="00EF3145" w:rsidR="002C749B" w:rsidRDefault="002C749B"/>
    <w:p w14:paraId="59BADC7B" w14:textId="77777777" w:rsidR="002C749B" w:rsidRDefault="002C749B" w:rsidP="002C749B">
      <w:pPr>
        <w:spacing w:before="160" w:line="360" w:lineRule="auto"/>
        <w:jc w:val="center"/>
        <w:rPr>
          <w:rFonts w:ascii="Verdana" w:eastAsia="Μοντέρνα" w:hAnsi="Verdana" w:cs="Times New Roman"/>
          <w:b/>
          <w:sz w:val="20"/>
          <w:szCs w:val="20"/>
          <w:lang w:eastAsia="bg-BG"/>
        </w:rPr>
      </w:pPr>
      <w:r w:rsidRPr="00AD5572">
        <w:rPr>
          <w:rFonts w:ascii="Verdana" w:eastAsia="Μοντέρνα" w:hAnsi="Verdana" w:cs="Times New Roman"/>
          <w:b/>
          <w:sz w:val="20"/>
          <w:szCs w:val="20"/>
          <w:lang w:eastAsia="bg-BG"/>
        </w:rPr>
        <w:t>Фиг. 1. Изменение на показателите за доход в селското стопанство в периода 2007 - 202</w:t>
      </w:r>
      <w:r>
        <w:rPr>
          <w:rFonts w:ascii="Verdana" w:eastAsia="Μοντέρνα" w:hAnsi="Verdana" w:cs="Times New Roman"/>
          <w:b/>
          <w:sz w:val="20"/>
          <w:szCs w:val="20"/>
          <w:lang w:val="en-US" w:eastAsia="bg-BG"/>
        </w:rPr>
        <w:t>3</w:t>
      </w:r>
      <w:r w:rsidRPr="00AD5572">
        <w:rPr>
          <w:rFonts w:ascii="Verdana" w:eastAsia="Μοντέρνα" w:hAnsi="Verdana" w:cs="Times New Roman"/>
          <w:b/>
          <w:sz w:val="20"/>
          <w:szCs w:val="20"/>
          <w:lang w:eastAsia="bg-BG"/>
        </w:rPr>
        <w:t xml:space="preserve"> година</w:t>
      </w:r>
    </w:p>
    <w:p w14:paraId="70A94681" w14:textId="77777777" w:rsidR="002C749B" w:rsidRDefault="002C749B" w:rsidP="002C749B">
      <w:pPr>
        <w:spacing w:before="160" w:line="360" w:lineRule="auto"/>
        <w:jc w:val="center"/>
        <w:rPr>
          <w:rFonts w:ascii="Verdana" w:eastAsia="Μοντέρνα" w:hAnsi="Verdana" w:cs="Times New Roman"/>
          <w:b/>
          <w:sz w:val="20"/>
          <w:szCs w:val="20"/>
          <w:lang w:eastAsia="bg-BG"/>
        </w:rPr>
      </w:pPr>
      <w:r>
        <w:rPr>
          <w:noProof/>
          <w:lang w:eastAsia="bg-BG"/>
        </w:rPr>
        <w:drawing>
          <wp:inline distT="0" distB="0" distL="0" distR="0" wp14:anchorId="2902AB51" wp14:editId="6672FDFE">
            <wp:extent cx="5759924" cy="3138986"/>
            <wp:effectExtent l="0" t="0" r="0"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2C749B" w:rsidSect="008748F1">
      <w:headerReference w:type="default" r:id="rId9"/>
      <w:footerReference w:type="default" r:id="rId10"/>
      <w:headerReference w:type="first" r:id="rId11"/>
      <w:footerReference w:type="first" r:id="rId12"/>
      <w:pgSz w:w="11906" w:h="16838" w:code="9"/>
      <w:pgMar w:top="1134" w:right="1134" w:bottom="567" w:left="1701" w:header="141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81544" w14:textId="77777777" w:rsidR="00A6594C" w:rsidRDefault="00A6594C" w:rsidP="00214ACA">
      <w:r>
        <w:separator/>
      </w:r>
    </w:p>
  </w:endnote>
  <w:endnote w:type="continuationSeparator" w:id="0">
    <w:p w14:paraId="7D49786F" w14:textId="77777777" w:rsidR="00A6594C" w:rsidRDefault="00A6594C" w:rsidP="0021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Μοντέρνα">
    <w:altName w:val="Courier New"/>
    <w:charset w:val="00"/>
    <w:family w:val="auto"/>
    <w:pitch w:val="variable"/>
    <w:sig w:usb0="03000000"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Helen Bg Cond">
    <w:panose1 w:val="00000000000000000000"/>
    <w:charset w:val="CC"/>
    <w:family w:val="modern"/>
    <w:notTrueType/>
    <w:pitch w:val="variable"/>
    <w:sig w:usb0="8000028B" w:usb1="0000004A" w:usb2="00000000" w:usb3="00000000" w:csb0="00000004" w:csb1="00000000"/>
  </w:font>
  <w:font w:name="Viol">
    <w:altName w:val="Times New Roman"/>
    <w:charset w:val="CC"/>
    <w:family w:val="auto"/>
    <w:pitch w:val="variable"/>
    <w:sig w:usb0="80000287" w:usb1="00000000" w:usb2="00000000" w:usb3="00000000" w:csb0="0000000F" w:csb1="00000000"/>
  </w:font>
  <w:font w:name="Helen BG Condense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36693" w14:textId="77777777" w:rsidR="00622761" w:rsidRPr="00171C36" w:rsidRDefault="00622761" w:rsidP="00622761">
    <w:pPr>
      <w:pStyle w:val="BodyText"/>
      <w:tabs>
        <w:tab w:val="left" w:pos="3375"/>
      </w:tabs>
      <w:spacing w:before="196"/>
      <w:jc w:val="center"/>
      <w:rPr>
        <w:rFonts w:ascii="Viol" w:hAnsi="Viol"/>
        <w:color w:val="31312F"/>
      </w:rPr>
    </w:pPr>
    <w:r w:rsidRPr="00654814">
      <w:rPr>
        <w:rFonts w:ascii="Verdana" w:hAnsi="Verdana"/>
        <w:noProof/>
        <w:color w:val="31312F"/>
        <w:spacing w:val="-2"/>
        <w:sz w:val="16"/>
        <w:szCs w:val="16"/>
        <w:lang w:eastAsia="bg-BG"/>
      </w:rPr>
      <mc:AlternateContent>
        <mc:Choice Requires="wps">
          <w:drawing>
            <wp:anchor distT="0" distB="0" distL="114300" distR="114300" simplePos="0" relativeHeight="251704320" behindDoc="1" locked="0" layoutInCell="1" allowOverlap="1" wp14:anchorId="034E3F17" wp14:editId="6BD709E1">
              <wp:simplePos x="0" y="0"/>
              <wp:positionH relativeFrom="column">
                <wp:posOffset>5954395</wp:posOffset>
              </wp:positionH>
              <wp:positionV relativeFrom="paragraph">
                <wp:posOffset>-8255</wp:posOffset>
              </wp:positionV>
              <wp:extent cx="285750" cy="1247775"/>
              <wp:effectExtent l="0" t="0" r="0" b="9525"/>
              <wp:wrapNone/>
              <wp:docPr id="14" name="Rectangle 14"/>
              <wp:cNvGraphicFramePr/>
              <a:graphic xmlns:a="http://schemas.openxmlformats.org/drawingml/2006/main">
                <a:graphicData uri="http://schemas.microsoft.com/office/word/2010/wordprocessingShape">
                  <wps:wsp>
                    <wps:cNvSpPr/>
                    <wps:spPr>
                      <a:xfrm>
                        <a:off x="0" y="0"/>
                        <a:ext cx="285750" cy="1247775"/>
                      </a:xfrm>
                      <a:prstGeom prst="rect">
                        <a:avLst/>
                      </a:prstGeom>
                      <a:solidFill>
                        <a:srgbClr val="A5A5A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2D0CB6" id="Rectangle 14" o:spid="_x0000_s1026" style="position:absolute;margin-left:468.85pt;margin-top:-.65pt;width:22.5pt;height:98.25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" fillcolor="#a5a5a5" stroked="f" strokeweight="1pt"/>
          </w:pict>
        </mc:Fallback>
      </mc:AlternateContent>
    </w:r>
    <w:r w:rsidRPr="00654814">
      <w:rPr>
        <w:rFonts w:ascii="Verdana" w:hAnsi="Verdana"/>
        <w:noProof/>
        <w:color w:val="31312F"/>
        <w:spacing w:val="-2"/>
        <w:sz w:val="16"/>
        <w:szCs w:val="16"/>
        <w:lang w:eastAsia="bg-BG"/>
      </w:rPr>
      <mc:AlternateContent>
        <mc:Choice Requires="wps">
          <w:drawing>
            <wp:anchor distT="0" distB="0" distL="114300" distR="114300" simplePos="0" relativeHeight="251705344" behindDoc="0" locked="0" layoutInCell="1" allowOverlap="1" wp14:anchorId="33A2E33E" wp14:editId="0AF49EAA">
              <wp:simplePos x="0" y="0"/>
              <wp:positionH relativeFrom="margin">
                <wp:posOffset>5867400</wp:posOffset>
              </wp:positionH>
              <wp:positionV relativeFrom="paragraph">
                <wp:posOffset>10160</wp:posOffset>
              </wp:positionV>
              <wp:extent cx="438150" cy="441325"/>
              <wp:effectExtent l="0" t="0" r="0" b="0"/>
              <wp:wrapNone/>
              <wp:docPr id="15" name="Flowchart: Alternate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428CB12" w14:textId="6B1AB68B" w:rsidR="00622761" w:rsidRPr="00DD11CB" w:rsidRDefault="00622761" w:rsidP="00622761">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B84C3D">
                            <w:rPr>
                              <w:rFonts w:ascii="Verdana" w:hAnsi="Verdana"/>
                              <w:noProof/>
                              <w:color w:val="FFFFFF" w:themeColor="background1"/>
                              <w:sz w:val="20"/>
                              <w:szCs w:val="20"/>
                            </w:rPr>
                            <w:t>7</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33A2E33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5" o:spid="_x0000_s1027" type="#_x0000_t176" style="position:absolute;left:0;text-align:left;margin-left:462pt;margin-top:.8pt;width:34.5pt;height:34.75pt;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" filled="f" fillcolor="#5c83b4" stroked="f" strokecolor="#737373">
              <v:textbox>
                <w:txbxContent>
                  <w:p w14:paraId="7428CB12" w14:textId="6B1AB68B" w:rsidR="00622761" w:rsidRPr="00DD11CB" w:rsidRDefault="00622761" w:rsidP="00622761">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B84C3D">
                      <w:rPr>
                        <w:rFonts w:ascii="Verdana" w:hAnsi="Verdana"/>
                        <w:noProof/>
                        <w:color w:val="FFFFFF" w:themeColor="background1"/>
                        <w:sz w:val="20"/>
                        <w:szCs w:val="20"/>
                      </w:rPr>
                      <w:t>7</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sz w:val="16"/>
        <w:szCs w:val="16"/>
        <w:lang w:eastAsia="bg-BG"/>
      </w:rPr>
      <mc:AlternateContent>
        <mc:Choice Requires="wps">
          <w:drawing>
            <wp:anchor distT="0" distB="0" distL="0" distR="0" simplePos="0" relativeHeight="251703296" behindDoc="1" locked="0" layoutInCell="1" allowOverlap="1" wp14:anchorId="65778AC4" wp14:editId="36136515">
              <wp:simplePos x="0" y="0"/>
              <wp:positionH relativeFrom="margin">
                <wp:posOffset>-158750</wp:posOffset>
              </wp:positionH>
              <wp:positionV relativeFrom="paragraph">
                <wp:posOffset>278130</wp:posOffset>
              </wp:positionV>
              <wp:extent cx="6066790" cy="1270"/>
              <wp:effectExtent l="0" t="0" r="10160" b="17780"/>
              <wp:wrapTopAndBottom/>
              <wp:docPr id="1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CEBDC66" id="Graphic 8" o:spid="_x0000_s1026" style="position:absolute;margin-left:-12.5pt;margin-top:21.9pt;width:477.7pt;height:.1pt;z-index:-251613184;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CRJgIAAIA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" path="m,l6066726,e" filled="f" strokecolor="#1d1d1b" strokeweight=".33pt">
              <v:path arrowok="t"/>
              <w10:wrap type="topAndBottom" anchorx="margin"/>
            </v:shape>
          </w:pict>
        </mc:Fallback>
      </mc:AlternateContent>
    </w:r>
    <w:r w:rsidRPr="00171C36">
      <w:rPr>
        <w:rFonts w:ascii="Viol" w:hAnsi="Viol"/>
        <w:color w:val="31312F"/>
      </w:rPr>
      <w:t xml:space="preserve"> </w:t>
    </w:r>
  </w:p>
  <w:p w14:paraId="09830B1E" w14:textId="77777777" w:rsidR="00622761" w:rsidRDefault="00622761" w:rsidP="00622761">
    <w:pPr>
      <w:pStyle w:val="Footer"/>
      <w:spacing w:before="120"/>
      <w:jc w:val="center"/>
    </w:pP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ул. ,,П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p w14:paraId="750BA03C" w14:textId="3CF684DC" w:rsidR="00622761" w:rsidRPr="00394FDA" w:rsidRDefault="00622761">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72A6" w14:textId="67036A62" w:rsidR="00E13DB4" w:rsidRDefault="00027268" w:rsidP="00394FDA">
    <w:pPr>
      <w:pStyle w:val="Footer"/>
      <w:spacing w:before="120"/>
    </w:pPr>
    <w:r w:rsidRPr="00654814">
      <w:rPr>
        <w:rFonts w:ascii="Verdana" w:hAnsi="Verdana"/>
        <w:noProof/>
        <w:color w:val="31312F"/>
        <w:spacing w:val="-2"/>
        <w:sz w:val="16"/>
        <w:szCs w:val="16"/>
        <w:lang w:eastAsia="bg-BG"/>
      </w:rPr>
      <mc:AlternateContent>
        <mc:Choice Requires="wps">
          <w:drawing>
            <wp:anchor distT="0" distB="0" distL="114300" distR="114300" simplePos="0" relativeHeight="251707392" behindDoc="0" locked="0" layoutInCell="1" allowOverlap="1" wp14:anchorId="1FC1F778" wp14:editId="4C2CA7EB">
              <wp:simplePos x="0" y="0"/>
              <wp:positionH relativeFrom="margin">
                <wp:posOffset>5777865</wp:posOffset>
              </wp:positionH>
              <wp:positionV relativeFrom="paragraph">
                <wp:posOffset>-355600</wp:posOffset>
              </wp:positionV>
              <wp:extent cx="438150" cy="441325"/>
              <wp:effectExtent l="0" t="0" r="0" b="0"/>
              <wp:wrapNone/>
              <wp:docPr id="10" name="Flowchart: Alternate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7137904" w14:textId="110B78C1" w:rsidR="00027268" w:rsidRPr="00DD11CB" w:rsidRDefault="00027268" w:rsidP="0002726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B84C3D">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1FC1F77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0" o:spid="_x0000_s1029" type="#_x0000_t176" style="position:absolute;margin-left:454.95pt;margin-top:-28pt;width:34.5pt;height:34.75pt;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" filled="f" fillcolor="#5c83b4" stroked="f" strokecolor="#737373">
              <v:textbox>
                <w:txbxContent>
                  <w:p w14:paraId="37137904" w14:textId="110B78C1" w:rsidR="00027268" w:rsidRPr="00DD11CB" w:rsidRDefault="00027268" w:rsidP="0002726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B84C3D">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r>
      <w:rPr>
        <w:rFonts w:ascii="Verdana" w:hAnsi="Verdana"/>
        <w:noProof/>
        <w:color w:val="31312F"/>
        <w:spacing w:val="-2"/>
        <w:sz w:val="16"/>
        <w:szCs w:val="16"/>
        <w:lang w:eastAsia="bg-BG"/>
      </w:rPr>
      <w:drawing>
        <wp:anchor distT="0" distB="0" distL="114300" distR="114300" simplePos="0" relativeHeight="251708416" behindDoc="1" locked="0" layoutInCell="1" allowOverlap="1" wp14:anchorId="38917AA2" wp14:editId="7160F26B">
          <wp:simplePos x="0" y="0"/>
          <wp:positionH relativeFrom="column">
            <wp:posOffset>5863590</wp:posOffset>
          </wp:positionH>
          <wp:positionV relativeFrom="paragraph">
            <wp:posOffset>-365125</wp:posOffset>
          </wp:positionV>
          <wp:extent cx="286385" cy="10001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1000125"/>
                  </a:xfrm>
                  <a:prstGeom prst="rect">
                    <a:avLst/>
                  </a:prstGeom>
                  <a:noFill/>
                </pic:spPr>
              </pic:pic>
            </a:graphicData>
          </a:graphic>
          <wp14:sizeRelV relativeFrom="margin">
            <wp14:pctHeight>0</wp14:pctHeight>
          </wp14:sizeRelV>
        </wp:anchor>
      </w:drawing>
    </w:r>
    <w:r w:rsidR="006C22DB">
      <w:rPr>
        <w:rFonts w:ascii="Viol" w:hAnsi="Viol"/>
        <w:color w:val="31312F"/>
      </w:rPr>
      <w:tab/>
    </w:r>
    <w:r w:rsidR="006C22DB">
      <w:rPr>
        <w:rFonts w:ascii="Verdana" w:hAnsi="Verdana"/>
        <w:color w:val="31312F"/>
        <w:spacing w:val="-2"/>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BEBC2" w14:textId="77777777" w:rsidR="00A6594C" w:rsidRDefault="00A6594C" w:rsidP="00214ACA">
      <w:r>
        <w:separator/>
      </w:r>
    </w:p>
  </w:footnote>
  <w:footnote w:type="continuationSeparator" w:id="0">
    <w:p w14:paraId="7461162B" w14:textId="77777777" w:rsidR="00A6594C" w:rsidRDefault="00A6594C" w:rsidP="0021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7E639" w14:textId="77777777" w:rsidR="002C749B" w:rsidRPr="00B77149" w:rsidRDefault="002C749B" w:rsidP="009E4021">
    <w:pPr>
      <w:tabs>
        <w:tab w:val="left" w:pos="3123"/>
      </w:tabs>
      <w:ind w:right="141"/>
      <w:rPr>
        <w:rFonts w:ascii="Verdana" w:eastAsia="Μοντέρνα" w:hAnsi="Verdana" w:cs="Times New Roman"/>
        <w:b/>
        <w:sz w:val="20"/>
        <w:szCs w:val="20"/>
        <w:lang w:eastAsia="bg-BG"/>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701248" behindDoc="0" locked="0" layoutInCell="1" allowOverlap="1" wp14:anchorId="1550E9DB" wp14:editId="5C2837AB">
              <wp:simplePos x="0" y="0"/>
              <wp:positionH relativeFrom="margin">
                <wp:align>right</wp:align>
              </wp:positionH>
              <wp:positionV relativeFrom="paragraph">
                <wp:posOffset>-468630</wp:posOffset>
              </wp:positionV>
              <wp:extent cx="5753735" cy="40894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408940"/>
                      </a:xfrm>
                      <a:prstGeom prst="rect">
                        <a:avLst/>
                      </a:prstGeom>
                      <a:solidFill>
                        <a:srgbClr val="FFFFFF"/>
                      </a:solidFill>
                      <a:ln w="9525">
                        <a:noFill/>
                        <a:miter lim="800000"/>
                        <a:headEnd/>
                        <a:tailEnd/>
                      </a:ln>
                    </wps:spPr>
                    <wps:txbx>
                      <w:txbxContent>
                        <w:p w14:paraId="44A03118" w14:textId="77777777" w:rsidR="002C749B" w:rsidRPr="00101DE0" w:rsidRDefault="002C749B" w:rsidP="00101DE0">
                          <w:pPr>
                            <w:jc w:val="center"/>
                            <w:rPr>
                              <w:rFonts w:ascii="Verdana" w:hAnsi="Verdana"/>
                              <w:sz w:val="20"/>
                              <w:szCs w:val="20"/>
                            </w:rPr>
                          </w:pPr>
                          <w:r w:rsidRPr="0050463C">
                            <w:rPr>
                              <w:rFonts w:ascii="Verdana" w:eastAsia="Μοντέρνα" w:hAnsi="Verdana" w:cs="Times New Roman"/>
                              <w:b/>
                              <w:sz w:val="20"/>
                              <w:szCs w:val="20"/>
                              <w:lang w:eastAsia="bg-BG"/>
                            </w:rPr>
                            <w:t>ИКОНОМИЧЕСКИ СМЕТКИ</w:t>
                          </w:r>
                          <w:r>
                            <w:rPr>
                              <w:rFonts w:ascii="Verdana" w:eastAsia="Μοντέρνα" w:hAnsi="Verdana" w:cs="Times New Roman"/>
                              <w:b/>
                              <w:sz w:val="20"/>
                              <w:szCs w:val="20"/>
                              <w:lang w:eastAsia="bg-BG"/>
                            </w:rPr>
                            <w:t xml:space="preserve"> ЗА СЕЛСКОТО СТОПАНСТВО ЗА 2023</w:t>
                          </w:r>
                          <w:r>
                            <w:rPr>
                              <w:rFonts w:ascii="Verdana" w:eastAsia="Μοντέρνα" w:hAnsi="Verdana" w:cs="Times New Roman"/>
                              <w:b/>
                              <w:sz w:val="20"/>
                              <w:szCs w:val="20"/>
                              <w:lang w:val="en-US" w:eastAsia="bg-BG"/>
                            </w:rPr>
                            <w:t> </w:t>
                          </w:r>
                          <w:r w:rsidRPr="0050463C">
                            <w:rPr>
                              <w:rFonts w:ascii="Verdana" w:eastAsia="Μοντέρνα" w:hAnsi="Verdana" w:cs="Times New Roman"/>
                              <w:b/>
                              <w:sz w:val="20"/>
                              <w:szCs w:val="20"/>
                              <w:lang w:eastAsia="bg-BG"/>
                            </w:rPr>
                            <w:t>ГОДИНА</w:t>
                          </w:r>
                          <w:r>
                            <w:rPr>
                              <w:rFonts w:ascii="Verdana" w:eastAsia="Μοντέρνα" w:hAnsi="Verdana" w:cs="Times New Roman"/>
                              <w:b/>
                              <w:sz w:val="20"/>
                              <w:szCs w:val="20"/>
                              <w:lang w:val="en-US" w:eastAsia="bg-BG"/>
                            </w:rPr>
                            <w:t xml:space="preserve"> </w:t>
                          </w:r>
                          <w:r w:rsidRPr="0050463C">
                            <w:rPr>
                              <w:rFonts w:ascii="Verdana" w:eastAsia="Μοντέρνα" w:hAnsi="Verdana" w:cs="Times New Roman"/>
                              <w:b/>
                              <w:sz w:val="20"/>
                              <w:szCs w:val="20"/>
                              <w:lang w:eastAsia="bg-BG"/>
                            </w:rPr>
                            <w:t>(ОКОНЧАТЕЛНИ ДАННИ)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50E9DB" id="_x0000_t202" coordsize="21600,21600" o:spt="202" path="m,l,21600r21600,l21600,xe">
              <v:stroke joinstyle="miter"/>
              <v:path gradientshapeok="t" o:connecttype="rect"/>
            </v:shapetype>
            <v:shape id="Text Box 2" o:spid="_x0000_s1026" type="#_x0000_t202" style="position:absolute;margin-left:401.85pt;margin-top:-36.9pt;width:453.05pt;height:32.2pt;z-index:251701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" stroked="f">
              <v:textbox>
                <w:txbxContent>
                  <w:p w14:paraId="44A03118" w14:textId="77777777" w:rsidR="002C749B" w:rsidRPr="00101DE0" w:rsidRDefault="002C749B" w:rsidP="00101DE0">
                    <w:pPr>
                      <w:jc w:val="center"/>
                      <w:rPr>
                        <w:rFonts w:ascii="Verdana" w:hAnsi="Verdana"/>
                        <w:sz w:val="20"/>
                        <w:szCs w:val="20"/>
                      </w:rPr>
                    </w:pPr>
                    <w:r w:rsidRPr="0050463C">
                      <w:rPr>
                        <w:rFonts w:ascii="Verdana" w:eastAsia="Μοντέρνα" w:hAnsi="Verdana" w:cs="Times New Roman"/>
                        <w:b/>
                        <w:sz w:val="20"/>
                        <w:szCs w:val="20"/>
                        <w:lang w:eastAsia="bg-BG"/>
                      </w:rPr>
                      <w:t>ИКОНОМИЧЕСКИ СМЕТКИ</w:t>
                    </w:r>
                    <w:r>
                      <w:rPr>
                        <w:rFonts w:ascii="Verdana" w:eastAsia="Μοντέρνα" w:hAnsi="Verdana" w:cs="Times New Roman"/>
                        <w:b/>
                        <w:sz w:val="20"/>
                        <w:szCs w:val="20"/>
                        <w:lang w:eastAsia="bg-BG"/>
                      </w:rPr>
                      <w:t xml:space="preserve"> ЗА СЕЛСКОТО СТОПАНСТВО ЗА 2023</w:t>
                    </w:r>
                    <w:r>
                      <w:rPr>
                        <w:rFonts w:ascii="Verdana" w:eastAsia="Μοντέρνα" w:hAnsi="Verdana" w:cs="Times New Roman"/>
                        <w:b/>
                        <w:sz w:val="20"/>
                        <w:szCs w:val="20"/>
                        <w:lang w:val="en-US" w:eastAsia="bg-BG"/>
                      </w:rPr>
                      <w:t> </w:t>
                    </w:r>
                    <w:r w:rsidRPr="0050463C">
                      <w:rPr>
                        <w:rFonts w:ascii="Verdana" w:eastAsia="Μοντέρνα" w:hAnsi="Verdana" w:cs="Times New Roman"/>
                        <w:b/>
                        <w:sz w:val="20"/>
                        <w:szCs w:val="20"/>
                        <w:lang w:eastAsia="bg-BG"/>
                      </w:rPr>
                      <w:t>ГОДИНА</w:t>
                    </w:r>
                    <w:r>
                      <w:rPr>
                        <w:rFonts w:ascii="Verdana" w:eastAsia="Μοντέρνα" w:hAnsi="Verdana" w:cs="Times New Roman"/>
                        <w:b/>
                        <w:sz w:val="20"/>
                        <w:szCs w:val="20"/>
                        <w:lang w:val="en-US" w:eastAsia="bg-BG"/>
                      </w:rPr>
                      <w:t xml:space="preserve"> </w:t>
                    </w:r>
                    <w:r w:rsidRPr="0050463C">
                      <w:rPr>
                        <w:rFonts w:ascii="Verdana" w:eastAsia="Μοντέρνα" w:hAnsi="Verdana" w:cs="Times New Roman"/>
                        <w:b/>
                        <w:sz w:val="20"/>
                        <w:szCs w:val="20"/>
                        <w:lang w:eastAsia="bg-BG"/>
                      </w:rPr>
                      <w:t>(ОКОНЧАТЕЛНИ ДАННИ)</w:t>
                    </w:r>
                  </w:p>
                </w:txbxContent>
              </v:textbox>
              <w10:wrap type="square" anchorx="margin"/>
            </v:shape>
          </w:pict>
        </mc:Fallback>
      </mc:AlternateContent>
    </w:r>
    <w:r w:rsidRPr="00DD11CB">
      <w:rPr>
        <w:rFonts w:ascii="Verdana" w:hAnsi="Verdana"/>
        <w:noProof/>
        <w:sz w:val="20"/>
        <w:lang w:eastAsia="bg-BG"/>
      </w:rPr>
      <mc:AlternateContent>
        <mc:Choice Requires="wps">
          <w:drawing>
            <wp:anchor distT="0" distB="0" distL="0" distR="0" simplePos="0" relativeHeight="251700224" behindDoc="1" locked="0" layoutInCell="1" allowOverlap="1" wp14:anchorId="0DEC9568" wp14:editId="482C7B0A">
              <wp:simplePos x="0" y="0"/>
              <wp:positionH relativeFrom="margin">
                <wp:posOffset>-234315</wp:posOffset>
              </wp:positionH>
              <wp:positionV relativeFrom="paragraph">
                <wp:posOffset>-9525</wp:posOffset>
              </wp:positionV>
              <wp:extent cx="6066790" cy="1270"/>
              <wp:effectExtent l="0" t="0" r="10160" b="17780"/>
              <wp:wrapTopAndBottom/>
              <wp:docPr id="21"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2A192A6B" id="Graphic 7" o:spid="_x0000_s1026" style="position:absolute;margin-left:-18.45pt;margin-top:-.75pt;width:477.7pt;height:.1pt;z-index:-251616256;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" path="m,l6066726,e" filled="f" strokecolor="#1d1d1b" strokeweight=".33pt">
              <v:path arrowok="t"/>
              <w10:wrap type="topAndBottom"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86E2" w14:textId="26243DB9" w:rsidR="008748F1" w:rsidRPr="004F064E" w:rsidRDefault="0062711E" w:rsidP="009E4021">
    <w:pPr>
      <w:pStyle w:val="Header"/>
      <w:tabs>
        <w:tab w:val="clear" w:pos="4536"/>
        <w:tab w:val="clear" w:pos="9072"/>
        <w:tab w:val="center" w:pos="4703"/>
        <w:tab w:val="right" w:pos="9406"/>
      </w:tabs>
      <w:rPr>
        <w:rFonts w:ascii="Helen BG Condensed" w:hAnsi="Helen BG Condensed"/>
        <w:b/>
        <w:color w:val="31312F"/>
        <w:spacing w:val="-6"/>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5888" behindDoc="0" locked="0" layoutInCell="1" allowOverlap="1" wp14:anchorId="6D791AAD" wp14:editId="19A23B97">
              <wp:simplePos x="0" y="0"/>
              <wp:positionH relativeFrom="margin">
                <wp:posOffset>-156210</wp:posOffset>
              </wp:positionH>
              <wp:positionV relativeFrom="paragraph">
                <wp:posOffset>-833120</wp:posOffset>
              </wp:positionV>
              <wp:extent cx="5953125" cy="971550"/>
              <wp:effectExtent l="0" t="0" r="9525" b="952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971550"/>
                      </a:xfrm>
                      <a:prstGeom prst="rect">
                        <a:avLst/>
                      </a:prstGeom>
                      <a:solidFill>
                        <a:srgbClr val="FFFFFF"/>
                      </a:solidFill>
                      <a:ln w="9525">
                        <a:noFill/>
                        <a:miter lim="800000"/>
                        <a:headEnd/>
                        <a:tailEnd/>
                      </a:ln>
                    </wps:spPr>
                    <wps:txbx>
                      <w:txbxContent>
                        <w:p w14:paraId="14FE2E01" w14:textId="749E21AA" w:rsidR="008748F1" w:rsidRPr="00101DE0" w:rsidRDefault="00B84C3D" w:rsidP="008748F1">
                          <w:pPr>
                            <w:jc w:val="center"/>
                            <w:rPr>
                              <w:rFonts w:ascii="Verdana" w:hAnsi="Verdana"/>
                              <w:sz w:val="20"/>
                              <w:szCs w:val="20"/>
                            </w:rPr>
                          </w:pPr>
                          <w:r>
                            <w:rPr>
                              <w:rFonts w:ascii="Verdana" w:eastAsia="Μοντέρνα" w:hAnsi="Verdana" w:cs="Times New Roman"/>
                              <w:b/>
                              <w:sz w:val="20"/>
                              <w:szCs w:val="20"/>
                              <w:lang w:eastAsia="bg-BG"/>
                            </w:rPr>
                            <w:pict w14:anchorId="70740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6.95pt;height:91.15pt">
                                <v:imagedata r:id="rId1" o:title="NEWбанка-PRESS-BG-01"/>
                              </v:shape>
                            </w:pi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791AAD" id="_x0000_t202" coordsize="21600,21600" o:spt="202" path="m,l,21600r21600,l21600,xe">
              <v:stroke joinstyle="miter"/>
              <v:path gradientshapeok="t" o:connecttype="rect"/>
            </v:shapetype>
            <v:shape id="_x0000_s1028" type="#_x0000_t202" style="position:absolute;margin-left:-12.3pt;margin-top:-65.6pt;width:468.75pt;height:76.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" stroked="f">
              <v:textbox>
                <w:txbxContent>
                  <w:p w14:paraId="14FE2E01" w14:textId="749E21AA" w:rsidR="008748F1" w:rsidRPr="00101DE0" w:rsidRDefault="00394FDA" w:rsidP="008748F1">
                    <w:pPr>
                      <w:jc w:val="center"/>
                      <w:rPr>
                        <w:rFonts w:ascii="Verdana" w:hAnsi="Verdana"/>
                        <w:sz w:val="20"/>
                        <w:szCs w:val="20"/>
                      </w:rPr>
                    </w:pPr>
                    <w:r>
                      <w:rPr>
                        <w:rFonts w:ascii="Verdana" w:eastAsia="Μοντέρνα" w:hAnsi="Verdana" w:cs="Times New Roman"/>
                        <w:b/>
                        <w:sz w:val="20"/>
                        <w:szCs w:val="20"/>
                        <w:lang w:eastAsia="bg-BG"/>
                      </w:rPr>
                      <w:pict w14:anchorId="70740A6F">
                        <v:shape id="_x0000_i1026" type="#_x0000_t75" style="width:466.85pt;height:91.25pt">
                          <v:imagedata r:id="rId2" o:title="NEWбанка-PRESS-BG-01"/>
                        </v:shape>
                      </w:pict>
                    </w:r>
                  </w:p>
                </w:txbxContent>
              </v:textbox>
              <w10:wrap type="square" anchorx="margin"/>
            </v:shape>
          </w:pict>
        </mc:Fallback>
      </mc:AlternateContent>
    </w:r>
    <w:r w:rsidRPr="00DD11CB">
      <w:rPr>
        <w:rFonts w:ascii="Verdana" w:hAnsi="Verdana"/>
        <w:noProof/>
        <w:sz w:val="20"/>
        <w:lang w:eastAsia="bg-BG"/>
      </w:rPr>
      <mc:AlternateContent>
        <mc:Choice Requires="wps">
          <w:drawing>
            <wp:anchor distT="0" distB="0" distL="0" distR="0" simplePos="0" relativeHeight="251687936" behindDoc="1" locked="0" layoutInCell="1" allowOverlap="1" wp14:anchorId="013B0C63" wp14:editId="410295BF">
              <wp:simplePos x="0" y="0"/>
              <wp:positionH relativeFrom="margin">
                <wp:posOffset>-205105</wp:posOffset>
              </wp:positionH>
              <wp:positionV relativeFrom="paragraph">
                <wp:posOffset>275590</wp:posOffset>
              </wp:positionV>
              <wp:extent cx="6066790" cy="1270"/>
              <wp:effectExtent l="0" t="0" r="10160" b="17780"/>
              <wp:wrapTopAndBottom/>
              <wp:docPr id="3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0689FB9D" id="Graphic 7" o:spid="_x0000_s1026" style="position:absolute;margin-left:-16.15pt;margin-top:21.7pt;width:477.7pt;height:.1pt;z-index:-251628544;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" path="m,l6066726,e" filled="f" strokecolor="#1d1d1b" strokeweight=".33pt">
              <v:path arrowok="t"/>
              <w10:wrap type="topAndBottom"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3421C"/>
    <w:multiLevelType w:val="hybridMultilevel"/>
    <w:tmpl w:val="07C213F2"/>
    <w:lvl w:ilvl="0" w:tplc="0402000F">
      <w:start w:val="1"/>
      <w:numFmt w:val="decimal"/>
      <w:lvlText w:val="%1."/>
      <w:lvlJc w:val="left"/>
      <w:pPr>
        <w:ind w:left="1495" w:hanging="360"/>
      </w:pPr>
    </w:lvl>
    <w:lvl w:ilvl="1" w:tplc="04020019" w:tentative="1">
      <w:start w:val="1"/>
      <w:numFmt w:val="lowerLetter"/>
      <w:lvlText w:val="%2."/>
      <w:lvlJc w:val="left"/>
      <w:pPr>
        <w:ind w:left="2215" w:hanging="360"/>
      </w:pPr>
    </w:lvl>
    <w:lvl w:ilvl="2" w:tplc="0402001B" w:tentative="1">
      <w:start w:val="1"/>
      <w:numFmt w:val="lowerRoman"/>
      <w:lvlText w:val="%3."/>
      <w:lvlJc w:val="right"/>
      <w:pPr>
        <w:ind w:left="2935" w:hanging="180"/>
      </w:pPr>
    </w:lvl>
    <w:lvl w:ilvl="3" w:tplc="0402000F" w:tentative="1">
      <w:start w:val="1"/>
      <w:numFmt w:val="decimal"/>
      <w:lvlText w:val="%4."/>
      <w:lvlJc w:val="left"/>
      <w:pPr>
        <w:ind w:left="3655" w:hanging="360"/>
      </w:pPr>
    </w:lvl>
    <w:lvl w:ilvl="4" w:tplc="04020019" w:tentative="1">
      <w:start w:val="1"/>
      <w:numFmt w:val="lowerLetter"/>
      <w:lvlText w:val="%5."/>
      <w:lvlJc w:val="left"/>
      <w:pPr>
        <w:ind w:left="4375" w:hanging="360"/>
      </w:pPr>
    </w:lvl>
    <w:lvl w:ilvl="5" w:tplc="0402001B" w:tentative="1">
      <w:start w:val="1"/>
      <w:numFmt w:val="lowerRoman"/>
      <w:lvlText w:val="%6."/>
      <w:lvlJc w:val="right"/>
      <w:pPr>
        <w:ind w:left="5095" w:hanging="180"/>
      </w:pPr>
    </w:lvl>
    <w:lvl w:ilvl="6" w:tplc="0402000F" w:tentative="1">
      <w:start w:val="1"/>
      <w:numFmt w:val="decimal"/>
      <w:lvlText w:val="%7."/>
      <w:lvlJc w:val="left"/>
      <w:pPr>
        <w:ind w:left="5815" w:hanging="360"/>
      </w:pPr>
    </w:lvl>
    <w:lvl w:ilvl="7" w:tplc="04020019" w:tentative="1">
      <w:start w:val="1"/>
      <w:numFmt w:val="lowerLetter"/>
      <w:lvlText w:val="%8."/>
      <w:lvlJc w:val="left"/>
      <w:pPr>
        <w:ind w:left="6535" w:hanging="360"/>
      </w:pPr>
    </w:lvl>
    <w:lvl w:ilvl="8" w:tplc="0402001B" w:tentative="1">
      <w:start w:val="1"/>
      <w:numFmt w:val="lowerRoman"/>
      <w:lvlText w:val="%9."/>
      <w:lvlJc w:val="right"/>
      <w:pPr>
        <w:ind w:left="7255" w:hanging="180"/>
      </w:pPr>
    </w:lvl>
  </w:abstractNum>
  <w:abstractNum w:abstractNumId="1" w15:restartNumberingAfterBreak="0">
    <w:nsid w:val="238D1DD0"/>
    <w:multiLevelType w:val="multilevel"/>
    <w:tmpl w:val="7902A0F2"/>
    <w:lvl w:ilvl="0">
      <w:start w:val="1"/>
      <w:numFmt w:val="decimal"/>
      <w:lvlText w:val="%1."/>
      <w:lvlJc w:val="left"/>
      <w:pPr>
        <w:ind w:left="1080" w:hanging="360"/>
      </w:pPr>
      <w:rPr>
        <w:rFonts w:ascii="Times New Roman" w:eastAsia="Μοντέρνα" w:hAnsi="Times New Roman" w:cs="Times New Roman"/>
      </w:rPr>
    </w:lvl>
    <w:lvl w:ilvl="1">
      <w:start w:val="1"/>
      <w:numFmt w:val="decimal"/>
      <w:isLgl/>
      <w:lvlText w:val="%1.%2."/>
      <w:lvlJc w:val="left"/>
      <w:pPr>
        <w:ind w:left="1070" w:hanging="360"/>
      </w:pPr>
      <w:rPr>
        <w:rFonts w:hint="default"/>
      </w:rPr>
    </w:lvl>
    <w:lvl w:ilvl="2">
      <w:start w:val="1"/>
      <w:numFmt w:val="decimal"/>
      <w:lvlText w:val="%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CA"/>
    <w:rsid w:val="00027268"/>
    <w:rsid w:val="00040B6D"/>
    <w:rsid w:val="00052621"/>
    <w:rsid w:val="0006051E"/>
    <w:rsid w:val="000607BC"/>
    <w:rsid w:val="00077C97"/>
    <w:rsid w:val="00081213"/>
    <w:rsid w:val="000B17C2"/>
    <w:rsid w:val="000B2B10"/>
    <w:rsid w:val="000C0D56"/>
    <w:rsid w:val="000F0B88"/>
    <w:rsid w:val="00101DE0"/>
    <w:rsid w:val="00116BD3"/>
    <w:rsid w:val="00134509"/>
    <w:rsid w:val="00152EE4"/>
    <w:rsid w:val="00171C36"/>
    <w:rsid w:val="00175898"/>
    <w:rsid w:val="001901A0"/>
    <w:rsid w:val="001B03D8"/>
    <w:rsid w:val="001D22EA"/>
    <w:rsid w:val="001E5BA2"/>
    <w:rsid w:val="001E7AC3"/>
    <w:rsid w:val="001F28A9"/>
    <w:rsid w:val="002131D0"/>
    <w:rsid w:val="00214ACA"/>
    <w:rsid w:val="00216B74"/>
    <w:rsid w:val="00224CF0"/>
    <w:rsid w:val="0029316F"/>
    <w:rsid w:val="002C72D4"/>
    <w:rsid w:val="002C749B"/>
    <w:rsid w:val="002E46E2"/>
    <w:rsid w:val="003322C7"/>
    <w:rsid w:val="00332C88"/>
    <w:rsid w:val="00336556"/>
    <w:rsid w:val="00364357"/>
    <w:rsid w:val="0038746A"/>
    <w:rsid w:val="00394FDA"/>
    <w:rsid w:val="003B19CE"/>
    <w:rsid w:val="003B2503"/>
    <w:rsid w:val="003B42F8"/>
    <w:rsid w:val="003B46BA"/>
    <w:rsid w:val="003C2111"/>
    <w:rsid w:val="003D5F6D"/>
    <w:rsid w:val="004136C6"/>
    <w:rsid w:val="00433883"/>
    <w:rsid w:val="00446CF4"/>
    <w:rsid w:val="00453BBD"/>
    <w:rsid w:val="004760D3"/>
    <w:rsid w:val="00486232"/>
    <w:rsid w:val="004F064E"/>
    <w:rsid w:val="00520539"/>
    <w:rsid w:val="00591DC7"/>
    <w:rsid w:val="005B4023"/>
    <w:rsid w:val="006120F5"/>
    <w:rsid w:val="00622761"/>
    <w:rsid w:val="0062711E"/>
    <w:rsid w:val="00644D53"/>
    <w:rsid w:val="00654814"/>
    <w:rsid w:val="006A212D"/>
    <w:rsid w:val="006C22DB"/>
    <w:rsid w:val="006D1BE4"/>
    <w:rsid w:val="006F37CE"/>
    <w:rsid w:val="00704539"/>
    <w:rsid w:val="00720749"/>
    <w:rsid w:val="00764226"/>
    <w:rsid w:val="007864F3"/>
    <w:rsid w:val="00790A9D"/>
    <w:rsid w:val="0079599A"/>
    <w:rsid w:val="007C61E0"/>
    <w:rsid w:val="007C7A6A"/>
    <w:rsid w:val="007E542A"/>
    <w:rsid w:val="007F116A"/>
    <w:rsid w:val="007F17B3"/>
    <w:rsid w:val="008077E6"/>
    <w:rsid w:val="0084567D"/>
    <w:rsid w:val="00870559"/>
    <w:rsid w:val="008748F1"/>
    <w:rsid w:val="00881B14"/>
    <w:rsid w:val="00883238"/>
    <w:rsid w:val="008D3797"/>
    <w:rsid w:val="008E71E8"/>
    <w:rsid w:val="0094060D"/>
    <w:rsid w:val="00947EBF"/>
    <w:rsid w:val="00976AB2"/>
    <w:rsid w:val="009B23D6"/>
    <w:rsid w:val="009C1B22"/>
    <w:rsid w:val="009E4021"/>
    <w:rsid w:val="009F1141"/>
    <w:rsid w:val="00A14E83"/>
    <w:rsid w:val="00A24EB2"/>
    <w:rsid w:val="00A6594C"/>
    <w:rsid w:val="00A7142A"/>
    <w:rsid w:val="00A869E9"/>
    <w:rsid w:val="00AA4979"/>
    <w:rsid w:val="00AC3D78"/>
    <w:rsid w:val="00AE4196"/>
    <w:rsid w:val="00AF2D94"/>
    <w:rsid w:val="00AF4711"/>
    <w:rsid w:val="00B0333E"/>
    <w:rsid w:val="00B07D27"/>
    <w:rsid w:val="00B55B11"/>
    <w:rsid w:val="00B610B3"/>
    <w:rsid w:val="00B77149"/>
    <w:rsid w:val="00B84C3D"/>
    <w:rsid w:val="00B9164C"/>
    <w:rsid w:val="00C14799"/>
    <w:rsid w:val="00C22E8B"/>
    <w:rsid w:val="00C616FD"/>
    <w:rsid w:val="00C93974"/>
    <w:rsid w:val="00C95B6A"/>
    <w:rsid w:val="00C97327"/>
    <w:rsid w:val="00CA0766"/>
    <w:rsid w:val="00CB089B"/>
    <w:rsid w:val="00D82477"/>
    <w:rsid w:val="00DC3EA8"/>
    <w:rsid w:val="00DD11CB"/>
    <w:rsid w:val="00DE20CA"/>
    <w:rsid w:val="00DE4F56"/>
    <w:rsid w:val="00E02A42"/>
    <w:rsid w:val="00E13DB4"/>
    <w:rsid w:val="00E234A6"/>
    <w:rsid w:val="00E563C3"/>
    <w:rsid w:val="00E67823"/>
    <w:rsid w:val="00E94555"/>
    <w:rsid w:val="00EA7047"/>
    <w:rsid w:val="00EB5089"/>
    <w:rsid w:val="00F84ACC"/>
    <w:rsid w:val="00FA00EF"/>
    <w:rsid w:val="00FB5931"/>
    <w:rsid w:val="00FC3AA9"/>
    <w:rsid w:val="00FD5EAC"/>
    <w:rsid w:val="00FD731D"/>
    <w:rsid w:val="00FF1B09"/>
    <w:rsid w:val="00FF4498"/>
    <w:rsid w:val="00FF7D1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5038FBAA"/>
  <w15:chartTrackingRefBased/>
  <w15:docId w15:val="{7C0181A5-E9D3-42BE-88F1-090519F2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ACA"/>
    <w:pPr>
      <w:tabs>
        <w:tab w:val="center" w:pos="4536"/>
        <w:tab w:val="right" w:pos="9072"/>
      </w:tabs>
    </w:pPr>
  </w:style>
  <w:style w:type="character" w:customStyle="1" w:styleId="HeaderChar">
    <w:name w:val="Header Char"/>
    <w:basedOn w:val="DefaultParagraphFont"/>
    <w:link w:val="Header"/>
    <w:uiPriority w:val="99"/>
    <w:rsid w:val="00214ACA"/>
  </w:style>
  <w:style w:type="paragraph" w:styleId="Footer">
    <w:name w:val="footer"/>
    <w:basedOn w:val="Normal"/>
    <w:link w:val="FooterChar"/>
    <w:uiPriority w:val="99"/>
    <w:unhideWhenUsed/>
    <w:rsid w:val="00214ACA"/>
    <w:pPr>
      <w:tabs>
        <w:tab w:val="center" w:pos="4536"/>
        <w:tab w:val="right" w:pos="9072"/>
      </w:tabs>
    </w:pPr>
  </w:style>
  <w:style w:type="character" w:customStyle="1" w:styleId="FooterChar">
    <w:name w:val="Footer Char"/>
    <w:basedOn w:val="DefaultParagraphFont"/>
    <w:link w:val="Footer"/>
    <w:uiPriority w:val="99"/>
    <w:rsid w:val="00214ACA"/>
  </w:style>
  <w:style w:type="paragraph" w:styleId="BodyText">
    <w:name w:val="Body Text"/>
    <w:basedOn w:val="Normal"/>
    <w:link w:val="BodyTextChar"/>
    <w:uiPriority w:val="1"/>
    <w:qFormat/>
    <w:rsid w:val="00214ACA"/>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214A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1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BE4"/>
    <w:rPr>
      <w:rFonts w:ascii="Segoe UI" w:hAnsi="Segoe UI" w:cs="Segoe UI"/>
      <w:sz w:val="18"/>
      <w:szCs w:val="18"/>
    </w:rPr>
  </w:style>
  <w:style w:type="paragraph" w:styleId="FootnoteText">
    <w:name w:val="footnote text"/>
    <w:basedOn w:val="Normal"/>
    <w:link w:val="FootnoteTextChar"/>
    <w:uiPriority w:val="99"/>
    <w:semiHidden/>
    <w:unhideWhenUsed/>
    <w:rsid w:val="004760D3"/>
    <w:rPr>
      <w:rFonts w:ascii="Μοντέρνα" w:eastAsia="Μοντέρνα" w:hAnsi="Μοντέρνα" w:cs="Times New Roman"/>
      <w:sz w:val="20"/>
      <w:szCs w:val="20"/>
      <w:lang w:val="en-GB" w:eastAsia="bg-BG"/>
    </w:rPr>
  </w:style>
  <w:style w:type="character" w:customStyle="1" w:styleId="FootnoteTextChar">
    <w:name w:val="Footnote Text Char"/>
    <w:basedOn w:val="DefaultParagraphFont"/>
    <w:link w:val="FootnoteText"/>
    <w:uiPriority w:val="99"/>
    <w:semiHidden/>
    <w:rsid w:val="004760D3"/>
    <w:rPr>
      <w:rFonts w:ascii="Μοντέρνα" w:eastAsia="Μοντέρνα" w:hAnsi="Μοντέρνα" w:cs="Times New Roman"/>
      <w:sz w:val="20"/>
      <w:szCs w:val="20"/>
      <w:lang w:val="en-GB" w:eastAsia="bg-BG"/>
    </w:rPr>
  </w:style>
  <w:style w:type="character" w:styleId="FootnoteReference">
    <w:name w:val="footnote reference"/>
    <w:uiPriority w:val="99"/>
    <w:semiHidden/>
    <w:unhideWhenUsed/>
    <w:rsid w:val="004760D3"/>
    <w:rPr>
      <w:vertAlign w:val="superscript"/>
    </w:rPr>
  </w:style>
  <w:style w:type="paragraph" w:styleId="ListParagraph">
    <w:name w:val="List Paragraph"/>
    <w:basedOn w:val="Normal"/>
    <w:uiPriority w:val="34"/>
    <w:qFormat/>
    <w:rsid w:val="002C749B"/>
    <w:pPr>
      <w:spacing w:after="160" w:line="259" w:lineRule="auto"/>
      <w:ind w:left="720"/>
      <w:contextualSpacing/>
    </w:pPr>
    <w:rPr>
      <w:rFonts w:asciiTheme="minorHAnsi" w:hAnsiTheme="minorHAnsi"/>
      <w:sz w:val="22"/>
      <w:szCs w:val="22"/>
    </w:rPr>
  </w:style>
  <w:style w:type="table" w:styleId="TableGrid">
    <w:name w:val="Table Grid"/>
    <w:basedOn w:val="TableNormal"/>
    <w:uiPriority w:val="39"/>
    <w:rsid w:val="002C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3EA8"/>
    <w:rPr>
      <w:sz w:val="16"/>
      <w:szCs w:val="16"/>
    </w:rPr>
  </w:style>
  <w:style w:type="paragraph" w:styleId="CommentText">
    <w:name w:val="annotation text"/>
    <w:basedOn w:val="Normal"/>
    <w:link w:val="CommentTextChar"/>
    <w:uiPriority w:val="99"/>
    <w:semiHidden/>
    <w:unhideWhenUsed/>
    <w:rsid w:val="00DC3EA8"/>
    <w:rPr>
      <w:sz w:val="20"/>
      <w:szCs w:val="20"/>
    </w:rPr>
  </w:style>
  <w:style w:type="character" w:customStyle="1" w:styleId="CommentTextChar">
    <w:name w:val="Comment Text Char"/>
    <w:basedOn w:val="DefaultParagraphFont"/>
    <w:link w:val="CommentText"/>
    <w:uiPriority w:val="99"/>
    <w:semiHidden/>
    <w:rsid w:val="00DC3EA8"/>
    <w:rPr>
      <w:sz w:val="20"/>
      <w:szCs w:val="20"/>
    </w:rPr>
  </w:style>
  <w:style w:type="paragraph" w:styleId="CommentSubject">
    <w:name w:val="annotation subject"/>
    <w:basedOn w:val="CommentText"/>
    <w:next w:val="CommentText"/>
    <w:link w:val="CommentSubjectChar"/>
    <w:uiPriority w:val="99"/>
    <w:semiHidden/>
    <w:unhideWhenUsed/>
    <w:rsid w:val="00DC3EA8"/>
    <w:rPr>
      <w:b/>
      <w:bCs/>
    </w:rPr>
  </w:style>
  <w:style w:type="character" w:customStyle="1" w:styleId="CommentSubjectChar">
    <w:name w:val="Comment Subject Char"/>
    <w:basedOn w:val="CommentTextChar"/>
    <w:link w:val="CommentSubject"/>
    <w:uiPriority w:val="99"/>
    <w:semiHidden/>
    <w:rsid w:val="00DC3EA8"/>
    <w:rPr>
      <w:b/>
      <w:bCs/>
      <w:sz w:val="20"/>
      <w:szCs w:val="20"/>
    </w:rPr>
  </w:style>
  <w:style w:type="paragraph" w:styleId="Revision">
    <w:name w:val="Revision"/>
    <w:hidden/>
    <w:uiPriority w:val="99"/>
    <w:semiHidden/>
    <w:rsid w:val="00622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530807343055011E-2"/>
          <c:y val="0.21332446432080249"/>
          <c:w val="0.88225012083279808"/>
          <c:h val="0.56420140262430829"/>
        </c:manualLayout>
      </c:layout>
      <c:barChart>
        <c:barDir val="col"/>
        <c:grouping val="clustered"/>
        <c:varyColors val="0"/>
        <c:ser>
          <c:idx val="0"/>
          <c:order val="0"/>
          <c:tx>
            <c:strRef>
              <c:f>Graff_BG!$B$3</c:f>
              <c:strCache>
                <c:ptCount val="1"/>
                <c:pt idx="0">
                  <c:v>Нетна добавена стойност по базисни цени</c:v>
                </c:pt>
              </c:strCache>
            </c:strRef>
          </c:tx>
          <c:spPr>
            <a:solidFill>
              <a:srgbClr val="FFFF99"/>
            </a:solidFill>
            <a:ln w="25400" cap="rnd">
              <a:noFill/>
            </a:ln>
            <a:effectLst/>
          </c:spPr>
          <c:invertIfNegative val="0"/>
          <c:cat>
            <c:numRef>
              <c:f>Graff_BG!$C$2:$S$2</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Graff_BG!$C$3:$S$3</c:f>
              <c:numCache>
                <c:formatCode>0</c:formatCode>
                <c:ptCount val="17"/>
                <c:pt idx="0">
                  <c:v>2176</c:v>
                </c:pt>
                <c:pt idx="1">
                  <c:v>3445</c:v>
                </c:pt>
                <c:pt idx="2">
                  <c:v>2187</c:v>
                </c:pt>
                <c:pt idx="3">
                  <c:v>2238</c:v>
                </c:pt>
                <c:pt idx="4">
                  <c:v>2624</c:v>
                </c:pt>
                <c:pt idx="5">
                  <c:v>2651</c:v>
                </c:pt>
                <c:pt idx="6">
                  <c:v>2644</c:v>
                </c:pt>
                <c:pt idx="7">
                  <c:v>2674</c:v>
                </c:pt>
                <c:pt idx="8">
                  <c:v>2387</c:v>
                </c:pt>
                <c:pt idx="9">
                  <c:v>2417</c:v>
                </c:pt>
                <c:pt idx="10">
                  <c:v>2635.6</c:v>
                </c:pt>
                <c:pt idx="11">
                  <c:v>2484.9</c:v>
                </c:pt>
                <c:pt idx="12" formatCode="General">
                  <c:v>2546.9</c:v>
                </c:pt>
                <c:pt idx="13" formatCode="General">
                  <c:v>2495.6999999999998</c:v>
                </c:pt>
                <c:pt idx="14" formatCode="General">
                  <c:v>4225.7</c:v>
                </c:pt>
                <c:pt idx="15" formatCode="General">
                  <c:v>4778</c:v>
                </c:pt>
                <c:pt idx="16" formatCode="General">
                  <c:v>2984.8</c:v>
                </c:pt>
              </c:numCache>
            </c:numRef>
          </c:val>
          <c:extLst>
            <c:ext xmlns:c16="http://schemas.microsoft.com/office/drawing/2014/chart" uri="{C3380CC4-5D6E-409C-BE32-E72D297353CC}">
              <c16:uniqueId val="{00000000-18BA-4BC9-AA9D-77901AB44CE7}"/>
            </c:ext>
          </c:extLst>
        </c:ser>
        <c:ser>
          <c:idx val="2"/>
          <c:order val="1"/>
          <c:tx>
            <c:strRef>
              <c:f>Graff_BG!$B$4</c:f>
              <c:strCache>
                <c:ptCount val="1"/>
                <c:pt idx="0">
                  <c:v>Нетен опериращ излишък</c:v>
                </c:pt>
              </c:strCache>
            </c:strRef>
          </c:tx>
          <c:spPr>
            <a:solidFill>
              <a:srgbClr val="FFCC66"/>
            </a:solidFill>
            <a:ln w="25400">
              <a:noFill/>
            </a:ln>
            <a:effectLst/>
          </c:spPr>
          <c:invertIfNegative val="0"/>
          <c:dPt>
            <c:idx val="2"/>
            <c:invertIfNegative val="0"/>
            <c:bubble3D val="0"/>
            <c:spPr>
              <a:solidFill>
                <a:srgbClr val="FFCC66"/>
              </a:solidFill>
              <a:ln w="25400">
                <a:noFill/>
              </a:ln>
              <a:effectLst/>
            </c:spPr>
            <c:extLst>
              <c:ext xmlns:c16="http://schemas.microsoft.com/office/drawing/2014/chart" uri="{C3380CC4-5D6E-409C-BE32-E72D297353CC}">
                <c16:uniqueId val="{00000002-18BA-4BC9-AA9D-77901AB44CE7}"/>
              </c:ext>
            </c:extLst>
          </c:dPt>
          <c:cat>
            <c:numRef>
              <c:f>Graff_BG!$C$2:$S$2</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Graff_BG!$C$4:$S$4</c:f>
              <c:numCache>
                <c:formatCode>0</c:formatCode>
                <c:ptCount val="17"/>
                <c:pt idx="0">
                  <c:v>2350</c:v>
                </c:pt>
                <c:pt idx="1">
                  <c:v>4011</c:v>
                </c:pt>
                <c:pt idx="2">
                  <c:v>2548</c:v>
                </c:pt>
                <c:pt idx="3">
                  <c:v>2722</c:v>
                </c:pt>
                <c:pt idx="4">
                  <c:v>3028</c:v>
                </c:pt>
                <c:pt idx="5">
                  <c:v>3304</c:v>
                </c:pt>
                <c:pt idx="6">
                  <c:v>3659</c:v>
                </c:pt>
                <c:pt idx="7">
                  <c:v>3560</c:v>
                </c:pt>
                <c:pt idx="8">
                  <c:v>2905</c:v>
                </c:pt>
                <c:pt idx="9">
                  <c:v>3622.4</c:v>
                </c:pt>
                <c:pt idx="10">
                  <c:v>3614.7</c:v>
                </c:pt>
                <c:pt idx="11">
                  <c:v>3600.6</c:v>
                </c:pt>
                <c:pt idx="12" formatCode="General">
                  <c:v>3688.8</c:v>
                </c:pt>
                <c:pt idx="13" formatCode="General">
                  <c:v>3666.2</c:v>
                </c:pt>
                <c:pt idx="14" formatCode="General">
                  <c:v>4949.6000000000004</c:v>
                </c:pt>
                <c:pt idx="15" formatCode="General">
                  <c:v>5743.4</c:v>
                </c:pt>
                <c:pt idx="16" formatCode="General">
                  <c:v>3604.5</c:v>
                </c:pt>
              </c:numCache>
            </c:numRef>
          </c:val>
          <c:extLst>
            <c:ext xmlns:c16="http://schemas.microsoft.com/office/drawing/2014/chart" uri="{C3380CC4-5D6E-409C-BE32-E72D297353CC}">
              <c16:uniqueId val="{00000003-18BA-4BC9-AA9D-77901AB44CE7}"/>
            </c:ext>
          </c:extLst>
        </c:ser>
        <c:dLbls>
          <c:showLegendKey val="0"/>
          <c:showVal val="0"/>
          <c:showCatName val="0"/>
          <c:showSerName val="0"/>
          <c:showPercent val="0"/>
          <c:showBubbleSize val="0"/>
        </c:dLbls>
        <c:gapWidth val="150"/>
        <c:axId val="488648680"/>
        <c:axId val="488648024"/>
      </c:barChart>
      <c:lineChart>
        <c:grouping val="standard"/>
        <c:varyColors val="0"/>
        <c:ser>
          <c:idx val="4"/>
          <c:order val="2"/>
          <c:tx>
            <c:strRef>
              <c:f>Graff_BG!$B$5</c:f>
              <c:strCache>
                <c:ptCount val="1"/>
                <c:pt idx="0">
                  <c:v>Нетен предприемачески доход</c:v>
                </c:pt>
              </c:strCache>
            </c:strRef>
          </c:tx>
          <c:spPr>
            <a:ln w="25400" cap="sq">
              <a:solidFill>
                <a:srgbClr val="CC6600"/>
              </a:solidFill>
              <a:round/>
              <a:headEnd type="none"/>
            </a:ln>
            <a:effectLst/>
          </c:spPr>
          <c:marker>
            <c:symbol val="none"/>
          </c:marker>
          <c:dPt>
            <c:idx val="11"/>
            <c:marker>
              <c:symbol val="none"/>
            </c:marker>
            <c:bubble3D val="0"/>
            <c:spPr>
              <a:ln w="25400" cap="sq">
                <a:solidFill>
                  <a:srgbClr val="CC6600"/>
                </a:solidFill>
                <a:bevel/>
                <a:headEnd type="none"/>
              </a:ln>
              <a:effectLst/>
            </c:spPr>
            <c:extLst>
              <c:ext xmlns:c16="http://schemas.microsoft.com/office/drawing/2014/chart" uri="{C3380CC4-5D6E-409C-BE32-E72D297353CC}">
                <c16:uniqueId val="{00000005-18BA-4BC9-AA9D-77901AB44CE7}"/>
              </c:ext>
            </c:extLst>
          </c:dPt>
          <c:cat>
            <c:numRef>
              <c:f>Graff_BG!$C$2:$S$2</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Graff_BG!$C$5:$S$5</c:f>
              <c:numCache>
                <c:formatCode>0</c:formatCode>
                <c:ptCount val="17"/>
                <c:pt idx="0">
                  <c:v>2111</c:v>
                </c:pt>
                <c:pt idx="1">
                  <c:v>3666</c:v>
                </c:pt>
                <c:pt idx="2">
                  <c:v>2194</c:v>
                </c:pt>
                <c:pt idx="3">
                  <c:v>2243</c:v>
                </c:pt>
                <c:pt idx="4">
                  <c:v>2468</c:v>
                </c:pt>
                <c:pt idx="5">
                  <c:v>2473</c:v>
                </c:pt>
                <c:pt idx="6">
                  <c:v>2843</c:v>
                </c:pt>
                <c:pt idx="7">
                  <c:v>2646</c:v>
                </c:pt>
                <c:pt idx="8">
                  <c:v>1861</c:v>
                </c:pt>
                <c:pt idx="9">
                  <c:v>2544.1</c:v>
                </c:pt>
                <c:pt idx="10">
                  <c:v>2459.4</c:v>
                </c:pt>
                <c:pt idx="11">
                  <c:v>2419.8000000000002</c:v>
                </c:pt>
                <c:pt idx="12" formatCode="General">
                  <c:v>2477.1999999999998</c:v>
                </c:pt>
                <c:pt idx="13" formatCode="General">
                  <c:v>2413.9</c:v>
                </c:pt>
                <c:pt idx="14" formatCode="General">
                  <c:v>3274.9</c:v>
                </c:pt>
                <c:pt idx="15" formatCode="General">
                  <c:v>3194.2</c:v>
                </c:pt>
                <c:pt idx="16" formatCode="General">
                  <c:v>969.4</c:v>
                </c:pt>
              </c:numCache>
            </c:numRef>
          </c:val>
          <c:smooth val="0"/>
          <c:extLst>
            <c:ext xmlns:c16="http://schemas.microsoft.com/office/drawing/2014/chart" uri="{C3380CC4-5D6E-409C-BE32-E72D297353CC}">
              <c16:uniqueId val="{00000006-18BA-4BC9-AA9D-77901AB44CE7}"/>
            </c:ext>
          </c:extLst>
        </c:ser>
        <c:dLbls>
          <c:showLegendKey val="0"/>
          <c:showVal val="0"/>
          <c:showCatName val="0"/>
          <c:showSerName val="0"/>
          <c:showPercent val="0"/>
          <c:showBubbleSize val="0"/>
        </c:dLbls>
        <c:upDownBars>
          <c:gapWidth val="160"/>
          <c:upBars>
            <c:spPr>
              <a:solidFill>
                <a:schemeClr val="lt1"/>
              </a:solidFill>
              <a:ln w="9525" cap="flat" cmpd="sng" algn="ctr">
                <a:solidFill>
                  <a:schemeClr val="tx1">
                    <a:lumMod val="65000"/>
                    <a:lumOff val="35000"/>
                  </a:schemeClr>
                </a:solidFill>
                <a:round/>
              </a:ln>
              <a:effectLst/>
            </c:spPr>
          </c:upBars>
          <c:downBars>
            <c:spPr>
              <a:solidFill>
                <a:schemeClr val="dk1">
                  <a:lumMod val="75000"/>
                  <a:lumOff val="25000"/>
                </a:schemeClr>
              </a:solidFill>
              <a:ln w="9525" cap="flat" cmpd="sng" algn="ctr">
                <a:solidFill>
                  <a:schemeClr val="tx1">
                    <a:lumMod val="65000"/>
                    <a:lumOff val="35000"/>
                  </a:schemeClr>
                </a:solidFill>
                <a:round/>
              </a:ln>
              <a:effectLst/>
            </c:spPr>
          </c:downBars>
        </c:upDownBars>
        <c:marker val="1"/>
        <c:smooth val="0"/>
        <c:axId val="488648680"/>
        <c:axId val="488648024"/>
      </c:lineChart>
      <c:dateAx>
        <c:axId val="488648680"/>
        <c:scaling>
          <c:orientation val="minMax"/>
        </c:scaling>
        <c:delete val="0"/>
        <c:axPos val="b"/>
        <c:majorGridlines>
          <c:spPr>
            <a:ln w="9525" cap="flat" cmpd="sng" algn="ctr">
              <a:noFill/>
              <a:round/>
            </a:ln>
            <a:effectLst/>
          </c:spPr>
        </c:majorGridlines>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Times New Roman" panose="02020603050405020304" pitchFamily="18" charset="0"/>
              </a:defRPr>
            </a:pPr>
            <a:endParaRPr lang="bg-BG"/>
          </a:p>
        </c:txPr>
        <c:crossAx val="488648024"/>
        <c:crossesAt val="0"/>
        <c:auto val="0"/>
        <c:lblOffset val="100"/>
        <c:baseTimeUnit val="days"/>
        <c:minorUnit val="1"/>
      </c:dateAx>
      <c:valAx>
        <c:axId val="488648024"/>
        <c:scaling>
          <c:orientation val="minMax"/>
          <c:max val="5000"/>
        </c:scaling>
        <c:delete val="0"/>
        <c:axPos val="l"/>
        <c:majorGridlines>
          <c:spPr>
            <a:ln w="9525" cap="flat" cmpd="sng" algn="ctr">
              <a:solidFill>
                <a:schemeClr val="tx1"/>
              </a:solidFill>
              <a:round/>
            </a:ln>
            <a:effectLst/>
          </c:spPr>
        </c:majorGridlines>
        <c:title>
          <c:tx>
            <c:rich>
              <a:bodyPr rot="0" spcFirstLastPara="1" vertOverflow="ellipsis"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bg-BG" sz="800" baseline="0">
                    <a:solidFill>
                      <a:sysClr val="windowText" lastClr="000000"/>
                    </a:solidFill>
                    <a:latin typeface="Verdana" panose="020B0604030504040204" pitchFamily="34" charset="0"/>
                    <a:ea typeface="Verdana" panose="020B0604030504040204" pitchFamily="34" charset="0"/>
                    <a:cs typeface="Times New Roman" panose="02020603050405020304" pitchFamily="18" charset="0"/>
                  </a:rPr>
                  <a:t>Млн. левове</a:t>
                </a:r>
                <a:endParaRPr lang="en-US" sz="800" baseline="0">
                  <a:solidFill>
                    <a:sysClr val="windowText" lastClr="000000"/>
                  </a:solidFill>
                  <a:latin typeface="Verdana" panose="020B0604030504040204" pitchFamily="34" charset="0"/>
                  <a:ea typeface="Verdana" panose="020B0604030504040204" pitchFamily="34" charset="0"/>
                  <a:cs typeface="Times New Roman" panose="02020603050405020304" pitchFamily="18" charset="0"/>
                </a:endParaRPr>
              </a:p>
            </c:rich>
          </c:tx>
          <c:layout>
            <c:manualLayout>
              <c:xMode val="edge"/>
              <c:yMode val="edge"/>
              <c:x val="6.4608956300462927E-2"/>
              <c:y val="0.12966108744603647"/>
            </c:manualLayout>
          </c:layout>
          <c:overlay val="0"/>
          <c:spPr>
            <a:noFill/>
            <a:ln>
              <a:noFill/>
            </a:ln>
            <a:effectLst/>
          </c:spPr>
          <c:txPr>
            <a:bodyPr rot="0" spcFirstLastPara="1" vertOverflow="ellipsis"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bg-BG"/>
            </a:p>
          </c:txPr>
        </c:title>
        <c:numFmt formatCode="0" sourceLinked="1"/>
        <c:majorTickMark val="out"/>
        <c:minorTickMark val="none"/>
        <c:tickLblPos val="nextTo"/>
        <c:spPr>
          <a:noFill/>
          <a:ln w="9525" cap="flat" cmpd="sng" algn="ctr">
            <a:noFill/>
            <a:round/>
          </a:ln>
          <a:effectLst/>
        </c:spPr>
        <c:txPr>
          <a:bodyPr rot="0" spcFirstLastPara="1" vertOverflow="ellipsis"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Times New Roman" panose="02020603050405020304" pitchFamily="18" charset="0"/>
              </a:defRPr>
            </a:pPr>
            <a:endParaRPr lang="bg-BG"/>
          </a:p>
        </c:txPr>
        <c:crossAx val="488648680"/>
        <c:crossesAt val="1"/>
        <c:crossBetween val="between"/>
        <c:majorUnit val="1000"/>
        <c:minorUnit val="500"/>
      </c:valAx>
      <c:spPr>
        <a:noFill/>
        <a:ln w="0">
          <a:noFill/>
        </a:ln>
        <a:effectLst>
          <a:outerShdw dir="5400000" sx="1000" sy="1000" algn="ctr" rotWithShape="0">
            <a:srgbClr val="000000"/>
          </a:outerShdw>
        </a:effectLst>
      </c:spPr>
    </c:plotArea>
    <c:legend>
      <c:legendPos val="b"/>
      <c:layout>
        <c:manualLayout>
          <c:xMode val="edge"/>
          <c:yMode val="edge"/>
          <c:x val="0"/>
          <c:y val="0.90357150274048992"/>
          <c:w val="0.99807409697799454"/>
          <c:h val="9.4995870494885642E-2"/>
        </c:manualLayout>
      </c:layout>
      <c:overlay val="0"/>
      <c:spPr>
        <a:noFill/>
        <a:ln>
          <a:noFill/>
        </a:ln>
        <a:effectLst>
          <a:glow>
            <a:schemeClr val="accent1">
              <a:alpha val="40000"/>
            </a:schemeClr>
          </a:glow>
        </a:effectLst>
      </c:spPr>
      <c:txPr>
        <a:bodyPr rot="0" spcFirstLastPara="1" vertOverflow="ellipsis" vert="horz" wrap="square" anchor="ctr" anchorCtr="1"/>
        <a:lstStyle/>
        <a:p>
          <a:pPr rtl="0">
            <a:defRPr sz="800" b="0" i="0" u="none" strike="noStrike" kern="1200" baseline="0">
              <a:solidFill>
                <a:sysClr val="windowText" lastClr="000000"/>
              </a:solidFill>
              <a:latin typeface="Verdana" panose="020B0604030504040204" pitchFamily="34" charset="0"/>
              <a:ea typeface="Verdana" panose="020B0604030504040204" pitchFamily="34" charset="0"/>
              <a:cs typeface="Times New Roman" panose="02020603050405020304" pitchFamily="18" charset="0"/>
            </a:defRPr>
          </a:pPr>
          <a:endParaRPr lang="bg-BG"/>
        </a:p>
      </c:txPr>
    </c:legend>
    <c:plotVisOnly val="1"/>
    <c:dispBlanksAs val="gap"/>
    <c:showDLblsOverMax val="0"/>
  </c:chart>
  <c:spPr>
    <a:solidFill>
      <a:schemeClr val="bg1"/>
    </a:solidFill>
    <a:ln w="9525" cap="flat" cmpd="sng" algn="ctr">
      <a:noFill/>
      <a:round/>
    </a:ln>
    <a:effectLst/>
  </c:spPr>
  <c:txPr>
    <a:bodyPr/>
    <a:lstStyle/>
    <a:p>
      <a:pPr>
        <a:defRPr/>
      </a:pPr>
      <a:endParaRPr lang="bg-B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C1032-6FDA-4F7E-887B-E7BCE704F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Dilena Pitova</dc:creator>
  <cp:keywords/>
  <dc:description/>
  <cp:lastModifiedBy>Zornitsa Ivanova</cp:lastModifiedBy>
  <cp:revision>5</cp:revision>
  <dcterms:created xsi:type="dcterms:W3CDTF">2024-10-08T12:18:00Z</dcterms:created>
  <dcterms:modified xsi:type="dcterms:W3CDTF">2024-10-08T13:30:00Z</dcterms:modified>
</cp:coreProperties>
</file>