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E6" w:rsidRPr="00C05622" w:rsidRDefault="006701E6" w:rsidP="006701E6">
      <w:pPr>
        <w:pStyle w:val="Title"/>
        <w:pBdr>
          <w:bottom w:val="single" w:sz="6" w:space="1" w:color="auto"/>
        </w:pBdr>
        <w:rPr>
          <w:sz w:val="24"/>
        </w:rPr>
      </w:pPr>
      <w:r w:rsidRPr="00C05622">
        <w:rPr>
          <w:sz w:val="24"/>
        </w:rPr>
        <w:t>МИНИСТЕРСТВО НА ФИНАНСИТЕ</w:t>
      </w:r>
    </w:p>
    <w:p w:rsidR="006701E6" w:rsidRPr="00C05622" w:rsidRDefault="006701E6" w:rsidP="006701E6">
      <w:pPr>
        <w:pStyle w:val="Subtitle"/>
        <w:rPr>
          <w:b w:val="0"/>
          <w:caps/>
          <w:sz w:val="24"/>
        </w:rPr>
      </w:pPr>
      <w:r w:rsidRPr="00C05622">
        <w:rPr>
          <w:sz w:val="24"/>
        </w:rPr>
        <w:t xml:space="preserve">ДИРЕКЦИЯ "ВРЪЗКИ С </w:t>
      </w:r>
      <w:r w:rsidRPr="00C05622">
        <w:rPr>
          <w:caps/>
          <w:sz w:val="24"/>
        </w:rPr>
        <w:t>ОБЩЕСТВЕНОСТТА И ПРОТОКОЛ</w:t>
      </w:r>
      <w:r w:rsidRPr="00C05622">
        <w:rPr>
          <w:b w:val="0"/>
          <w:caps/>
          <w:sz w:val="24"/>
        </w:rPr>
        <w:t>"</w:t>
      </w:r>
    </w:p>
    <w:p w:rsidR="006701E6" w:rsidRPr="00C05622" w:rsidRDefault="006701E6" w:rsidP="006701E6">
      <w:pPr>
        <w:pStyle w:val="Heading1"/>
        <w:spacing w:before="0" w:line="240" w:lineRule="auto"/>
      </w:pPr>
      <w:r w:rsidRPr="00C05622">
        <w:t xml:space="preserve">      1040 София</w:t>
      </w:r>
      <w:r w:rsidRPr="00C05622">
        <w:tab/>
      </w:r>
      <w:r w:rsidRPr="00C05622">
        <w:tab/>
      </w:r>
      <w:r w:rsidRPr="00C05622">
        <w:tab/>
      </w:r>
      <w:r w:rsidRPr="00C05622">
        <w:tab/>
      </w:r>
      <w:r w:rsidRPr="00C05622">
        <w:tab/>
      </w:r>
      <w:r w:rsidRPr="00C05622">
        <w:tab/>
      </w:r>
      <w:r w:rsidRPr="00C05622">
        <w:tab/>
        <w:t>тел.: 9859 20 22</w:t>
      </w:r>
    </w:p>
    <w:p w:rsidR="006701E6" w:rsidRPr="00C05622" w:rsidRDefault="006701E6" w:rsidP="006701E6">
      <w:pPr>
        <w:pBdr>
          <w:bottom w:val="single" w:sz="4" w:space="1" w:color="auto"/>
        </w:pBdr>
        <w:jc w:val="both"/>
        <w:rPr>
          <w:lang w:val="bg-BG"/>
        </w:rPr>
      </w:pPr>
      <w:r w:rsidRPr="00C05622">
        <w:rPr>
          <w:lang w:val="bg-BG"/>
        </w:rPr>
        <w:t xml:space="preserve">      ул. “Раковски” № 102</w:t>
      </w:r>
      <w:r w:rsidRPr="00C05622">
        <w:rPr>
          <w:lang w:val="bg-BG"/>
        </w:rPr>
        <w:tab/>
      </w:r>
      <w:r w:rsidRPr="00C05622">
        <w:rPr>
          <w:lang w:val="bg-BG"/>
        </w:rPr>
        <w:tab/>
      </w:r>
      <w:r w:rsidRPr="00C05622">
        <w:rPr>
          <w:lang w:val="bg-BG"/>
        </w:rPr>
        <w:tab/>
      </w:r>
      <w:r w:rsidRPr="00C05622">
        <w:rPr>
          <w:lang w:val="bg-BG"/>
        </w:rPr>
        <w:tab/>
      </w:r>
      <w:r w:rsidRPr="00C05622">
        <w:rPr>
          <w:lang w:val="bg-BG"/>
        </w:rPr>
        <w:tab/>
      </w:r>
      <w:r w:rsidRPr="00C05622">
        <w:rPr>
          <w:lang w:val="bg-BG"/>
        </w:rPr>
        <w:tab/>
      </w:r>
      <w:hyperlink r:id="rId8" w:history="1">
        <w:r w:rsidRPr="00C05622">
          <w:rPr>
            <w:rStyle w:val="Hyperlink"/>
            <w:lang w:val="bg-BG"/>
          </w:rPr>
          <w:t>press-office@minfin.bg</w:t>
        </w:r>
      </w:hyperlink>
      <w:r w:rsidRPr="00C05622">
        <w:rPr>
          <w:lang w:val="bg-BG"/>
        </w:rPr>
        <w:t xml:space="preserve"> </w:t>
      </w:r>
    </w:p>
    <w:p w:rsidR="006701E6" w:rsidRPr="00C05622" w:rsidRDefault="006701E6" w:rsidP="006701E6">
      <w:pPr>
        <w:ind w:left="360" w:hanging="360"/>
        <w:jc w:val="both"/>
        <w:rPr>
          <w:szCs w:val="20"/>
          <w:lang w:val="bg-BG" w:eastAsia="en-US"/>
        </w:rPr>
      </w:pPr>
      <w:r w:rsidRPr="00C05622">
        <w:rPr>
          <w:lang w:val="bg-BG"/>
        </w:rPr>
        <w:t xml:space="preserve">      WEB site: </w:t>
      </w:r>
      <w:hyperlink r:id="rId9" w:history="1">
        <w:r w:rsidRPr="00C05622">
          <w:rPr>
            <w:rStyle w:val="Hyperlink"/>
            <w:lang w:val="bg-BG"/>
          </w:rPr>
          <w:t>http://www.minfin.bg</w:t>
        </w:r>
      </w:hyperlink>
      <w:r w:rsidRPr="00C05622">
        <w:rPr>
          <w:rStyle w:val="Hyperlink"/>
          <w:lang w:val="bg-BG"/>
        </w:rPr>
        <w:t xml:space="preserve"> </w:t>
      </w:r>
      <w:r w:rsidRPr="00C05622">
        <w:rPr>
          <w:lang w:val="bg-BG"/>
        </w:rPr>
        <w:t xml:space="preserve">                                     </w:t>
      </w:r>
    </w:p>
    <w:p w:rsidR="006701E6" w:rsidRPr="00C05622" w:rsidRDefault="006701E6" w:rsidP="006701E6">
      <w:pPr>
        <w:jc w:val="center"/>
        <w:rPr>
          <w:b/>
          <w:sz w:val="28"/>
          <w:szCs w:val="20"/>
          <w:lang w:val="bg-BG" w:eastAsia="en-US"/>
        </w:rPr>
      </w:pPr>
    </w:p>
    <w:p w:rsidR="00866FBD" w:rsidRPr="00C36983" w:rsidRDefault="00C36983" w:rsidP="00866FBD">
      <w:pPr>
        <w:jc w:val="center"/>
        <w:rPr>
          <w:rFonts w:eastAsia="Batang"/>
          <w:b/>
          <w:lang w:val="bg-BG" w:eastAsia="ko-KR"/>
        </w:rPr>
      </w:pPr>
      <w:r w:rsidRPr="00C36983">
        <w:rPr>
          <w:rFonts w:eastAsia="Batang"/>
          <w:b/>
          <w:lang w:val="bg-BG" w:eastAsia="ko-KR"/>
        </w:rPr>
        <w:t>Бюджетът за 2022 г. се очаква да приключи на дефицит от 2.9 на сто от прогнозния БВП</w:t>
      </w:r>
    </w:p>
    <w:p w:rsidR="00C36983" w:rsidRPr="00C05622" w:rsidRDefault="00C36983" w:rsidP="00866FBD">
      <w:pPr>
        <w:jc w:val="center"/>
        <w:rPr>
          <w:b/>
          <w:lang w:val="bg-BG" w:eastAsia="en-US"/>
        </w:rPr>
      </w:pPr>
    </w:p>
    <w:p w:rsidR="006701E6" w:rsidRPr="00EC1E6D" w:rsidRDefault="00EC1E6D" w:rsidP="006701E6">
      <w:pPr>
        <w:shd w:val="pct10" w:color="auto" w:fill="FFFFFF"/>
        <w:ind w:left="360" w:hanging="360"/>
        <w:jc w:val="both"/>
        <w:rPr>
          <w:szCs w:val="20"/>
          <w:lang w:val="bg-BG" w:eastAsia="en-US"/>
        </w:rPr>
      </w:pPr>
      <w:bookmarkStart w:id="0" w:name="OLE_LINK3"/>
      <w:bookmarkStart w:id="1" w:name="OLE_LINK4"/>
      <w:r>
        <w:rPr>
          <w:szCs w:val="20"/>
          <w:lang w:val="en-US" w:eastAsia="en-US"/>
        </w:rPr>
        <w:t>3</w:t>
      </w:r>
      <w:r w:rsidR="00866FBD">
        <w:rPr>
          <w:szCs w:val="20"/>
          <w:lang w:val="bg-BG" w:eastAsia="en-US"/>
        </w:rPr>
        <w:t>0</w:t>
      </w:r>
      <w:r w:rsidR="006701E6" w:rsidRPr="00C05622">
        <w:rPr>
          <w:szCs w:val="20"/>
          <w:lang w:val="bg-BG" w:eastAsia="en-US"/>
        </w:rPr>
        <w:t>.1</w:t>
      </w:r>
      <w:r w:rsidR="00C36983">
        <w:rPr>
          <w:szCs w:val="20"/>
          <w:lang w:val="bg-BG" w:eastAsia="en-US"/>
        </w:rPr>
        <w:t>2</w:t>
      </w:r>
      <w:r w:rsidR="006701E6" w:rsidRPr="00C05622">
        <w:rPr>
          <w:szCs w:val="20"/>
          <w:lang w:val="bg-BG" w:eastAsia="en-US"/>
        </w:rPr>
        <w:t xml:space="preserve">.2022 г., </w:t>
      </w:r>
      <w:r w:rsidR="00C36983">
        <w:rPr>
          <w:szCs w:val="20"/>
          <w:lang w:val="bg-BG" w:eastAsia="en-US"/>
        </w:rPr>
        <w:t>петък</w:t>
      </w:r>
    </w:p>
    <w:bookmarkEnd w:id="0"/>
    <w:bookmarkEnd w:id="1"/>
    <w:p w:rsidR="006701E6" w:rsidRDefault="006701E6" w:rsidP="00237710">
      <w:pPr>
        <w:jc w:val="center"/>
        <w:rPr>
          <w:rFonts w:eastAsia="Batang"/>
          <w:b/>
          <w:lang w:val="bg-BG" w:eastAsia="ko-KR"/>
        </w:rPr>
      </w:pPr>
    </w:p>
    <w:p w:rsidR="00C36983" w:rsidRPr="00C36983" w:rsidRDefault="00C36983" w:rsidP="00C36983">
      <w:pPr>
        <w:spacing w:after="120"/>
        <w:ind w:firstLine="562"/>
        <w:jc w:val="both"/>
        <w:rPr>
          <w:color w:val="000000" w:themeColor="text1"/>
          <w:lang w:val="bg-BG" w:eastAsia="en-US"/>
        </w:rPr>
      </w:pPr>
      <w:r w:rsidRPr="00C36983">
        <w:rPr>
          <w:b/>
          <w:bCs/>
          <w:color w:val="000000" w:themeColor="text1"/>
          <w:lang w:val="bg-BG" w:eastAsia="en-US"/>
        </w:rPr>
        <w:t>Дефицитът на бюджета на начислена основа за 2022 г. се очаква да бъде около 2,9 % от прогнозния БВП</w:t>
      </w:r>
    </w:p>
    <w:p w:rsidR="00C36983" w:rsidRPr="00C36983" w:rsidRDefault="00C36983" w:rsidP="00C36983">
      <w:pPr>
        <w:spacing w:after="120"/>
        <w:ind w:firstLine="562"/>
        <w:jc w:val="both"/>
        <w:rPr>
          <w:b/>
          <w:color w:val="000000" w:themeColor="text1"/>
          <w:lang w:val="bg-BG" w:eastAsia="en-US"/>
        </w:rPr>
      </w:pPr>
      <w:r w:rsidRPr="00C36983">
        <w:rPr>
          <w:color w:val="000000" w:themeColor="text1"/>
          <w:lang w:val="bg-BG" w:eastAsia="en-US"/>
        </w:rPr>
        <w:t>Дефицитът за 2022 г., оценен по методологията на Европейската система от национални и регионални сметки (ЕСС 2010), се очаква да бъде в размер на около 2,9 % от БВП,  което е в рамките на критериите на Пакта за стабилност и растеж и дава стабилна перспектива при оценката за конвергенция в доклада на ЕК и ЕЦБ в хода на процеса на присъединяване на България към Еврозоната.</w:t>
      </w:r>
    </w:p>
    <w:p w:rsidR="00C36983" w:rsidRPr="00C36983" w:rsidRDefault="00C36983" w:rsidP="00C36983">
      <w:pPr>
        <w:spacing w:after="120"/>
        <w:ind w:firstLine="562"/>
        <w:jc w:val="both"/>
        <w:rPr>
          <w:color w:val="000000" w:themeColor="text1"/>
          <w:lang w:val="bg-BG" w:eastAsia="en-US"/>
        </w:rPr>
      </w:pPr>
      <w:r w:rsidRPr="00C36983">
        <w:rPr>
          <w:b/>
          <w:color w:val="000000" w:themeColor="text1"/>
          <w:lang w:val="bg-BG" w:eastAsia="en-US"/>
        </w:rPr>
        <w:t>Не се оправдаха очакванията за огромно преизпълнение  в данъчно-осигурителните приходи за 2022 г. от ревизирания размер на БВП</w:t>
      </w:r>
    </w:p>
    <w:p w:rsidR="00C36983" w:rsidRPr="00C36983" w:rsidRDefault="00C36983" w:rsidP="00C36983">
      <w:pPr>
        <w:spacing w:after="120"/>
        <w:ind w:firstLine="562"/>
        <w:jc w:val="both"/>
        <w:rPr>
          <w:b/>
          <w:color w:val="000000" w:themeColor="text1"/>
          <w:lang w:val="bg-BG" w:eastAsia="en-US"/>
        </w:rPr>
      </w:pPr>
      <w:r w:rsidRPr="00C36983">
        <w:rPr>
          <w:color w:val="000000" w:themeColor="text1"/>
          <w:lang w:val="bg-BG" w:eastAsia="en-US"/>
        </w:rPr>
        <w:t>Въпреки, че номиналният размер на прогнозния БВП за 2022 г. бе увеличен с над 11 млрд. лв. спрямо прогнозата към актуализацията на ЗДБРБ за 2022 г., превишението на приходите над заложеното в актуализираните годишни разчети от юли при елиминиране на приходите с еднократен извънреден характер е в размер на 2,1 на сто, и е свързано основно с по-високи приходи от продажба на квоти за парникови газове по бюджета на Фонд „Сигурност на електроенергийната система“, по-високи приходи по бюджетите на социално и здравноосигурителните фондове и по общинските бюджети, и в малка степен на данъчните приходи по държавния бюджет. Параметрите по изпълнението на приходите по КФП са добри, но не се дължат на трайна промяна в икономиката, която да позволи приходите по бюджета да нарастват трайно и устойчиво през следващите години.</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t>Приходите, помощите и даренията по консолидираната фискална програма (КФП) към декември 2022 г. са в размер на 64,7 млрд. лв., вкл. 3,8 млрд. лв. приходи с еднократен извънреден характер за компенсация на високите цени на електроенергия на свободния пазар, които не са включени в разчетите към ЗДБРБ за 2022 г. При  елиминиране въздействието на еднократните извънредни приходи, то приходите, помощите и даренията по КФП за 2022 г. са в размер на 60,9 млрд. лв., което представлява минимално превишение на разчетите към ЗДБРБ за 2022 г. с около 2,1 на сто.</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t>Данъчно-осигурителните приходи на съпоставима база са в размер на 46,6 млрд. лв., което е с 1,1 на сто  над заложеното в разчетите към ЗДБРБ за 2022 г., което произтича от социални и здравноосигурителни вноски и  имуществените данъци.</w:t>
      </w:r>
    </w:p>
    <w:p w:rsidR="00C36983" w:rsidRPr="00C36983" w:rsidRDefault="00C36983" w:rsidP="00C36983">
      <w:pPr>
        <w:spacing w:after="120"/>
        <w:ind w:firstLine="562"/>
        <w:jc w:val="both"/>
        <w:rPr>
          <w:b/>
          <w:i/>
          <w:color w:val="000000" w:themeColor="text1"/>
          <w:lang w:val="bg-BG" w:eastAsia="en-US"/>
        </w:rPr>
      </w:pPr>
      <w:r w:rsidRPr="00C36983">
        <w:rPr>
          <w:color w:val="000000" w:themeColor="text1"/>
          <w:lang w:val="bg-BG" w:eastAsia="en-US"/>
        </w:rPr>
        <w:t xml:space="preserve"> Данъчните приходи по държавния бюджет са в размер на 31,6 млрд. лв. или с 0,1 млрд. лв. повече спрямо планираното със ЗДБРБ за 2022 г. Преизпълнение има при корпоративните данъци и ДДФЛ, а приходите от косвени данъци са по-ниски от планираните за годината. При приходите от ДДС данните показват, че съпоставено с разчетите към ЗДБРБ за 2022 г. се очаква постъпленията за годината да са с около 0,67 млрд. лв. по ниски от планираните. </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t xml:space="preserve">На съпоставима база при елиминиране на въздействието на еднократни извънредни приходи, неданъчните приходи по КФП за 2022 г. са в размер на 8,3 млрд. лв., което представлява преизпълнение на годишния разчет с 13,3 на сто. </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t>В частта на помощите и даренията се очаква приходите да бъдат по-ниски от разчетените със ЗДБРБ за 2022 г. с около 0,2 млрд. лв., което се дължи на по-ниското усвояване на разходите по сметките за средства от ЕС, респективно по-ниският размер на възстановените разходи от ЕК</w:t>
      </w:r>
    </w:p>
    <w:p w:rsidR="00C36983" w:rsidRPr="00C36983" w:rsidRDefault="00C36983" w:rsidP="00C36983">
      <w:pPr>
        <w:spacing w:after="120"/>
        <w:ind w:firstLine="562"/>
        <w:jc w:val="both"/>
        <w:rPr>
          <w:b/>
          <w:color w:val="000000" w:themeColor="text1"/>
          <w:lang w:val="bg-BG" w:eastAsia="en-US"/>
        </w:rPr>
      </w:pPr>
      <w:r w:rsidRPr="00C36983">
        <w:rPr>
          <w:b/>
          <w:color w:val="000000" w:themeColor="text1"/>
          <w:lang w:val="bg-BG" w:eastAsia="en-US"/>
        </w:rPr>
        <w:t>Разходите по КФП за 2022 г. са изпълнени на 95.6 на сто</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lastRenderedPageBreak/>
        <w:t xml:space="preserve">Разходите по КФП за 2022 г. са в размер на 62,9 млн. лв., като се елиминират  3,3 млрд. лв. разходи с еднократен извънреден характер за компенсации към небитовите потребители на електрическа енергия и представлява 95.6% от разчета към ЗДБРБ за 2022 г. </w:t>
      </w:r>
    </w:p>
    <w:p w:rsidR="00C36983" w:rsidRPr="00C36983" w:rsidRDefault="00C36983" w:rsidP="00C36983">
      <w:pPr>
        <w:spacing w:after="120"/>
        <w:ind w:firstLine="562"/>
        <w:jc w:val="both"/>
        <w:rPr>
          <w:b/>
          <w:color w:val="000000" w:themeColor="text1"/>
          <w:lang w:val="bg-BG" w:eastAsia="en-US"/>
        </w:rPr>
      </w:pPr>
      <w:r w:rsidRPr="00C36983">
        <w:rPr>
          <w:b/>
          <w:color w:val="000000" w:themeColor="text1"/>
          <w:lang w:val="bg-BG" w:eastAsia="en-US"/>
        </w:rPr>
        <w:t>Усвояването на европейските фондове е слабо, най-вече  на проектите по Плана за възстановяване и устойчивост</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t xml:space="preserve">Най-съществено забавяне при усвояването на планираните разходи има при разходите по сметките за средства от ЕС. Основен принос за това има ниското усвояване на разходите по Плана за възстановяване и устойчивост (ПВУ) и някои оперативни програми от програмния период 2021-2027 г., като по-ниски от планираните са и разходите и предоставените трансфери по държавния бюджет. Разходите и предоставените трансфери по сметките за средства от ЕС са с около 2,7 млрд. лв. по-ниски от планираните с разчетите за годината. През месец декември постъпи първият транш по ПВУ за България в размер на около 2,7 млрд. лв., но данните сочат, че ефективно усвоените разходи по ПВУ са едва 0,1 млрд. лв. </w:t>
      </w:r>
    </w:p>
    <w:p w:rsidR="00C36983" w:rsidRPr="00C36983" w:rsidRDefault="00C36983" w:rsidP="00C36983">
      <w:pPr>
        <w:spacing w:after="120"/>
        <w:ind w:firstLine="562"/>
        <w:jc w:val="both"/>
        <w:rPr>
          <w:b/>
          <w:color w:val="000000" w:themeColor="text1"/>
          <w:lang w:val="bg-BG" w:eastAsia="en-US"/>
        </w:rPr>
      </w:pPr>
      <w:r w:rsidRPr="00C36983">
        <w:rPr>
          <w:b/>
          <w:color w:val="000000" w:themeColor="text1"/>
          <w:lang w:val="bg-BG" w:eastAsia="en-US"/>
        </w:rPr>
        <w:t>Изпълнението на инвестиционната програма е слабо</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t>По-ниско от планираното е и усвояването на капиталовите разходи по държавния бюджет. Забавянето при изпълнението на проектите и програмите измества голяма част от планираните за 2022 г. разходи в 2023 г. и следващите години, което от една страна подобрява касовото салдо за 2022 г., но от друга води до натиск върху бюджета за 2023 г.</w:t>
      </w:r>
    </w:p>
    <w:p w:rsidR="00C36983" w:rsidRPr="00C36983" w:rsidRDefault="00C36983" w:rsidP="00C36983">
      <w:pPr>
        <w:spacing w:after="120"/>
        <w:ind w:firstLine="562"/>
        <w:jc w:val="both"/>
        <w:rPr>
          <w:b/>
          <w:color w:val="000000" w:themeColor="text1"/>
          <w:lang w:val="bg-BG" w:eastAsia="en-US"/>
        </w:rPr>
      </w:pPr>
      <w:r w:rsidRPr="00C36983">
        <w:rPr>
          <w:b/>
          <w:color w:val="000000" w:themeColor="text1"/>
          <w:lang w:val="bg-BG" w:eastAsia="en-US"/>
        </w:rPr>
        <w:t>Огромните ангажименти за постоянни текущи разходи намаляват възможностите за нови политики и предрешават действията на следващите правителства</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t>Оценките сочат, че за 2022 г. България ще формира значителен първичен структурен дефицит, което е свързано с относително високия растеж на национално финансирани първични текущи разходи, по-голямата част от който се дължи на мерки с постоянно действие.</w:t>
      </w:r>
    </w:p>
    <w:p w:rsidR="00C36983" w:rsidRDefault="00C36983" w:rsidP="00C36983">
      <w:pPr>
        <w:spacing w:after="120"/>
        <w:ind w:firstLine="562"/>
        <w:jc w:val="both"/>
        <w:rPr>
          <w:color w:val="000000" w:themeColor="text1"/>
          <w:lang w:val="bg-BG" w:eastAsia="en-US"/>
        </w:rPr>
      </w:pPr>
      <w:r w:rsidRPr="00C36983">
        <w:rPr>
          <w:color w:val="000000" w:themeColor="text1"/>
          <w:lang w:val="bg-BG" w:eastAsia="en-US"/>
        </w:rPr>
        <w:t>На база на предварителни данни и оценки</w:t>
      </w:r>
      <w:r w:rsidRPr="00C36983">
        <w:rPr>
          <w:b/>
          <w:color w:val="000000" w:themeColor="text1"/>
          <w:lang w:val="bg-BG" w:eastAsia="en-US"/>
        </w:rPr>
        <w:t xml:space="preserve"> </w:t>
      </w:r>
      <w:r w:rsidRPr="00C36983">
        <w:rPr>
          <w:color w:val="000000" w:themeColor="text1"/>
          <w:lang w:val="bg-BG" w:eastAsia="en-US"/>
        </w:rPr>
        <w:t>бюджетното салдо на касова основа по КФП за 2022 г., се очаква да бъде отрицателно в размер на 1,5 млрд. лв. (1,0 % от прогнозния БВП), и се формира от дефицит по националния бюджет в размер на 5,2 млрд. лв. (дефицит в размер на 3,3 % от прогнозния БВП) и излишък по сметките за средства от ЕС в размер на 3,7 млрд. лв.  (излишък в размер на 2,3 % от прогнозния БВП).</w:t>
      </w:r>
    </w:p>
    <w:p w:rsidR="00C36983" w:rsidRPr="00C36983" w:rsidRDefault="00C36983" w:rsidP="00C36983">
      <w:pPr>
        <w:spacing w:after="120"/>
        <w:ind w:firstLine="562"/>
        <w:jc w:val="both"/>
        <w:rPr>
          <w:b/>
          <w:color w:val="000000" w:themeColor="text1"/>
          <w:sz w:val="22"/>
          <w:lang w:val="bg-BG" w:eastAsia="en-US"/>
        </w:rPr>
      </w:pPr>
      <w:r w:rsidRPr="00C36983">
        <w:rPr>
          <w:b/>
          <w:color w:val="000000" w:themeColor="text1"/>
          <w:sz w:val="22"/>
          <w:lang w:val="bg-BG" w:eastAsia="en-US"/>
        </w:rPr>
        <w:t>Графика 1</w:t>
      </w:r>
    </w:p>
    <w:p w:rsidR="00C36983" w:rsidRPr="00C36983" w:rsidRDefault="00C36983" w:rsidP="00C36983">
      <w:pPr>
        <w:spacing w:after="120"/>
        <w:ind w:firstLine="562"/>
        <w:jc w:val="both"/>
        <w:rPr>
          <w:b/>
          <w:color w:val="000000" w:themeColor="text1"/>
          <w:lang w:val="bg-BG" w:eastAsia="en-US"/>
        </w:rPr>
      </w:pPr>
      <w:r w:rsidRPr="00C36983">
        <w:rPr>
          <w:noProof/>
          <w:color w:val="000000" w:themeColor="text1"/>
          <w:lang w:val="en-US" w:eastAsia="en-US"/>
        </w:rPr>
        <w:drawing>
          <wp:inline distT="0" distB="0" distL="0" distR="0" wp14:anchorId="326A74B2" wp14:editId="390BB153">
            <wp:extent cx="5760720" cy="3462020"/>
            <wp:effectExtent l="0" t="0" r="1143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6983" w:rsidRDefault="00C36983" w:rsidP="00C36983">
      <w:pPr>
        <w:spacing w:after="120"/>
        <w:ind w:firstLine="562"/>
        <w:jc w:val="both"/>
        <w:rPr>
          <w:b/>
          <w:color w:val="000000" w:themeColor="text1"/>
          <w:lang w:val="bg-BG" w:eastAsia="en-US"/>
        </w:rPr>
      </w:pPr>
      <w:bookmarkStart w:id="2" w:name="_GoBack"/>
      <w:bookmarkEnd w:id="2"/>
    </w:p>
    <w:p w:rsidR="00C36983" w:rsidRPr="00C36983" w:rsidRDefault="00C36983" w:rsidP="00C36983">
      <w:pPr>
        <w:spacing w:after="120"/>
        <w:ind w:firstLine="562"/>
        <w:jc w:val="both"/>
        <w:rPr>
          <w:b/>
          <w:color w:val="000000" w:themeColor="text1"/>
          <w:lang w:val="bg-BG" w:eastAsia="en-US"/>
        </w:rPr>
      </w:pPr>
    </w:p>
    <w:p w:rsidR="00C36983" w:rsidRPr="00C36983" w:rsidRDefault="00C36983" w:rsidP="00C36983">
      <w:pPr>
        <w:spacing w:after="120"/>
        <w:ind w:firstLine="562"/>
        <w:jc w:val="both"/>
        <w:rPr>
          <w:b/>
          <w:color w:val="000000" w:themeColor="text1"/>
          <w:lang w:val="bg-BG" w:eastAsia="en-US"/>
        </w:rPr>
      </w:pPr>
      <w:r w:rsidRPr="00C36983">
        <w:rPr>
          <w:b/>
          <w:color w:val="000000" w:themeColor="text1"/>
          <w:lang w:val="bg-BG" w:eastAsia="en-US"/>
        </w:rPr>
        <w:lastRenderedPageBreak/>
        <w:t>Към края на декември 2022 г. централният бюджет е използвал 4.1 млрд. лв. за сметка на наличностите в останалите позиции във фискалния резерв, които са на други бюджетни системи</w:t>
      </w:r>
    </w:p>
    <w:p w:rsidR="00C36983" w:rsidRPr="00C36983" w:rsidRDefault="00C36983" w:rsidP="00C36983">
      <w:pPr>
        <w:spacing w:after="120"/>
        <w:ind w:firstLine="562"/>
        <w:jc w:val="both"/>
        <w:rPr>
          <w:color w:val="000000" w:themeColor="text1"/>
          <w:lang w:val="bg-BG" w:eastAsia="en-US"/>
        </w:rPr>
      </w:pPr>
      <w:r w:rsidRPr="00C36983">
        <w:rPr>
          <w:color w:val="000000" w:themeColor="text1"/>
          <w:lang w:val="bg-BG" w:eastAsia="en-US"/>
        </w:rPr>
        <w:t>Фискалният резерв  включва всички салда на банкови сметки на бюджетните организации, активите на Държавния фонд за гарантиране устойчивост на държавната пенсионна система, средствата от фондовете на европейския съюз, плана за възстановяване и устойчивост, както и авансите по тях, сметките за чужди средства и централния бюджет. Системата на единната сметка дава възможност за гъвкаво и ефективно управление на финансовия ресурс на бюджета. Наличностите на фискалния резерв към 31.12.2022 г. в БНБ и банки се прогнозира да бъдат в размер на 11,9 млрд. лв. Оценката за вземанията от фондове на ЕС за сертифицирани разходи, аванси и други към 31.12.2022 г. е в размер на 1,0 млрд. лв.</w:t>
      </w:r>
    </w:p>
    <w:p w:rsidR="00C36983" w:rsidRDefault="00C36983" w:rsidP="00C36983">
      <w:pPr>
        <w:spacing w:after="120"/>
        <w:ind w:firstLine="562"/>
        <w:jc w:val="both"/>
        <w:rPr>
          <w:color w:val="000000" w:themeColor="text1"/>
          <w:lang w:val="bg-BG" w:eastAsia="en-US"/>
        </w:rPr>
      </w:pPr>
      <w:r w:rsidRPr="00C36983">
        <w:rPr>
          <w:color w:val="000000" w:themeColor="text1"/>
          <w:lang w:val="bg-BG" w:eastAsia="en-US"/>
        </w:rPr>
        <w:t>Статистическите данни и Информационният бюлетин за изпълнението на държавния бюджет и основните показатели на консолидираната фискална програма, на база на данни от месечните отчети за касовото изпълнение на бюджетите на първостепенните разпоредители с бюджет за 2022 г., ще бъдат публикувани на интернет страницата на Министерството на финансите в края на месец януари 2023 година.</w:t>
      </w:r>
    </w:p>
    <w:p w:rsidR="00C36983" w:rsidRDefault="00C36983" w:rsidP="00C36983">
      <w:pPr>
        <w:spacing w:after="120"/>
        <w:ind w:firstLine="562"/>
        <w:jc w:val="both"/>
        <w:rPr>
          <w:color w:val="000000" w:themeColor="text1"/>
          <w:lang w:val="bg-BG" w:eastAsia="en-US"/>
        </w:rPr>
      </w:pPr>
    </w:p>
    <w:p w:rsidR="00C36983" w:rsidRPr="00C36983" w:rsidRDefault="00C36983" w:rsidP="00C36983">
      <w:pPr>
        <w:spacing w:after="120"/>
        <w:ind w:firstLine="562"/>
        <w:jc w:val="both"/>
        <w:rPr>
          <w:color w:val="000000" w:themeColor="text1"/>
          <w:lang w:val="bg-BG" w:eastAsia="en-US"/>
        </w:rPr>
      </w:pPr>
    </w:p>
    <w:p w:rsidR="00C36983" w:rsidRPr="00C36983" w:rsidRDefault="00C36983" w:rsidP="00C36983">
      <w:pPr>
        <w:spacing w:after="120"/>
        <w:ind w:firstLine="562"/>
        <w:jc w:val="both"/>
        <w:rPr>
          <w:color w:val="000000" w:themeColor="text1"/>
          <w:lang w:val="bg-BG" w:eastAsia="en-US"/>
        </w:rPr>
      </w:pPr>
    </w:p>
    <w:p w:rsidR="00C36983" w:rsidRPr="00C36983" w:rsidRDefault="00C36983" w:rsidP="00C36983">
      <w:pPr>
        <w:spacing w:after="120"/>
        <w:ind w:firstLine="562"/>
        <w:jc w:val="both"/>
        <w:rPr>
          <w:color w:val="000000" w:themeColor="text1"/>
          <w:lang w:val="bg-BG" w:eastAsia="en-US"/>
        </w:rPr>
      </w:pPr>
    </w:p>
    <w:p w:rsidR="004B1D80" w:rsidRPr="006701E6" w:rsidRDefault="004B1D80" w:rsidP="00C36983">
      <w:pPr>
        <w:spacing w:after="120"/>
        <w:ind w:firstLine="562"/>
        <w:jc w:val="both"/>
        <w:rPr>
          <w:color w:val="4F81BD" w:themeColor="accent1"/>
          <w:lang w:val="bg-BG"/>
        </w:rPr>
      </w:pPr>
    </w:p>
    <w:sectPr w:rsidR="004B1D80" w:rsidRPr="006701E6" w:rsidSect="00E24D40">
      <w:pgSz w:w="11906" w:h="16838"/>
      <w:pgMar w:top="719" w:right="849" w:bottom="18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228" w:rsidRDefault="006C7228">
      <w:r>
        <w:separator/>
      </w:r>
    </w:p>
  </w:endnote>
  <w:endnote w:type="continuationSeparator" w:id="0">
    <w:p w:rsidR="006C7228" w:rsidRDefault="006C7228">
      <w:r>
        <w:continuationSeparator/>
      </w:r>
    </w:p>
  </w:endnote>
  <w:endnote w:type="continuationNotice" w:id="1">
    <w:p w:rsidR="006C7228" w:rsidRDefault="006C7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utura Bk">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228" w:rsidRDefault="006C7228">
      <w:r>
        <w:separator/>
      </w:r>
    </w:p>
  </w:footnote>
  <w:footnote w:type="continuationSeparator" w:id="0">
    <w:p w:rsidR="006C7228" w:rsidRDefault="006C7228">
      <w:r>
        <w:continuationSeparator/>
      </w:r>
    </w:p>
  </w:footnote>
  <w:footnote w:type="continuationNotice" w:id="1">
    <w:p w:rsidR="006C7228" w:rsidRDefault="006C722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24B7"/>
    <w:multiLevelType w:val="hybridMultilevel"/>
    <w:tmpl w:val="3A88E5B4"/>
    <w:lvl w:ilvl="0" w:tplc="EB827CB4">
      <w:start w:val="1"/>
      <w:numFmt w:val="bullet"/>
      <w:lvlText w:val=""/>
      <w:lvlJc w:val="left"/>
      <w:pPr>
        <w:tabs>
          <w:tab w:val="num" w:pos="537"/>
        </w:tabs>
        <w:ind w:left="537" w:hanging="357"/>
      </w:pPr>
      <w:rPr>
        <w:rFonts w:ascii="Wingdings" w:hAnsi="Wingdings" w:hint="default"/>
        <w:color w:val="auto"/>
        <w:sz w:val="28"/>
        <w:u w:color="FFFFFF"/>
      </w:rPr>
    </w:lvl>
    <w:lvl w:ilvl="1" w:tplc="1AC8DDA4">
      <w:start w:val="1"/>
      <w:numFmt w:val="bullet"/>
      <w:lvlText w:val=""/>
      <w:lvlJc w:val="left"/>
      <w:pPr>
        <w:tabs>
          <w:tab w:val="num" w:pos="-180"/>
        </w:tabs>
        <w:ind w:left="-880" w:firstLine="340"/>
      </w:pPr>
      <w:rPr>
        <w:rFonts w:ascii="Wingdings" w:hAnsi="Wingdings" w:hint="default"/>
        <w:color w:val="auto"/>
        <w:sz w:val="24"/>
        <w:szCs w:val="24"/>
        <w:u w:color="FFFFFF"/>
      </w:rPr>
    </w:lvl>
    <w:lvl w:ilvl="2" w:tplc="04020005" w:tentative="1">
      <w:start w:val="1"/>
      <w:numFmt w:val="bullet"/>
      <w:lvlText w:val=""/>
      <w:lvlJc w:val="left"/>
      <w:pPr>
        <w:tabs>
          <w:tab w:val="num" w:pos="540"/>
        </w:tabs>
        <w:ind w:left="540" w:hanging="360"/>
      </w:pPr>
      <w:rPr>
        <w:rFonts w:ascii="Wingdings" w:hAnsi="Wingdings" w:hint="default"/>
      </w:rPr>
    </w:lvl>
    <w:lvl w:ilvl="3" w:tplc="04020001" w:tentative="1">
      <w:start w:val="1"/>
      <w:numFmt w:val="bullet"/>
      <w:lvlText w:val=""/>
      <w:lvlJc w:val="left"/>
      <w:pPr>
        <w:tabs>
          <w:tab w:val="num" w:pos="1260"/>
        </w:tabs>
        <w:ind w:left="1260" w:hanging="360"/>
      </w:pPr>
      <w:rPr>
        <w:rFonts w:ascii="Symbol" w:hAnsi="Symbol" w:hint="default"/>
      </w:rPr>
    </w:lvl>
    <w:lvl w:ilvl="4" w:tplc="04020003" w:tentative="1">
      <w:start w:val="1"/>
      <w:numFmt w:val="bullet"/>
      <w:lvlText w:val="o"/>
      <w:lvlJc w:val="left"/>
      <w:pPr>
        <w:tabs>
          <w:tab w:val="num" w:pos="1980"/>
        </w:tabs>
        <w:ind w:left="1980" w:hanging="360"/>
      </w:pPr>
      <w:rPr>
        <w:rFonts w:ascii="Courier New" w:hAnsi="Courier New" w:cs="Courier New" w:hint="default"/>
      </w:rPr>
    </w:lvl>
    <w:lvl w:ilvl="5" w:tplc="04020005" w:tentative="1">
      <w:start w:val="1"/>
      <w:numFmt w:val="bullet"/>
      <w:lvlText w:val=""/>
      <w:lvlJc w:val="left"/>
      <w:pPr>
        <w:tabs>
          <w:tab w:val="num" w:pos="2700"/>
        </w:tabs>
        <w:ind w:left="2700" w:hanging="360"/>
      </w:pPr>
      <w:rPr>
        <w:rFonts w:ascii="Wingdings" w:hAnsi="Wingdings" w:hint="default"/>
      </w:rPr>
    </w:lvl>
    <w:lvl w:ilvl="6" w:tplc="04020001" w:tentative="1">
      <w:start w:val="1"/>
      <w:numFmt w:val="bullet"/>
      <w:lvlText w:val=""/>
      <w:lvlJc w:val="left"/>
      <w:pPr>
        <w:tabs>
          <w:tab w:val="num" w:pos="3420"/>
        </w:tabs>
        <w:ind w:left="3420" w:hanging="360"/>
      </w:pPr>
      <w:rPr>
        <w:rFonts w:ascii="Symbol" w:hAnsi="Symbol" w:hint="default"/>
      </w:rPr>
    </w:lvl>
    <w:lvl w:ilvl="7" w:tplc="04020003" w:tentative="1">
      <w:start w:val="1"/>
      <w:numFmt w:val="bullet"/>
      <w:lvlText w:val="o"/>
      <w:lvlJc w:val="left"/>
      <w:pPr>
        <w:tabs>
          <w:tab w:val="num" w:pos="4140"/>
        </w:tabs>
        <w:ind w:left="4140" w:hanging="360"/>
      </w:pPr>
      <w:rPr>
        <w:rFonts w:ascii="Courier New" w:hAnsi="Courier New" w:cs="Courier New" w:hint="default"/>
      </w:rPr>
    </w:lvl>
    <w:lvl w:ilvl="8" w:tplc="04020005" w:tentative="1">
      <w:start w:val="1"/>
      <w:numFmt w:val="bullet"/>
      <w:lvlText w:val=""/>
      <w:lvlJc w:val="left"/>
      <w:pPr>
        <w:tabs>
          <w:tab w:val="num" w:pos="4860"/>
        </w:tabs>
        <w:ind w:left="4860" w:hanging="360"/>
      </w:pPr>
      <w:rPr>
        <w:rFonts w:ascii="Wingdings" w:hAnsi="Wingdings" w:hint="default"/>
      </w:rPr>
    </w:lvl>
  </w:abstractNum>
  <w:abstractNum w:abstractNumId="1" w15:restartNumberingAfterBreak="0">
    <w:nsid w:val="4CEB1EBB"/>
    <w:multiLevelType w:val="hybridMultilevel"/>
    <w:tmpl w:val="3134F908"/>
    <w:lvl w:ilvl="0" w:tplc="0402000B">
      <w:start w:val="1"/>
      <w:numFmt w:val="bullet"/>
      <w:lvlText w:val=""/>
      <w:lvlJc w:val="left"/>
      <w:pPr>
        <w:tabs>
          <w:tab w:val="num" w:pos="540"/>
        </w:tabs>
        <w:ind w:left="540" w:hanging="360"/>
      </w:pPr>
      <w:rPr>
        <w:rFonts w:ascii="Wingdings" w:hAnsi="Wingdings" w:hint="default"/>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F4031A"/>
    <w:multiLevelType w:val="hybridMultilevel"/>
    <w:tmpl w:val="6F4AC82A"/>
    <w:lvl w:ilvl="0" w:tplc="0402000D">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3" w15:restartNumberingAfterBreak="0">
    <w:nsid w:val="5A2175CE"/>
    <w:multiLevelType w:val="hybridMultilevel"/>
    <w:tmpl w:val="9ABA4E10"/>
    <w:lvl w:ilvl="0" w:tplc="2CF63AF2">
      <w:start w:val="1"/>
      <w:numFmt w:val="bullet"/>
      <w:lvlText w:val=""/>
      <w:lvlJc w:val="left"/>
      <w:pPr>
        <w:tabs>
          <w:tab w:val="num" w:pos="1077"/>
        </w:tabs>
        <w:ind w:left="1077" w:hanging="357"/>
      </w:pPr>
      <w:rPr>
        <w:rFonts w:ascii="Wingdings" w:hAnsi="Wingdings" w:hint="default"/>
        <w:color w:val="auto"/>
        <w:sz w:val="28"/>
        <w:szCs w:val="28"/>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D830C4"/>
    <w:multiLevelType w:val="hybridMultilevel"/>
    <w:tmpl w:val="CB843802"/>
    <w:lvl w:ilvl="0" w:tplc="27346F9A">
      <w:numFmt w:val="bullet"/>
      <w:lvlText w:val="●"/>
      <w:lvlJc w:val="left"/>
      <w:pPr>
        <w:tabs>
          <w:tab w:val="num" w:pos="1980"/>
        </w:tabs>
        <w:ind w:left="1980" w:hanging="360"/>
      </w:pPr>
      <w:rPr>
        <w:rFonts w:ascii="Courier New" w:eastAsia="Mangal" w:hAnsi="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53"/>
    <w:rsid w:val="00000166"/>
    <w:rsid w:val="0000163B"/>
    <w:rsid w:val="00001966"/>
    <w:rsid w:val="00001F53"/>
    <w:rsid w:val="00003573"/>
    <w:rsid w:val="000051E1"/>
    <w:rsid w:val="000114DD"/>
    <w:rsid w:val="00014974"/>
    <w:rsid w:val="000166DE"/>
    <w:rsid w:val="00017746"/>
    <w:rsid w:val="00020238"/>
    <w:rsid w:val="000205D2"/>
    <w:rsid w:val="00021489"/>
    <w:rsid w:val="00022830"/>
    <w:rsid w:val="00022BB0"/>
    <w:rsid w:val="000230BD"/>
    <w:rsid w:val="000249CD"/>
    <w:rsid w:val="0003122A"/>
    <w:rsid w:val="000357BB"/>
    <w:rsid w:val="000359B8"/>
    <w:rsid w:val="00036A54"/>
    <w:rsid w:val="00037610"/>
    <w:rsid w:val="0004268F"/>
    <w:rsid w:val="00042A0B"/>
    <w:rsid w:val="00045BD9"/>
    <w:rsid w:val="00050079"/>
    <w:rsid w:val="00051D3F"/>
    <w:rsid w:val="000526D2"/>
    <w:rsid w:val="00052D67"/>
    <w:rsid w:val="00054311"/>
    <w:rsid w:val="0005531D"/>
    <w:rsid w:val="000554AE"/>
    <w:rsid w:val="0005619F"/>
    <w:rsid w:val="000562A5"/>
    <w:rsid w:val="00060663"/>
    <w:rsid w:val="000621F7"/>
    <w:rsid w:val="00062233"/>
    <w:rsid w:val="00063438"/>
    <w:rsid w:val="000710B7"/>
    <w:rsid w:val="0007260E"/>
    <w:rsid w:val="000726F9"/>
    <w:rsid w:val="0007521F"/>
    <w:rsid w:val="00077208"/>
    <w:rsid w:val="00081B28"/>
    <w:rsid w:val="00082CC2"/>
    <w:rsid w:val="00082D51"/>
    <w:rsid w:val="0008450E"/>
    <w:rsid w:val="000859EC"/>
    <w:rsid w:val="00087B05"/>
    <w:rsid w:val="000932AD"/>
    <w:rsid w:val="00093463"/>
    <w:rsid w:val="00094AC6"/>
    <w:rsid w:val="000967CD"/>
    <w:rsid w:val="000A1482"/>
    <w:rsid w:val="000A3017"/>
    <w:rsid w:val="000A3EEB"/>
    <w:rsid w:val="000A4500"/>
    <w:rsid w:val="000A69F8"/>
    <w:rsid w:val="000B0A2F"/>
    <w:rsid w:val="000B1B2D"/>
    <w:rsid w:val="000B42A5"/>
    <w:rsid w:val="000B4788"/>
    <w:rsid w:val="000B4A63"/>
    <w:rsid w:val="000B5FD1"/>
    <w:rsid w:val="000C110E"/>
    <w:rsid w:val="000C4AF7"/>
    <w:rsid w:val="000D12A6"/>
    <w:rsid w:val="000D23AE"/>
    <w:rsid w:val="000D4FAE"/>
    <w:rsid w:val="000E018C"/>
    <w:rsid w:val="000E0326"/>
    <w:rsid w:val="000E345D"/>
    <w:rsid w:val="000E3DCC"/>
    <w:rsid w:val="000E4339"/>
    <w:rsid w:val="000E4BC4"/>
    <w:rsid w:val="000E73E2"/>
    <w:rsid w:val="000F37AC"/>
    <w:rsid w:val="000F6DBD"/>
    <w:rsid w:val="001010DB"/>
    <w:rsid w:val="001051B9"/>
    <w:rsid w:val="00105EF6"/>
    <w:rsid w:val="00106490"/>
    <w:rsid w:val="001066E5"/>
    <w:rsid w:val="00106E3C"/>
    <w:rsid w:val="001100DE"/>
    <w:rsid w:val="00110F6E"/>
    <w:rsid w:val="00113286"/>
    <w:rsid w:val="0011541E"/>
    <w:rsid w:val="0011554A"/>
    <w:rsid w:val="00117702"/>
    <w:rsid w:val="00120599"/>
    <w:rsid w:val="0012062E"/>
    <w:rsid w:val="001209A6"/>
    <w:rsid w:val="00121BF9"/>
    <w:rsid w:val="00122314"/>
    <w:rsid w:val="00123E61"/>
    <w:rsid w:val="00125D4C"/>
    <w:rsid w:val="0012753F"/>
    <w:rsid w:val="00136289"/>
    <w:rsid w:val="001371E6"/>
    <w:rsid w:val="0013754A"/>
    <w:rsid w:val="00140C46"/>
    <w:rsid w:val="00147693"/>
    <w:rsid w:val="0015175F"/>
    <w:rsid w:val="0015493B"/>
    <w:rsid w:val="0016327E"/>
    <w:rsid w:val="0016582E"/>
    <w:rsid w:val="001702A7"/>
    <w:rsid w:val="00171117"/>
    <w:rsid w:val="001727BC"/>
    <w:rsid w:val="001729B3"/>
    <w:rsid w:val="00173BD3"/>
    <w:rsid w:val="00182B09"/>
    <w:rsid w:val="00183506"/>
    <w:rsid w:val="001850E5"/>
    <w:rsid w:val="00187237"/>
    <w:rsid w:val="001909D8"/>
    <w:rsid w:val="00191F32"/>
    <w:rsid w:val="001930FF"/>
    <w:rsid w:val="00194B72"/>
    <w:rsid w:val="0019588E"/>
    <w:rsid w:val="00195ADB"/>
    <w:rsid w:val="00195F5E"/>
    <w:rsid w:val="001968A5"/>
    <w:rsid w:val="001970BB"/>
    <w:rsid w:val="001A022C"/>
    <w:rsid w:val="001A04F5"/>
    <w:rsid w:val="001A2290"/>
    <w:rsid w:val="001A2A8A"/>
    <w:rsid w:val="001A379B"/>
    <w:rsid w:val="001A4CB3"/>
    <w:rsid w:val="001A6B53"/>
    <w:rsid w:val="001A6EF3"/>
    <w:rsid w:val="001A7572"/>
    <w:rsid w:val="001B0F5C"/>
    <w:rsid w:val="001B2DA0"/>
    <w:rsid w:val="001B6B09"/>
    <w:rsid w:val="001C2F22"/>
    <w:rsid w:val="001C3CD0"/>
    <w:rsid w:val="001C4273"/>
    <w:rsid w:val="001D26A9"/>
    <w:rsid w:val="001D46C1"/>
    <w:rsid w:val="001D57F1"/>
    <w:rsid w:val="001D5C9E"/>
    <w:rsid w:val="001D62BE"/>
    <w:rsid w:val="001E4BAC"/>
    <w:rsid w:val="001E4DB3"/>
    <w:rsid w:val="001E6FB1"/>
    <w:rsid w:val="001E72BA"/>
    <w:rsid w:val="001F1CC7"/>
    <w:rsid w:val="001F4755"/>
    <w:rsid w:val="001F554F"/>
    <w:rsid w:val="001F7862"/>
    <w:rsid w:val="00203917"/>
    <w:rsid w:val="00203D36"/>
    <w:rsid w:val="00203ED3"/>
    <w:rsid w:val="00222258"/>
    <w:rsid w:val="0022559E"/>
    <w:rsid w:val="00225E7E"/>
    <w:rsid w:val="002319B4"/>
    <w:rsid w:val="0023270B"/>
    <w:rsid w:val="002357BE"/>
    <w:rsid w:val="00236E9E"/>
    <w:rsid w:val="00237710"/>
    <w:rsid w:val="00242194"/>
    <w:rsid w:val="00242DDF"/>
    <w:rsid w:val="002472D2"/>
    <w:rsid w:val="002475BD"/>
    <w:rsid w:val="00252249"/>
    <w:rsid w:val="00254B3A"/>
    <w:rsid w:val="00256446"/>
    <w:rsid w:val="00256E7A"/>
    <w:rsid w:val="002613F3"/>
    <w:rsid w:val="00261DD7"/>
    <w:rsid w:val="00262986"/>
    <w:rsid w:val="002645E9"/>
    <w:rsid w:val="002721FC"/>
    <w:rsid w:val="00272A5D"/>
    <w:rsid w:val="00274C05"/>
    <w:rsid w:val="002825E5"/>
    <w:rsid w:val="002869C6"/>
    <w:rsid w:val="0029148D"/>
    <w:rsid w:val="00291FC8"/>
    <w:rsid w:val="002922CE"/>
    <w:rsid w:val="00292565"/>
    <w:rsid w:val="002956CA"/>
    <w:rsid w:val="0029579B"/>
    <w:rsid w:val="00296CF2"/>
    <w:rsid w:val="002977F0"/>
    <w:rsid w:val="002A0B05"/>
    <w:rsid w:val="002A34A0"/>
    <w:rsid w:val="002A4F7C"/>
    <w:rsid w:val="002A5200"/>
    <w:rsid w:val="002B1EE4"/>
    <w:rsid w:val="002B2561"/>
    <w:rsid w:val="002B3849"/>
    <w:rsid w:val="002C0F56"/>
    <w:rsid w:val="002C1647"/>
    <w:rsid w:val="002C18B4"/>
    <w:rsid w:val="002C1CA6"/>
    <w:rsid w:val="002C4C3F"/>
    <w:rsid w:val="002C559C"/>
    <w:rsid w:val="002C5905"/>
    <w:rsid w:val="002C6742"/>
    <w:rsid w:val="002D00C0"/>
    <w:rsid w:val="002D1861"/>
    <w:rsid w:val="002D6B3F"/>
    <w:rsid w:val="002E047E"/>
    <w:rsid w:val="002E0591"/>
    <w:rsid w:val="002E25B3"/>
    <w:rsid w:val="002E656D"/>
    <w:rsid w:val="002F0C09"/>
    <w:rsid w:val="002F1824"/>
    <w:rsid w:val="002F18C7"/>
    <w:rsid w:val="002F2233"/>
    <w:rsid w:val="002F30A1"/>
    <w:rsid w:val="002F50AA"/>
    <w:rsid w:val="00300743"/>
    <w:rsid w:val="00301EF1"/>
    <w:rsid w:val="00304938"/>
    <w:rsid w:val="0031115E"/>
    <w:rsid w:val="003111DF"/>
    <w:rsid w:val="0031498C"/>
    <w:rsid w:val="00332476"/>
    <w:rsid w:val="00333DA3"/>
    <w:rsid w:val="00334443"/>
    <w:rsid w:val="003344CF"/>
    <w:rsid w:val="00337571"/>
    <w:rsid w:val="003379B8"/>
    <w:rsid w:val="003414B1"/>
    <w:rsid w:val="00341675"/>
    <w:rsid w:val="00342ACA"/>
    <w:rsid w:val="00343A1A"/>
    <w:rsid w:val="0034543C"/>
    <w:rsid w:val="00347C26"/>
    <w:rsid w:val="00350050"/>
    <w:rsid w:val="0035048E"/>
    <w:rsid w:val="00350724"/>
    <w:rsid w:val="00350A8C"/>
    <w:rsid w:val="0035211D"/>
    <w:rsid w:val="00353C4B"/>
    <w:rsid w:val="00356C19"/>
    <w:rsid w:val="00356D03"/>
    <w:rsid w:val="00357176"/>
    <w:rsid w:val="00357FFA"/>
    <w:rsid w:val="0036031F"/>
    <w:rsid w:val="0036288B"/>
    <w:rsid w:val="003635B9"/>
    <w:rsid w:val="00364C23"/>
    <w:rsid w:val="00366451"/>
    <w:rsid w:val="00372494"/>
    <w:rsid w:val="0037265F"/>
    <w:rsid w:val="003730DB"/>
    <w:rsid w:val="0037311B"/>
    <w:rsid w:val="0037366B"/>
    <w:rsid w:val="00373F0A"/>
    <w:rsid w:val="00375E79"/>
    <w:rsid w:val="0037629F"/>
    <w:rsid w:val="003770B8"/>
    <w:rsid w:val="003814C5"/>
    <w:rsid w:val="00383341"/>
    <w:rsid w:val="00392B67"/>
    <w:rsid w:val="0039433B"/>
    <w:rsid w:val="00395D5D"/>
    <w:rsid w:val="003961B7"/>
    <w:rsid w:val="003A53B5"/>
    <w:rsid w:val="003B07BE"/>
    <w:rsid w:val="003B3E35"/>
    <w:rsid w:val="003B5CC6"/>
    <w:rsid w:val="003C0D6C"/>
    <w:rsid w:val="003C119F"/>
    <w:rsid w:val="003C36E7"/>
    <w:rsid w:val="003C5CAA"/>
    <w:rsid w:val="003C7561"/>
    <w:rsid w:val="003D0E19"/>
    <w:rsid w:val="003D308B"/>
    <w:rsid w:val="003D6075"/>
    <w:rsid w:val="003D6EA6"/>
    <w:rsid w:val="003E0185"/>
    <w:rsid w:val="003E01A2"/>
    <w:rsid w:val="003E1120"/>
    <w:rsid w:val="003E1EE0"/>
    <w:rsid w:val="003E34EE"/>
    <w:rsid w:val="003E5457"/>
    <w:rsid w:val="003E78F1"/>
    <w:rsid w:val="003E7F48"/>
    <w:rsid w:val="003F3370"/>
    <w:rsid w:val="003F3ACF"/>
    <w:rsid w:val="003F3ED0"/>
    <w:rsid w:val="003F4A5B"/>
    <w:rsid w:val="003F5493"/>
    <w:rsid w:val="003F6F09"/>
    <w:rsid w:val="003F75F8"/>
    <w:rsid w:val="0040165F"/>
    <w:rsid w:val="0040245C"/>
    <w:rsid w:val="00402D59"/>
    <w:rsid w:val="00402EE2"/>
    <w:rsid w:val="0040314E"/>
    <w:rsid w:val="00405507"/>
    <w:rsid w:val="004067B1"/>
    <w:rsid w:val="00410173"/>
    <w:rsid w:val="004103DB"/>
    <w:rsid w:val="004108C1"/>
    <w:rsid w:val="004159F0"/>
    <w:rsid w:val="00415C63"/>
    <w:rsid w:val="00420BDA"/>
    <w:rsid w:val="00420E22"/>
    <w:rsid w:val="00420FD5"/>
    <w:rsid w:val="0042181C"/>
    <w:rsid w:val="004225AC"/>
    <w:rsid w:val="00424836"/>
    <w:rsid w:val="00425AAC"/>
    <w:rsid w:val="00425FDB"/>
    <w:rsid w:val="00426C55"/>
    <w:rsid w:val="00427FC0"/>
    <w:rsid w:val="00430443"/>
    <w:rsid w:val="00433817"/>
    <w:rsid w:val="0043590F"/>
    <w:rsid w:val="004377FB"/>
    <w:rsid w:val="004411D0"/>
    <w:rsid w:val="00442EFF"/>
    <w:rsid w:val="00443424"/>
    <w:rsid w:val="0044577E"/>
    <w:rsid w:val="00445967"/>
    <w:rsid w:val="00450B4D"/>
    <w:rsid w:val="004511FE"/>
    <w:rsid w:val="00451B8E"/>
    <w:rsid w:val="004543AD"/>
    <w:rsid w:val="00455618"/>
    <w:rsid w:val="0045583D"/>
    <w:rsid w:val="0045584F"/>
    <w:rsid w:val="00455B82"/>
    <w:rsid w:val="00456217"/>
    <w:rsid w:val="00461966"/>
    <w:rsid w:val="00464609"/>
    <w:rsid w:val="004652C1"/>
    <w:rsid w:val="0046782E"/>
    <w:rsid w:val="00467838"/>
    <w:rsid w:val="00476FB1"/>
    <w:rsid w:val="004801C5"/>
    <w:rsid w:val="004804D5"/>
    <w:rsid w:val="00481A15"/>
    <w:rsid w:val="00484133"/>
    <w:rsid w:val="00484209"/>
    <w:rsid w:val="00484CE1"/>
    <w:rsid w:val="0049229E"/>
    <w:rsid w:val="00492D35"/>
    <w:rsid w:val="004937F1"/>
    <w:rsid w:val="004952D3"/>
    <w:rsid w:val="00497BE9"/>
    <w:rsid w:val="004A306F"/>
    <w:rsid w:val="004A35E8"/>
    <w:rsid w:val="004A7C73"/>
    <w:rsid w:val="004B1D80"/>
    <w:rsid w:val="004B24AB"/>
    <w:rsid w:val="004B26A1"/>
    <w:rsid w:val="004B5E57"/>
    <w:rsid w:val="004B6DA5"/>
    <w:rsid w:val="004B74D3"/>
    <w:rsid w:val="004C672D"/>
    <w:rsid w:val="004D02A4"/>
    <w:rsid w:val="004D25BE"/>
    <w:rsid w:val="004D2881"/>
    <w:rsid w:val="004D2D19"/>
    <w:rsid w:val="004D3269"/>
    <w:rsid w:val="004D679E"/>
    <w:rsid w:val="004E0D3C"/>
    <w:rsid w:val="004E158A"/>
    <w:rsid w:val="004E2EB4"/>
    <w:rsid w:val="004E3EF3"/>
    <w:rsid w:val="004E5547"/>
    <w:rsid w:val="004E6ABD"/>
    <w:rsid w:val="004E7D1C"/>
    <w:rsid w:val="004E7D44"/>
    <w:rsid w:val="004F0DA0"/>
    <w:rsid w:val="004F44B6"/>
    <w:rsid w:val="005013ED"/>
    <w:rsid w:val="0050330A"/>
    <w:rsid w:val="00505B00"/>
    <w:rsid w:val="0051240B"/>
    <w:rsid w:val="00513BB7"/>
    <w:rsid w:val="00516408"/>
    <w:rsid w:val="005165CA"/>
    <w:rsid w:val="00521525"/>
    <w:rsid w:val="005242D1"/>
    <w:rsid w:val="005251C2"/>
    <w:rsid w:val="00526EFD"/>
    <w:rsid w:val="005331E3"/>
    <w:rsid w:val="00533FCC"/>
    <w:rsid w:val="005439EE"/>
    <w:rsid w:val="00547629"/>
    <w:rsid w:val="00550CD0"/>
    <w:rsid w:val="00553540"/>
    <w:rsid w:val="00555AF4"/>
    <w:rsid w:val="00570ED5"/>
    <w:rsid w:val="00572138"/>
    <w:rsid w:val="00573CEB"/>
    <w:rsid w:val="00575DA3"/>
    <w:rsid w:val="0057655A"/>
    <w:rsid w:val="00576EB7"/>
    <w:rsid w:val="00582EF5"/>
    <w:rsid w:val="00583E1D"/>
    <w:rsid w:val="005856FA"/>
    <w:rsid w:val="00586882"/>
    <w:rsid w:val="00586C55"/>
    <w:rsid w:val="00586D19"/>
    <w:rsid w:val="005870B3"/>
    <w:rsid w:val="00592E86"/>
    <w:rsid w:val="0059310F"/>
    <w:rsid w:val="005941B2"/>
    <w:rsid w:val="00594B5C"/>
    <w:rsid w:val="00595BA0"/>
    <w:rsid w:val="005A209E"/>
    <w:rsid w:val="005A22AA"/>
    <w:rsid w:val="005A3791"/>
    <w:rsid w:val="005A481D"/>
    <w:rsid w:val="005B03ED"/>
    <w:rsid w:val="005B23FF"/>
    <w:rsid w:val="005B41B7"/>
    <w:rsid w:val="005B5746"/>
    <w:rsid w:val="005C0385"/>
    <w:rsid w:val="005C43BF"/>
    <w:rsid w:val="005C62E5"/>
    <w:rsid w:val="005C6446"/>
    <w:rsid w:val="005D267D"/>
    <w:rsid w:val="005D271D"/>
    <w:rsid w:val="005D3D6C"/>
    <w:rsid w:val="005D646C"/>
    <w:rsid w:val="005E18F2"/>
    <w:rsid w:val="005E316D"/>
    <w:rsid w:val="005E697B"/>
    <w:rsid w:val="005F1520"/>
    <w:rsid w:val="005F26E2"/>
    <w:rsid w:val="005F4637"/>
    <w:rsid w:val="005F4957"/>
    <w:rsid w:val="005F5FCF"/>
    <w:rsid w:val="00600455"/>
    <w:rsid w:val="006004D6"/>
    <w:rsid w:val="006008CD"/>
    <w:rsid w:val="00601EF9"/>
    <w:rsid w:val="00605F82"/>
    <w:rsid w:val="00610CBE"/>
    <w:rsid w:val="0061200B"/>
    <w:rsid w:val="00615C12"/>
    <w:rsid w:val="0061674E"/>
    <w:rsid w:val="00620A4B"/>
    <w:rsid w:val="006215E4"/>
    <w:rsid w:val="00621C80"/>
    <w:rsid w:val="00623C00"/>
    <w:rsid w:val="00624B6C"/>
    <w:rsid w:val="006257DF"/>
    <w:rsid w:val="00625CCE"/>
    <w:rsid w:val="00627C19"/>
    <w:rsid w:val="00630A88"/>
    <w:rsid w:val="006321D0"/>
    <w:rsid w:val="00634178"/>
    <w:rsid w:val="00634E39"/>
    <w:rsid w:val="006351FD"/>
    <w:rsid w:val="006360F4"/>
    <w:rsid w:val="006403FF"/>
    <w:rsid w:val="00640686"/>
    <w:rsid w:val="00642FAF"/>
    <w:rsid w:val="00643FAA"/>
    <w:rsid w:val="006529DF"/>
    <w:rsid w:val="00655D50"/>
    <w:rsid w:val="00657021"/>
    <w:rsid w:val="006622B3"/>
    <w:rsid w:val="0066389D"/>
    <w:rsid w:val="00665DD7"/>
    <w:rsid w:val="006661C4"/>
    <w:rsid w:val="00670168"/>
    <w:rsid w:val="006701E6"/>
    <w:rsid w:val="0067144C"/>
    <w:rsid w:val="006737FB"/>
    <w:rsid w:val="006776F5"/>
    <w:rsid w:val="00682D2E"/>
    <w:rsid w:val="00682F3B"/>
    <w:rsid w:val="00683DEF"/>
    <w:rsid w:val="00691ABE"/>
    <w:rsid w:val="00697591"/>
    <w:rsid w:val="00697E65"/>
    <w:rsid w:val="006A240C"/>
    <w:rsid w:val="006A2A33"/>
    <w:rsid w:val="006A3E53"/>
    <w:rsid w:val="006A3FA9"/>
    <w:rsid w:val="006A57FE"/>
    <w:rsid w:val="006B2ABE"/>
    <w:rsid w:val="006B3148"/>
    <w:rsid w:val="006B462F"/>
    <w:rsid w:val="006B4D15"/>
    <w:rsid w:val="006B5BB8"/>
    <w:rsid w:val="006B64B4"/>
    <w:rsid w:val="006B746F"/>
    <w:rsid w:val="006C1C4D"/>
    <w:rsid w:val="006C20E1"/>
    <w:rsid w:val="006C26D5"/>
    <w:rsid w:val="006C2A37"/>
    <w:rsid w:val="006C42E6"/>
    <w:rsid w:val="006C44F1"/>
    <w:rsid w:val="006C4F5B"/>
    <w:rsid w:val="006C5152"/>
    <w:rsid w:val="006C6139"/>
    <w:rsid w:val="006C6C20"/>
    <w:rsid w:val="006C6C53"/>
    <w:rsid w:val="006C7228"/>
    <w:rsid w:val="006D0694"/>
    <w:rsid w:val="006D1682"/>
    <w:rsid w:val="006D1E5C"/>
    <w:rsid w:val="006D28A2"/>
    <w:rsid w:val="006E1521"/>
    <w:rsid w:val="006E22E4"/>
    <w:rsid w:val="006E2BB5"/>
    <w:rsid w:val="006E3E96"/>
    <w:rsid w:val="006E41AB"/>
    <w:rsid w:val="006E521C"/>
    <w:rsid w:val="006F0667"/>
    <w:rsid w:val="006F08DC"/>
    <w:rsid w:val="006F27E0"/>
    <w:rsid w:val="006F335C"/>
    <w:rsid w:val="006F37BF"/>
    <w:rsid w:val="006F3879"/>
    <w:rsid w:val="006F3E15"/>
    <w:rsid w:val="006F4152"/>
    <w:rsid w:val="006F4241"/>
    <w:rsid w:val="007024A6"/>
    <w:rsid w:val="007030CD"/>
    <w:rsid w:val="007124A4"/>
    <w:rsid w:val="007163A3"/>
    <w:rsid w:val="00721142"/>
    <w:rsid w:val="0072330F"/>
    <w:rsid w:val="007236E5"/>
    <w:rsid w:val="0072434D"/>
    <w:rsid w:val="00724ED1"/>
    <w:rsid w:val="0072525D"/>
    <w:rsid w:val="00730ED5"/>
    <w:rsid w:val="00732A22"/>
    <w:rsid w:val="00732D77"/>
    <w:rsid w:val="0073324E"/>
    <w:rsid w:val="00733265"/>
    <w:rsid w:val="007334C8"/>
    <w:rsid w:val="007337FE"/>
    <w:rsid w:val="007351B1"/>
    <w:rsid w:val="00735A3E"/>
    <w:rsid w:val="00736D8F"/>
    <w:rsid w:val="00737749"/>
    <w:rsid w:val="0073794F"/>
    <w:rsid w:val="007401B4"/>
    <w:rsid w:val="007411F8"/>
    <w:rsid w:val="007441AA"/>
    <w:rsid w:val="00746988"/>
    <w:rsid w:val="00750464"/>
    <w:rsid w:val="0075295A"/>
    <w:rsid w:val="00752F96"/>
    <w:rsid w:val="00756185"/>
    <w:rsid w:val="0075622B"/>
    <w:rsid w:val="00762DAA"/>
    <w:rsid w:val="00763980"/>
    <w:rsid w:val="00767BCF"/>
    <w:rsid w:val="00773837"/>
    <w:rsid w:val="00773991"/>
    <w:rsid w:val="00775581"/>
    <w:rsid w:val="00775A3A"/>
    <w:rsid w:val="00776667"/>
    <w:rsid w:val="00782A1A"/>
    <w:rsid w:val="00785C8A"/>
    <w:rsid w:val="00786218"/>
    <w:rsid w:val="007866ED"/>
    <w:rsid w:val="00790D7F"/>
    <w:rsid w:val="00790E0C"/>
    <w:rsid w:val="007913E5"/>
    <w:rsid w:val="00791708"/>
    <w:rsid w:val="00791CFA"/>
    <w:rsid w:val="007A2DC1"/>
    <w:rsid w:val="007A5D0A"/>
    <w:rsid w:val="007A6841"/>
    <w:rsid w:val="007A6D53"/>
    <w:rsid w:val="007B0A61"/>
    <w:rsid w:val="007B1505"/>
    <w:rsid w:val="007B1674"/>
    <w:rsid w:val="007B3976"/>
    <w:rsid w:val="007C40C3"/>
    <w:rsid w:val="007C6088"/>
    <w:rsid w:val="007D3513"/>
    <w:rsid w:val="007D4220"/>
    <w:rsid w:val="007D4D1D"/>
    <w:rsid w:val="007F5CF4"/>
    <w:rsid w:val="007F706C"/>
    <w:rsid w:val="00801B59"/>
    <w:rsid w:val="00810FB1"/>
    <w:rsid w:val="00812883"/>
    <w:rsid w:val="00813D2C"/>
    <w:rsid w:val="00814E72"/>
    <w:rsid w:val="0081502A"/>
    <w:rsid w:val="008175DD"/>
    <w:rsid w:val="00817AA5"/>
    <w:rsid w:val="0082118B"/>
    <w:rsid w:val="00821A68"/>
    <w:rsid w:val="00822020"/>
    <w:rsid w:val="0082212A"/>
    <w:rsid w:val="00823E09"/>
    <w:rsid w:val="00824788"/>
    <w:rsid w:val="00824BA0"/>
    <w:rsid w:val="00825DDA"/>
    <w:rsid w:val="00830E3A"/>
    <w:rsid w:val="00832800"/>
    <w:rsid w:val="00833430"/>
    <w:rsid w:val="0083376E"/>
    <w:rsid w:val="0083558C"/>
    <w:rsid w:val="00835A98"/>
    <w:rsid w:val="00836C00"/>
    <w:rsid w:val="00844754"/>
    <w:rsid w:val="00845ADA"/>
    <w:rsid w:val="00846CD1"/>
    <w:rsid w:val="00850E79"/>
    <w:rsid w:val="00851AFA"/>
    <w:rsid w:val="00863E7F"/>
    <w:rsid w:val="0086495B"/>
    <w:rsid w:val="00865015"/>
    <w:rsid w:val="00866FBD"/>
    <w:rsid w:val="0086768E"/>
    <w:rsid w:val="0087368F"/>
    <w:rsid w:val="008736A7"/>
    <w:rsid w:val="00873A0F"/>
    <w:rsid w:val="008752F1"/>
    <w:rsid w:val="008807E3"/>
    <w:rsid w:val="008832CC"/>
    <w:rsid w:val="00886749"/>
    <w:rsid w:val="00887294"/>
    <w:rsid w:val="008938E5"/>
    <w:rsid w:val="00894EC4"/>
    <w:rsid w:val="00896D69"/>
    <w:rsid w:val="00897CB1"/>
    <w:rsid w:val="008A05CF"/>
    <w:rsid w:val="008A2822"/>
    <w:rsid w:val="008A3156"/>
    <w:rsid w:val="008A4507"/>
    <w:rsid w:val="008A49C8"/>
    <w:rsid w:val="008A4BF1"/>
    <w:rsid w:val="008A4FD7"/>
    <w:rsid w:val="008A6388"/>
    <w:rsid w:val="008A6FF7"/>
    <w:rsid w:val="008B12C2"/>
    <w:rsid w:val="008B6626"/>
    <w:rsid w:val="008B7466"/>
    <w:rsid w:val="008C4A96"/>
    <w:rsid w:val="008C4CE5"/>
    <w:rsid w:val="008C79DC"/>
    <w:rsid w:val="008D32A8"/>
    <w:rsid w:val="008D43E5"/>
    <w:rsid w:val="008D6AC1"/>
    <w:rsid w:val="008D7D91"/>
    <w:rsid w:val="008E0F5A"/>
    <w:rsid w:val="008E1B5E"/>
    <w:rsid w:val="008E3A01"/>
    <w:rsid w:val="008E3B5C"/>
    <w:rsid w:val="008E6E4E"/>
    <w:rsid w:val="008F2F02"/>
    <w:rsid w:val="00900E27"/>
    <w:rsid w:val="0090169E"/>
    <w:rsid w:val="00905168"/>
    <w:rsid w:val="0091113D"/>
    <w:rsid w:val="0091276B"/>
    <w:rsid w:val="00913915"/>
    <w:rsid w:val="00914DEB"/>
    <w:rsid w:val="00916041"/>
    <w:rsid w:val="00916BB4"/>
    <w:rsid w:val="00917B2E"/>
    <w:rsid w:val="00920501"/>
    <w:rsid w:val="009205C2"/>
    <w:rsid w:val="0092218F"/>
    <w:rsid w:val="00922477"/>
    <w:rsid w:val="009230A6"/>
    <w:rsid w:val="00926CF7"/>
    <w:rsid w:val="00927DD1"/>
    <w:rsid w:val="00932477"/>
    <w:rsid w:val="00932C37"/>
    <w:rsid w:val="00933598"/>
    <w:rsid w:val="009336E5"/>
    <w:rsid w:val="00934C34"/>
    <w:rsid w:val="00935281"/>
    <w:rsid w:val="009354E3"/>
    <w:rsid w:val="009357B9"/>
    <w:rsid w:val="00935AAD"/>
    <w:rsid w:val="00937373"/>
    <w:rsid w:val="00943827"/>
    <w:rsid w:val="00944044"/>
    <w:rsid w:val="0094479B"/>
    <w:rsid w:val="00946D95"/>
    <w:rsid w:val="009470FE"/>
    <w:rsid w:val="0095117F"/>
    <w:rsid w:val="00955145"/>
    <w:rsid w:val="009567B9"/>
    <w:rsid w:val="00956E8E"/>
    <w:rsid w:val="009621AB"/>
    <w:rsid w:val="00966495"/>
    <w:rsid w:val="0097006D"/>
    <w:rsid w:val="00971FFD"/>
    <w:rsid w:val="009737A3"/>
    <w:rsid w:val="00974436"/>
    <w:rsid w:val="009760DB"/>
    <w:rsid w:val="00981059"/>
    <w:rsid w:val="009819DF"/>
    <w:rsid w:val="0098265F"/>
    <w:rsid w:val="009829FD"/>
    <w:rsid w:val="00982DE7"/>
    <w:rsid w:val="00983360"/>
    <w:rsid w:val="0098614D"/>
    <w:rsid w:val="0098716C"/>
    <w:rsid w:val="00987995"/>
    <w:rsid w:val="00991746"/>
    <w:rsid w:val="00991B7D"/>
    <w:rsid w:val="00991CF7"/>
    <w:rsid w:val="00993A85"/>
    <w:rsid w:val="00994EE1"/>
    <w:rsid w:val="009952CF"/>
    <w:rsid w:val="00995B67"/>
    <w:rsid w:val="00996B12"/>
    <w:rsid w:val="00997595"/>
    <w:rsid w:val="009A0C43"/>
    <w:rsid w:val="009A0FE4"/>
    <w:rsid w:val="009A1743"/>
    <w:rsid w:val="009A4AED"/>
    <w:rsid w:val="009A5089"/>
    <w:rsid w:val="009B253B"/>
    <w:rsid w:val="009B3445"/>
    <w:rsid w:val="009B6D14"/>
    <w:rsid w:val="009B6EFC"/>
    <w:rsid w:val="009C2C4D"/>
    <w:rsid w:val="009C62BD"/>
    <w:rsid w:val="009D0A3C"/>
    <w:rsid w:val="009D295D"/>
    <w:rsid w:val="009D3070"/>
    <w:rsid w:val="009E2F39"/>
    <w:rsid w:val="009E356D"/>
    <w:rsid w:val="009E43A3"/>
    <w:rsid w:val="009E5BF5"/>
    <w:rsid w:val="009E6C50"/>
    <w:rsid w:val="009F4DC8"/>
    <w:rsid w:val="009F4E3A"/>
    <w:rsid w:val="009F6FBA"/>
    <w:rsid w:val="009F7280"/>
    <w:rsid w:val="00A027DD"/>
    <w:rsid w:val="00A02FFB"/>
    <w:rsid w:val="00A03C97"/>
    <w:rsid w:val="00A0441A"/>
    <w:rsid w:val="00A1204C"/>
    <w:rsid w:val="00A125D8"/>
    <w:rsid w:val="00A13B79"/>
    <w:rsid w:val="00A207ED"/>
    <w:rsid w:val="00A219AB"/>
    <w:rsid w:val="00A220D7"/>
    <w:rsid w:val="00A2484C"/>
    <w:rsid w:val="00A24CB9"/>
    <w:rsid w:val="00A302D1"/>
    <w:rsid w:val="00A30638"/>
    <w:rsid w:val="00A312A3"/>
    <w:rsid w:val="00A3219D"/>
    <w:rsid w:val="00A333ED"/>
    <w:rsid w:val="00A3517D"/>
    <w:rsid w:val="00A35804"/>
    <w:rsid w:val="00A367F1"/>
    <w:rsid w:val="00A37A27"/>
    <w:rsid w:val="00A408D7"/>
    <w:rsid w:val="00A41C65"/>
    <w:rsid w:val="00A45146"/>
    <w:rsid w:val="00A46B34"/>
    <w:rsid w:val="00A50862"/>
    <w:rsid w:val="00A510B5"/>
    <w:rsid w:val="00A5231C"/>
    <w:rsid w:val="00A533B8"/>
    <w:rsid w:val="00A5482C"/>
    <w:rsid w:val="00A565EE"/>
    <w:rsid w:val="00A619E0"/>
    <w:rsid w:val="00A62866"/>
    <w:rsid w:val="00A667A0"/>
    <w:rsid w:val="00A76662"/>
    <w:rsid w:val="00A7747F"/>
    <w:rsid w:val="00A8093B"/>
    <w:rsid w:val="00A80974"/>
    <w:rsid w:val="00A847FB"/>
    <w:rsid w:val="00A87DD1"/>
    <w:rsid w:val="00A90663"/>
    <w:rsid w:val="00A90BFA"/>
    <w:rsid w:val="00A91D04"/>
    <w:rsid w:val="00A9482F"/>
    <w:rsid w:val="00A9497C"/>
    <w:rsid w:val="00A97A19"/>
    <w:rsid w:val="00AA16BA"/>
    <w:rsid w:val="00AA186C"/>
    <w:rsid w:val="00AA7F02"/>
    <w:rsid w:val="00AB4ABF"/>
    <w:rsid w:val="00AB4C2D"/>
    <w:rsid w:val="00AB6D5C"/>
    <w:rsid w:val="00AB7424"/>
    <w:rsid w:val="00AC1CEC"/>
    <w:rsid w:val="00AC2293"/>
    <w:rsid w:val="00AC6156"/>
    <w:rsid w:val="00AC6F00"/>
    <w:rsid w:val="00AC70A4"/>
    <w:rsid w:val="00AD1619"/>
    <w:rsid w:val="00AD1672"/>
    <w:rsid w:val="00AE0B96"/>
    <w:rsid w:val="00AE0D34"/>
    <w:rsid w:val="00AE4026"/>
    <w:rsid w:val="00AE4F6C"/>
    <w:rsid w:val="00AF2262"/>
    <w:rsid w:val="00AF336A"/>
    <w:rsid w:val="00AF5BDC"/>
    <w:rsid w:val="00AF5E4C"/>
    <w:rsid w:val="00AF6DB3"/>
    <w:rsid w:val="00AF7710"/>
    <w:rsid w:val="00B00B47"/>
    <w:rsid w:val="00B01AD9"/>
    <w:rsid w:val="00B07626"/>
    <w:rsid w:val="00B10AFB"/>
    <w:rsid w:val="00B13F0E"/>
    <w:rsid w:val="00B15384"/>
    <w:rsid w:val="00B155A0"/>
    <w:rsid w:val="00B1758A"/>
    <w:rsid w:val="00B2218A"/>
    <w:rsid w:val="00B265BD"/>
    <w:rsid w:val="00B3426F"/>
    <w:rsid w:val="00B3502A"/>
    <w:rsid w:val="00B3514A"/>
    <w:rsid w:val="00B46341"/>
    <w:rsid w:val="00B47AAB"/>
    <w:rsid w:val="00B50B73"/>
    <w:rsid w:val="00B52267"/>
    <w:rsid w:val="00B523FE"/>
    <w:rsid w:val="00B52D81"/>
    <w:rsid w:val="00B54CF5"/>
    <w:rsid w:val="00B55866"/>
    <w:rsid w:val="00B621D4"/>
    <w:rsid w:val="00B670A0"/>
    <w:rsid w:val="00B671D7"/>
    <w:rsid w:val="00B67E67"/>
    <w:rsid w:val="00B70DEF"/>
    <w:rsid w:val="00B7296B"/>
    <w:rsid w:val="00B74E35"/>
    <w:rsid w:val="00B755C7"/>
    <w:rsid w:val="00B8383E"/>
    <w:rsid w:val="00B851C4"/>
    <w:rsid w:val="00B8665D"/>
    <w:rsid w:val="00B87573"/>
    <w:rsid w:val="00B91A9D"/>
    <w:rsid w:val="00B92F77"/>
    <w:rsid w:val="00BA1888"/>
    <w:rsid w:val="00BA3870"/>
    <w:rsid w:val="00BA5736"/>
    <w:rsid w:val="00BA64F8"/>
    <w:rsid w:val="00BA7621"/>
    <w:rsid w:val="00BB0EE0"/>
    <w:rsid w:val="00BB18D6"/>
    <w:rsid w:val="00BB2FAC"/>
    <w:rsid w:val="00BB4128"/>
    <w:rsid w:val="00BB6A6F"/>
    <w:rsid w:val="00BB74FB"/>
    <w:rsid w:val="00BB7B5A"/>
    <w:rsid w:val="00BC2354"/>
    <w:rsid w:val="00BC390F"/>
    <w:rsid w:val="00BC6560"/>
    <w:rsid w:val="00BD4B61"/>
    <w:rsid w:val="00BE0BA6"/>
    <w:rsid w:val="00BE1072"/>
    <w:rsid w:val="00BE1E5C"/>
    <w:rsid w:val="00BE271B"/>
    <w:rsid w:val="00BE2CEE"/>
    <w:rsid w:val="00BE3F73"/>
    <w:rsid w:val="00BE544B"/>
    <w:rsid w:val="00BF105C"/>
    <w:rsid w:val="00BF2294"/>
    <w:rsid w:val="00BF41FB"/>
    <w:rsid w:val="00BF7E82"/>
    <w:rsid w:val="00C0039F"/>
    <w:rsid w:val="00C019D8"/>
    <w:rsid w:val="00C06055"/>
    <w:rsid w:val="00C07055"/>
    <w:rsid w:val="00C0748E"/>
    <w:rsid w:val="00C1073F"/>
    <w:rsid w:val="00C10A7D"/>
    <w:rsid w:val="00C10FB2"/>
    <w:rsid w:val="00C120E5"/>
    <w:rsid w:val="00C12906"/>
    <w:rsid w:val="00C13AC8"/>
    <w:rsid w:val="00C1639D"/>
    <w:rsid w:val="00C17688"/>
    <w:rsid w:val="00C20A7A"/>
    <w:rsid w:val="00C20C4B"/>
    <w:rsid w:val="00C219B1"/>
    <w:rsid w:val="00C222B8"/>
    <w:rsid w:val="00C22F96"/>
    <w:rsid w:val="00C2476F"/>
    <w:rsid w:val="00C26D7E"/>
    <w:rsid w:val="00C31209"/>
    <w:rsid w:val="00C31C2A"/>
    <w:rsid w:val="00C32349"/>
    <w:rsid w:val="00C32E8B"/>
    <w:rsid w:val="00C33674"/>
    <w:rsid w:val="00C36983"/>
    <w:rsid w:val="00C4021C"/>
    <w:rsid w:val="00C41AE3"/>
    <w:rsid w:val="00C421C0"/>
    <w:rsid w:val="00C42369"/>
    <w:rsid w:val="00C4436F"/>
    <w:rsid w:val="00C45362"/>
    <w:rsid w:val="00C4567B"/>
    <w:rsid w:val="00C45891"/>
    <w:rsid w:val="00C47149"/>
    <w:rsid w:val="00C47536"/>
    <w:rsid w:val="00C507EF"/>
    <w:rsid w:val="00C51FCE"/>
    <w:rsid w:val="00C52392"/>
    <w:rsid w:val="00C526E7"/>
    <w:rsid w:val="00C52B19"/>
    <w:rsid w:val="00C55A8E"/>
    <w:rsid w:val="00C626F0"/>
    <w:rsid w:val="00C63CB7"/>
    <w:rsid w:val="00C63D08"/>
    <w:rsid w:val="00C643BA"/>
    <w:rsid w:val="00C65328"/>
    <w:rsid w:val="00C66D6F"/>
    <w:rsid w:val="00C7093E"/>
    <w:rsid w:val="00C70ACB"/>
    <w:rsid w:val="00C737D2"/>
    <w:rsid w:val="00C74503"/>
    <w:rsid w:val="00C74CE7"/>
    <w:rsid w:val="00C75FB8"/>
    <w:rsid w:val="00C82577"/>
    <w:rsid w:val="00C848BE"/>
    <w:rsid w:val="00C84A9B"/>
    <w:rsid w:val="00C85383"/>
    <w:rsid w:val="00C867B3"/>
    <w:rsid w:val="00C86E24"/>
    <w:rsid w:val="00C87B57"/>
    <w:rsid w:val="00C93031"/>
    <w:rsid w:val="00C93308"/>
    <w:rsid w:val="00CA0A22"/>
    <w:rsid w:val="00CA1F16"/>
    <w:rsid w:val="00CA59E7"/>
    <w:rsid w:val="00CA6AAB"/>
    <w:rsid w:val="00CB202F"/>
    <w:rsid w:val="00CB5ADC"/>
    <w:rsid w:val="00CC1162"/>
    <w:rsid w:val="00CC1DE0"/>
    <w:rsid w:val="00CC2391"/>
    <w:rsid w:val="00CC2D5F"/>
    <w:rsid w:val="00CC3490"/>
    <w:rsid w:val="00CC3810"/>
    <w:rsid w:val="00CC4633"/>
    <w:rsid w:val="00CC55BB"/>
    <w:rsid w:val="00CD008E"/>
    <w:rsid w:val="00CD3A61"/>
    <w:rsid w:val="00CD4CE7"/>
    <w:rsid w:val="00CD50B9"/>
    <w:rsid w:val="00CD5D43"/>
    <w:rsid w:val="00CD641C"/>
    <w:rsid w:val="00CD64F8"/>
    <w:rsid w:val="00CD71E2"/>
    <w:rsid w:val="00CD7F17"/>
    <w:rsid w:val="00CE0577"/>
    <w:rsid w:val="00CE3484"/>
    <w:rsid w:val="00CE37D4"/>
    <w:rsid w:val="00CE4353"/>
    <w:rsid w:val="00CE4B9A"/>
    <w:rsid w:val="00CE5EA0"/>
    <w:rsid w:val="00CE6608"/>
    <w:rsid w:val="00CF2410"/>
    <w:rsid w:val="00CF3EB8"/>
    <w:rsid w:val="00CF40AE"/>
    <w:rsid w:val="00CF6585"/>
    <w:rsid w:val="00D0053D"/>
    <w:rsid w:val="00D00FC4"/>
    <w:rsid w:val="00D049C0"/>
    <w:rsid w:val="00D05878"/>
    <w:rsid w:val="00D14895"/>
    <w:rsid w:val="00D15258"/>
    <w:rsid w:val="00D160AC"/>
    <w:rsid w:val="00D1674B"/>
    <w:rsid w:val="00D2021E"/>
    <w:rsid w:val="00D22B47"/>
    <w:rsid w:val="00D23407"/>
    <w:rsid w:val="00D25B28"/>
    <w:rsid w:val="00D26268"/>
    <w:rsid w:val="00D26A98"/>
    <w:rsid w:val="00D30ED5"/>
    <w:rsid w:val="00D31A84"/>
    <w:rsid w:val="00D36613"/>
    <w:rsid w:val="00D40248"/>
    <w:rsid w:val="00D4130E"/>
    <w:rsid w:val="00D42D0F"/>
    <w:rsid w:val="00D447DB"/>
    <w:rsid w:val="00D47A11"/>
    <w:rsid w:val="00D51F5E"/>
    <w:rsid w:val="00D525FD"/>
    <w:rsid w:val="00D55BDC"/>
    <w:rsid w:val="00D56523"/>
    <w:rsid w:val="00D60A47"/>
    <w:rsid w:val="00D60BCE"/>
    <w:rsid w:val="00D616E1"/>
    <w:rsid w:val="00D631AB"/>
    <w:rsid w:val="00D63352"/>
    <w:rsid w:val="00D6585E"/>
    <w:rsid w:val="00D661D9"/>
    <w:rsid w:val="00D666FA"/>
    <w:rsid w:val="00D70F14"/>
    <w:rsid w:val="00D70F23"/>
    <w:rsid w:val="00D71A6A"/>
    <w:rsid w:val="00D726D9"/>
    <w:rsid w:val="00D72809"/>
    <w:rsid w:val="00D8084D"/>
    <w:rsid w:val="00D80C06"/>
    <w:rsid w:val="00D8122B"/>
    <w:rsid w:val="00D81694"/>
    <w:rsid w:val="00D85138"/>
    <w:rsid w:val="00D85AD0"/>
    <w:rsid w:val="00D870AF"/>
    <w:rsid w:val="00D87C15"/>
    <w:rsid w:val="00D87DF4"/>
    <w:rsid w:val="00D9034A"/>
    <w:rsid w:val="00D91569"/>
    <w:rsid w:val="00D9228A"/>
    <w:rsid w:val="00D92A8D"/>
    <w:rsid w:val="00D92DA3"/>
    <w:rsid w:val="00DA2470"/>
    <w:rsid w:val="00DA49EB"/>
    <w:rsid w:val="00DA6673"/>
    <w:rsid w:val="00DB1BDB"/>
    <w:rsid w:val="00DB2FB7"/>
    <w:rsid w:val="00DB43D9"/>
    <w:rsid w:val="00DB4581"/>
    <w:rsid w:val="00DB464E"/>
    <w:rsid w:val="00DB4C51"/>
    <w:rsid w:val="00DB696F"/>
    <w:rsid w:val="00DB7470"/>
    <w:rsid w:val="00DC209B"/>
    <w:rsid w:val="00DC6C16"/>
    <w:rsid w:val="00DD017E"/>
    <w:rsid w:val="00DD18C1"/>
    <w:rsid w:val="00DD2773"/>
    <w:rsid w:val="00DD4CAD"/>
    <w:rsid w:val="00DE1078"/>
    <w:rsid w:val="00DE2190"/>
    <w:rsid w:val="00DE2CD5"/>
    <w:rsid w:val="00DE7703"/>
    <w:rsid w:val="00DE7F68"/>
    <w:rsid w:val="00DF0CF3"/>
    <w:rsid w:val="00DF2D42"/>
    <w:rsid w:val="00DF3618"/>
    <w:rsid w:val="00DF4F62"/>
    <w:rsid w:val="00DF5AF2"/>
    <w:rsid w:val="00DF7DBF"/>
    <w:rsid w:val="00E010D3"/>
    <w:rsid w:val="00E02AA3"/>
    <w:rsid w:val="00E04D75"/>
    <w:rsid w:val="00E065CD"/>
    <w:rsid w:val="00E102CD"/>
    <w:rsid w:val="00E10720"/>
    <w:rsid w:val="00E10AB9"/>
    <w:rsid w:val="00E13205"/>
    <w:rsid w:val="00E133F0"/>
    <w:rsid w:val="00E20C31"/>
    <w:rsid w:val="00E24231"/>
    <w:rsid w:val="00E24D40"/>
    <w:rsid w:val="00E25405"/>
    <w:rsid w:val="00E33194"/>
    <w:rsid w:val="00E34851"/>
    <w:rsid w:val="00E402D5"/>
    <w:rsid w:val="00E40F5C"/>
    <w:rsid w:val="00E41578"/>
    <w:rsid w:val="00E41FD1"/>
    <w:rsid w:val="00E43B45"/>
    <w:rsid w:val="00E44FF7"/>
    <w:rsid w:val="00E46CDB"/>
    <w:rsid w:val="00E50FE6"/>
    <w:rsid w:val="00E511B7"/>
    <w:rsid w:val="00E52037"/>
    <w:rsid w:val="00E5456B"/>
    <w:rsid w:val="00E618FE"/>
    <w:rsid w:val="00E64165"/>
    <w:rsid w:val="00E67A08"/>
    <w:rsid w:val="00E67C53"/>
    <w:rsid w:val="00E70AB6"/>
    <w:rsid w:val="00E734B1"/>
    <w:rsid w:val="00E8053B"/>
    <w:rsid w:val="00E80E86"/>
    <w:rsid w:val="00E816C3"/>
    <w:rsid w:val="00E81D93"/>
    <w:rsid w:val="00E81F76"/>
    <w:rsid w:val="00E82898"/>
    <w:rsid w:val="00E85446"/>
    <w:rsid w:val="00E85E26"/>
    <w:rsid w:val="00E861D7"/>
    <w:rsid w:val="00E87E6E"/>
    <w:rsid w:val="00E916AD"/>
    <w:rsid w:val="00E92220"/>
    <w:rsid w:val="00E92AAF"/>
    <w:rsid w:val="00E93F90"/>
    <w:rsid w:val="00E95422"/>
    <w:rsid w:val="00E9620A"/>
    <w:rsid w:val="00E9728C"/>
    <w:rsid w:val="00EA1076"/>
    <w:rsid w:val="00EA37D5"/>
    <w:rsid w:val="00EA3B7C"/>
    <w:rsid w:val="00EA3CDA"/>
    <w:rsid w:val="00EA4B45"/>
    <w:rsid w:val="00EA5B42"/>
    <w:rsid w:val="00EA6220"/>
    <w:rsid w:val="00EB03F1"/>
    <w:rsid w:val="00EB136F"/>
    <w:rsid w:val="00EB2331"/>
    <w:rsid w:val="00EB2730"/>
    <w:rsid w:val="00EB3333"/>
    <w:rsid w:val="00EB463A"/>
    <w:rsid w:val="00EB49EB"/>
    <w:rsid w:val="00EB5CC7"/>
    <w:rsid w:val="00EB6601"/>
    <w:rsid w:val="00EB7534"/>
    <w:rsid w:val="00EB7572"/>
    <w:rsid w:val="00EB7A02"/>
    <w:rsid w:val="00EC00CC"/>
    <w:rsid w:val="00EC1228"/>
    <w:rsid w:val="00EC1E6D"/>
    <w:rsid w:val="00EC47CB"/>
    <w:rsid w:val="00EC4AD9"/>
    <w:rsid w:val="00EC4F6F"/>
    <w:rsid w:val="00EC7CE3"/>
    <w:rsid w:val="00ED2133"/>
    <w:rsid w:val="00ED4602"/>
    <w:rsid w:val="00ED5876"/>
    <w:rsid w:val="00ED76F3"/>
    <w:rsid w:val="00EE1D4D"/>
    <w:rsid w:val="00EF2ADB"/>
    <w:rsid w:val="00EF2BD4"/>
    <w:rsid w:val="00EF357D"/>
    <w:rsid w:val="00EF67F6"/>
    <w:rsid w:val="00EF69D3"/>
    <w:rsid w:val="00F0061B"/>
    <w:rsid w:val="00F019E4"/>
    <w:rsid w:val="00F0397D"/>
    <w:rsid w:val="00F07311"/>
    <w:rsid w:val="00F127AC"/>
    <w:rsid w:val="00F1501A"/>
    <w:rsid w:val="00F15037"/>
    <w:rsid w:val="00F151D0"/>
    <w:rsid w:val="00F1581F"/>
    <w:rsid w:val="00F16E23"/>
    <w:rsid w:val="00F170BB"/>
    <w:rsid w:val="00F179B7"/>
    <w:rsid w:val="00F24AF4"/>
    <w:rsid w:val="00F25C7B"/>
    <w:rsid w:val="00F2606B"/>
    <w:rsid w:val="00F268EA"/>
    <w:rsid w:val="00F33503"/>
    <w:rsid w:val="00F345B6"/>
    <w:rsid w:val="00F35DF3"/>
    <w:rsid w:val="00F36D82"/>
    <w:rsid w:val="00F40C72"/>
    <w:rsid w:val="00F42159"/>
    <w:rsid w:val="00F43F13"/>
    <w:rsid w:val="00F47DCF"/>
    <w:rsid w:val="00F508AF"/>
    <w:rsid w:val="00F50DC8"/>
    <w:rsid w:val="00F52195"/>
    <w:rsid w:val="00F5237F"/>
    <w:rsid w:val="00F55DA4"/>
    <w:rsid w:val="00F562FD"/>
    <w:rsid w:val="00F564C9"/>
    <w:rsid w:val="00F57534"/>
    <w:rsid w:val="00F63687"/>
    <w:rsid w:val="00F71A82"/>
    <w:rsid w:val="00F7339C"/>
    <w:rsid w:val="00F73651"/>
    <w:rsid w:val="00F75739"/>
    <w:rsid w:val="00F76C7A"/>
    <w:rsid w:val="00F80F73"/>
    <w:rsid w:val="00F833A0"/>
    <w:rsid w:val="00F848B9"/>
    <w:rsid w:val="00F85DE1"/>
    <w:rsid w:val="00F8650A"/>
    <w:rsid w:val="00F9360F"/>
    <w:rsid w:val="00F96018"/>
    <w:rsid w:val="00F96A83"/>
    <w:rsid w:val="00FA0D2C"/>
    <w:rsid w:val="00FA1396"/>
    <w:rsid w:val="00FA2A53"/>
    <w:rsid w:val="00FA3C8A"/>
    <w:rsid w:val="00FB05D5"/>
    <w:rsid w:val="00FB07FA"/>
    <w:rsid w:val="00FB1ECA"/>
    <w:rsid w:val="00FB21A3"/>
    <w:rsid w:val="00FB4CB1"/>
    <w:rsid w:val="00FB5AB7"/>
    <w:rsid w:val="00FB5C3B"/>
    <w:rsid w:val="00FB6C1D"/>
    <w:rsid w:val="00FB7C63"/>
    <w:rsid w:val="00FC0AC7"/>
    <w:rsid w:val="00FC0C9E"/>
    <w:rsid w:val="00FC1434"/>
    <w:rsid w:val="00FC177F"/>
    <w:rsid w:val="00FC2621"/>
    <w:rsid w:val="00FC270E"/>
    <w:rsid w:val="00FC3347"/>
    <w:rsid w:val="00FC556B"/>
    <w:rsid w:val="00FC5FEC"/>
    <w:rsid w:val="00FC6BAB"/>
    <w:rsid w:val="00FD07D3"/>
    <w:rsid w:val="00FD28F3"/>
    <w:rsid w:val="00FD682B"/>
    <w:rsid w:val="00FD7106"/>
    <w:rsid w:val="00FE0A8F"/>
    <w:rsid w:val="00FE15A0"/>
    <w:rsid w:val="00FE1A4B"/>
    <w:rsid w:val="00FE28FC"/>
    <w:rsid w:val="00FE4367"/>
    <w:rsid w:val="00FE6D0F"/>
    <w:rsid w:val="00FE7247"/>
    <w:rsid w:val="00FF0C47"/>
    <w:rsid w:val="00FF5457"/>
    <w:rsid w:val="00FF5638"/>
    <w:rsid w:val="00FF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383C73-C3F5-40FD-87DB-531A36D6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FBA"/>
    <w:rPr>
      <w:sz w:val="24"/>
      <w:szCs w:val="24"/>
      <w:lang w:val="en-GB" w:eastAsia="en-GB"/>
    </w:rPr>
  </w:style>
  <w:style w:type="paragraph" w:styleId="Heading1">
    <w:name w:val="heading 1"/>
    <w:basedOn w:val="Normal"/>
    <w:next w:val="Normal"/>
    <w:link w:val="Heading1Char"/>
    <w:qFormat/>
    <w:rsid w:val="006701E6"/>
    <w:pPr>
      <w:keepNext/>
      <w:widowControl w:val="0"/>
      <w:autoSpaceDE w:val="0"/>
      <w:autoSpaceDN w:val="0"/>
      <w:adjustRightInd w:val="0"/>
      <w:spacing w:before="100" w:line="340" w:lineRule="auto"/>
      <w:ind w:left="360" w:hanging="360"/>
      <w:jc w:val="both"/>
      <w:outlineLvl w:val="0"/>
    </w:pPr>
    <w:rPr>
      <w:szCs w:val="20"/>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6B53"/>
    <w:rPr>
      <w:color w:val="610A2C"/>
      <w:u w:val="single"/>
    </w:rPr>
  </w:style>
  <w:style w:type="paragraph" w:customStyle="1" w:styleId="Char">
    <w:name w:val="Char"/>
    <w:basedOn w:val="Normal"/>
    <w:semiHidden/>
    <w:rsid w:val="002C6742"/>
    <w:pPr>
      <w:tabs>
        <w:tab w:val="left" w:pos="709"/>
      </w:tabs>
    </w:pPr>
    <w:rPr>
      <w:rFonts w:ascii="Futura Bk" w:hAnsi="Futura Bk"/>
      <w:lang w:val="pl-PL" w:eastAsia="pl-PL"/>
    </w:rPr>
  </w:style>
  <w:style w:type="paragraph" w:styleId="BalloonText">
    <w:name w:val="Balloon Text"/>
    <w:basedOn w:val="Normal"/>
    <w:semiHidden/>
    <w:rsid w:val="000B5FD1"/>
    <w:rPr>
      <w:rFonts w:ascii="Tahoma" w:hAnsi="Tahoma"/>
      <w:sz w:val="16"/>
      <w:szCs w:val="16"/>
    </w:rPr>
  </w:style>
  <w:style w:type="paragraph" w:styleId="FootnoteText">
    <w:name w:val="footnote text"/>
    <w:basedOn w:val="Normal"/>
    <w:link w:val="FootnoteTextChar"/>
    <w:semiHidden/>
    <w:rsid w:val="00356C19"/>
    <w:rPr>
      <w:sz w:val="20"/>
      <w:szCs w:val="20"/>
    </w:rPr>
  </w:style>
  <w:style w:type="character" w:styleId="FootnoteReference">
    <w:name w:val="footnote reference"/>
    <w:semiHidden/>
    <w:rsid w:val="00356C19"/>
    <w:rPr>
      <w:vertAlign w:val="superscript"/>
    </w:rPr>
  </w:style>
  <w:style w:type="paragraph" w:styleId="BodyTextIndent">
    <w:name w:val="Body Text Indent"/>
    <w:basedOn w:val="Normal"/>
    <w:rsid w:val="00762DAA"/>
    <w:pPr>
      <w:spacing w:after="120"/>
      <w:ind w:left="283"/>
    </w:pPr>
    <w:rPr>
      <w:lang w:eastAsia="en-US"/>
    </w:rPr>
  </w:style>
  <w:style w:type="paragraph" w:styleId="Header">
    <w:name w:val="header"/>
    <w:basedOn w:val="Normal"/>
    <w:rsid w:val="00E10720"/>
    <w:pPr>
      <w:tabs>
        <w:tab w:val="center" w:pos="4536"/>
        <w:tab w:val="right" w:pos="9072"/>
      </w:tabs>
    </w:pPr>
  </w:style>
  <w:style w:type="paragraph" w:styleId="Footer">
    <w:name w:val="footer"/>
    <w:basedOn w:val="Normal"/>
    <w:rsid w:val="00E10720"/>
    <w:pPr>
      <w:tabs>
        <w:tab w:val="center" w:pos="4536"/>
        <w:tab w:val="right" w:pos="9072"/>
      </w:tabs>
    </w:pPr>
  </w:style>
  <w:style w:type="paragraph" w:customStyle="1" w:styleId="CharChar">
    <w:name w:val="Char Char"/>
    <w:basedOn w:val="Normal"/>
    <w:semiHidden/>
    <w:rsid w:val="00F71A82"/>
    <w:pPr>
      <w:tabs>
        <w:tab w:val="left" w:pos="709"/>
      </w:tabs>
    </w:pPr>
    <w:rPr>
      <w:rFonts w:ascii="Futura Bk" w:hAnsi="Futura Bk"/>
      <w:lang w:val="pl-PL" w:eastAsia="pl-PL"/>
    </w:rPr>
  </w:style>
  <w:style w:type="paragraph" w:customStyle="1" w:styleId="CharCharCharChar">
    <w:name w:val="Char Char Char Char"/>
    <w:basedOn w:val="Normal"/>
    <w:semiHidden/>
    <w:rsid w:val="006E41AB"/>
    <w:pPr>
      <w:tabs>
        <w:tab w:val="left" w:pos="709"/>
      </w:tabs>
    </w:pPr>
    <w:rPr>
      <w:rFonts w:ascii="Futura Bk" w:hAnsi="Futura Bk"/>
      <w:lang w:val="pl-PL" w:eastAsia="pl-PL"/>
    </w:rPr>
  </w:style>
  <w:style w:type="paragraph" w:styleId="NormalWeb">
    <w:name w:val="Normal (Web)"/>
    <w:basedOn w:val="Normal"/>
    <w:rsid w:val="00CD50B9"/>
    <w:pPr>
      <w:ind w:firstLine="826"/>
      <w:jc w:val="both"/>
    </w:pPr>
    <w:rPr>
      <w:color w:val="000000"/>
      <w:lang w:val="bg-BG" w:eastAsia="bg-BG"/>
    </w:rPr>
  </w:style>
  <w:style w:type="paragraph" w:styleId="BodyText">
    <w:name w:val="Body Text"/>
    <w:basedOn w:val="Normal"/>
    <w:link w:val="BodyTextChar"/>
    <w:rsid w:val="00E133F0"/>
    <w:pPr>
      <w:spacing w:after="120"/>
    </w:pPr>
    <w:rPr>
      <w:lang w:val="bg-BG" w:eastAsia="bg-BG"/>
    </w:rPr>
  </w:style>
  <w:style w:type="character" w:customStyle="1" w:styleId="BodyTextChar">
    <w:name w:val="Body Text Char"/>
    <w:link w:val="BodyText"/>
    <w:rsid w:val="00E133F0"/>
    <w:rPr>
      <w:sz w:val="24"/>
      <w:szCs w:val="24"/>
    </w:rPr>
  </w:style>
  <w:style w:type="character" w:styleId="Emphasis">
    <w:name w:val="Emphasis"/>
    <w:qFormat/>
    <w:rsid w:val="004D3269"/>
    <w:rPr>
      <w:i/>
      <w:iCs/>
    </w:rPr>
  </w:style>
  <w:style w:type="paragraph" w:customStyle="1" w:styleId="Char1CharCharChar">
    <w:name w:val="Char1 Char Char Char"/>
    <w:basedOn w:val="Normal"/>
    <w:semiHidden/>
    <w:rsid w:val="00C63D08"/>
    <w:pPr>
      <w:tabs>
        <w:tab w:val="left" w:pos="709"/>
      </w:tabs>
    </w:pPr>
    <w:rPr>
      <w:rFonts w:ascii="Futura Bk" w:hAnsi="Futura Bk"/>
      <w:lang w:val="pl-PL" w:eastAsia="pl-PL"/>
    </w:rPr>
  </w:style>
  <w:style w:type="character" w:customStyle="1" w:styleId="FootnoteTextChar">
    <w:name w:val="Footnote Text Char"/>
    <w:basedOn w:val="DefaultParagraphFont"/>
    <w:link w:val="FootnoteText"/>
    <w:semiHidden/>
    <w:rsid w:val="00AA7F02"/>
    <w:rPr>
      <w:lang w:val="en-GB" w:eastAsia="en-GB"/>
    </w:rPr>
  </w:style>
  <w:style w:type="character" w:styleId="CommentReference">
    <w:name w:val="annotation reference"/>
    <w:basedOn w:val="DefaultParagraphFont"/>
    <w:semiHidden/>
    <w:unhideWhenUsed/>
    <w:rsid w:val="009A0FE4"/>
    <w:rPr>
      <w:sz w:val="16"/>
      <w:szCs w:val="16"/>
    </w:rPr>
  </w:style>
  <w:style w:type="paragraph" w:styleId="CommentText">
    <w:name w:val="annotation text"/>
    <w:basedOn w:val="Normal"/>
    <w:link w:val="CommentTextChar"/>
    <w:semiHidden/>
    <w:unhideWhenUsed/>
    <w:rsid w:val="009A0FE4"/>
    <w:rPr>
      <w:sz w:val="20"/>
      <w:szCs w:val="20"/>
    </w:rPr>
  </w:style>
  <w:style w:type="character" w:customStyle="1" w:styleId="CommentTextChar">
    <w:name w:val="Comment Text Char"/>
    <w:basedOn w:val="DefaultParagraphFont"/>
    <w:link w:val="CommentText"/>
    <w:semiHidden/>
    <w:rsid w:val="009A0FE4"/>
    <w:rPr>
      <w:lang w:val="en-GB" w:eastAsia="en-GB"/>
    </w:rPr>
  </w:style>
  <w:style w:type="paragraph" w:styleId="CommentSubject">
    <w:name w:val="annotation subject"/>
    <w:basedOn w:val="CommentText"/>
    <w:next w:val="CommentText"/>
    <w:link w:val="CommentSubjectChar"/>
    <w:semiHidden/>
    <w:unhideWhenUsed/>
    <w:rsid w:val="009A0FE4"/>
    <w:rPr>
      <w:b/>
      <w:bCs/>
    </w:rPr>
  </w:style>
  <w:style w:type="character" w:customStyle="1" w:styleId="CommentSubjectChar">
    <w:name w:val="Comment Subject Char"/>
    <w:basedOn w:val="CommentTextChar"/>
    <w:link w:val="CommentSubject"/>
    <w:semiHidden/>
    <w:rsid w:val="009A0FE4"/>
    <w:rPr>
      <w:b/>
      <w:bCs/>
      <w:lang w:val="en-GB" w:eastAsia="en-GB"/>
    </w:rPr>
  </w:style>
  <w:style w:type="character" w:customStyle="1" w:styleId="Heading1Char">
    <w:name w:val="Heading 1 Char"/>
    <w:basedOn w:val="DefaultParagraphFont"/>
    <w:link w:val="Heading1"/>
    <w:rsid w:val="006701E6"/>
    <w:rPr>
      <w:sz w:val="24"/>
      <w:lang w:val="bg-BG"/>
    </w:rPr>
  </w:style>
  <w:style w:type="paragraph" w:styleId="Title">
    <w:name w:val="Title"/>
    <w:basedOn w:val="Normal"/>
    <w:link w:val="TitleChar"/>
    <w:qFormat/>
    <w:rsid w:val="006701E6"/>
    <w:pPr>
      <w:jc w:val="center"/>
    </w:pPr>
    <w:rPr>
      <w:sz w:val="26"/>
      <w:szCs w:val="20"/>
      <w:lang w:val="bg-BG" w:eastAsia="en-US"/>
    </w:rPr>
  </w:style>
  <w:style w:type="character" w:customStyle="1" w:styleId="TitleChar">
    <w:name w:val="Title Char"/>
    <w:basedOn w:val="DefaultParagraphFont"/>
    <w:link w:val="Title"/>
    <w:rsid w:val="006701E6"/>
    <w:rPr>
      <w:sz w:val="26"/>
      <w:lang w:val="bg-BG"/>
    </w:rPr>
  </w:style>
  <w:style w:type="paragraph" w:styleId="Subtitle">
    <w:name w:val="Subtitle"/>
    <w:basedOn w:val="Normal"/>
    <w:link w:val="SubtitleChar"/>
    <w:qFormat/>
    <w:rsid w:val="006701E6"/>
    <w:pPr>
      <w:jc w:val="center"/>
    </w:pPr>
    <w:rPr>
      <w:b/>
      <w:sz w:val="28"/>
      <w:szCs w:val="20"/>
      <w:lang w:val="bg-BG" w:eastAsia="en-US"/>
    </w:rPr>
  </w:style>
  <w:style w:type="character" w:customStyle="1" w:styleId="SubtitleChar">
    <w:name w:val="Subtitle Char"/>
    <w:basedOn w:val="DefaultParagraphFont"/>
    <w:link w:val="Subtitle"/>
    <w:rsid w:val="006701E6"/>
    <w:rPr>
      <w:b/>
      <w:sz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40436">
      <w:bodyDiv w:val="1"/>
      <w:marLeft w:val="0"/>
      <w:marRight w:val="0"/>
      <w:marTop w:val="0"/>
      <w:marBottom w:val="0"/>
      <w:divBdr>
        <w:top w:val="none" w:sz="0" w:space="0" w:color="auto"/>
        <w:left w:val="none" w:sz="0" w:space="0" w:color="auto"/>
        <w:bottom w:val="none" w:sz="0" w:space="0" w:color="auto"/>
        <w:right w:val="none" w:sz="0" w:space="0" w:color="auto"/>
      </w:divBdr>
      <w:divsChild>
        <w:div w:id="1020739352">
          <w:marLeft w:val="0"/>
          <w:marRight w:val="0"/>
          <w:marTop w:val="0"/>
          <w:marBottom w:val="0"/>
          <w:divBdr>
            <w:top w:val="none" w:sz="0" w:space="0" w:color="auto"/>
            <w:left w:val="none" w:sz="0" w:space="0" w:color="auto"/>
            <w:bottom w:val="none" w:sz="0" w:space="0" w:color="auto"/>
            <w:right w:val="none" w:sz="0" w:space="0" w:color="auto"/>
          </w:divBdr>
          <w:divsChild>
            <w:div w:id="16784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3804">
      <w:bodyDiv w:val="1"/>
      <w:marLeft w:val="0"/>
      <w:marRight w:val="0"/>
      <w:marTop w:val="0"/>
      <w:marBottom w:val="0"/>
      <w:divBdr>
        <w:top w:val="none" w:sz="0" w:space="0" w:color="auto"/>
        <w:left w:val="none" w:sz="0" w:space="0" w:color="auto"/>
        <w:bottom w:val="none" w:sz="0" w:space="0" w:color="auto"/>
        <w:right w:val="none" w:sz="0" w:space="0" w:color="auto"/>
      </w:divBdr>
      <w:divsChild>
        <w:div w:id="1890919477">
          <w:marLeft w:val="0"/>
          <w:marRight w:val="0"/>
          <w:marTop w:val="125"/>
          <w:marBottom w:val="0"/>
          <w:divBdr>
            <w:top w:val="single" w:sz="4" w:space="0" w:color="FFFFFF"/>
            <w:left w:val="single" w:sz="4" w:space="0" w:color="FFFFFF"/>
            <w:bottom w:val="single" w:sz="4" w:space="0" w:color="FFFFFF"/>
            <w:right w:val="single" w:sz="4" w:space="0" w:color="FFFFFF"/>
          </w:divBdr>
        </w:div>
      </w:divsChild>
    </w:div>
    <w:div w:id="545027305">
      <w:bodyDiv w:val="1"/>
      <w:marLeft w:val="0"/>
      <w:marRight w:val="0"/>
      <w:marTop w:val="0"/>
      <w:marBottom w:val="0"/>
      <w:divBdr>
        <w:top w:val="none" w:sz="0" w:space="0" w:color="auto"/>
        <w:left w:val="none" w:sz="0" w:space="0" w:color="auto"/>
        <w:bottom w:val="none" w:sz="0" w:space="0" w:color="auto"/>
        <w:right w:val="none" w:sz="0" w:space="0" w:color="auto"/>
      </w:divBdr>
      <w:divsChild>
        <w:div w:id="1332026307">
          <w:marLeft w:val="0"/>
          <w:marRight w:val="0"/>
          <w:marTop w:val="0"/>
          <w:marBottom w:val="0"/>
          <w:divBdr>
            <w:top w:val="none" w:sz="0" w:space="0" w:color="auto"/>
            <w:left w:val="none" w:sz="0" w:space="0" w:color="auto"/>
            <w:bottom w:val="none" w:sz="0" w:space="0" w:color="auto"/>
            <w:right w:val="none" w:sz="0" w:space="0" w:color="auto"/>
          </w:divBdr>
          <w:divsChild>
            <w:div w:id="749035397">
              <w:marLeft w:val="0"/>
              <w:marRight w:val="0"/>
              <w:marTop w:val="0"/>
              <w:marBottom w:val="0"/>
              <w:divBdr>
                <w:top w:val="none" w:sz="0" w:space="0" w:color="auto"/>
                <w:left w:val="none" w:sz="0" w:space="0" w:color="auto"/>
                <w:bottom w:val="none" w:sz="0" w:space="0" w:color="auto"/>
                <w:right w:val="none" w:sz="0" w:space="0" w:color="auto"/>
              </w:divBdr>
            </w:div>
            <w:div w:id="1355309225">
              <w:marLeft w:val="0"/>
              <w:marRight w:val="0"/>
              <w:marTop w:val="0"/>
              <w:marBottom w:val="0"/>
              <w:divBdr>
                <w:top w:val="none" w:sz="0" w:space="0" w:color="auto"/>
                <w:left w:val="none" w:sz="0" w:space="0" w:color="auto"/>
                <w:bottom w:val="none" w:sz="0" w:space="0" w:color="auto"/>
                <w:right w:val="none" w:sz="0" w:space="0" w:color="auto"/>
              </w:divBdr>
            </w:div>
            <w:div w:id="19113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7973">
      <w:bodyDiv w:val="1"/>
      <w:marLeft w:val="0"/>
      <w:marRight w:val="0"/>
      <w:marTop w:val="0"/>
      <w:marBottom w:val="0"/>
      <w:divBdr>
        <w:top w:val="none" w:sz="0" w:space="0" w:color="auto"/>
        <w:left w:val="none" w:sz="0" w:space="0" w:color="auto"/>
        <w:bottom w:val="none" w:sz="0" w:space="0" w:color="auto"/>
        <w:right w:val="none" w:sz="0" w:space="0" w:color="auto"/>
      </w:divBdr>
      <w:divsChild>
        <w:div w:id="926766021">
          <w:marLeft w:val="0"/>
          <w:marRight w:val="0"/>
          <w:marTop w:val="0"/>
          <w:marBottom w:val="0"/>
          <w:divBdr>
            <w:top w:val="none" w:sz="0" w:space="0" w:color="auto"/>
            <w:left w:val="none" w:sz="0" w:space="0" w:color="auto"/>
            <w:bottom w:val="none" w:sz="0" w:space="0" w:color="auto"/>
            <w:right w:val="none" w:sz="0" w:space="0" w:color="auto"/>
          </w:divBdr>
          <w:divsChild>
            <w:div w:id="3548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minfin.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minfin.b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Velkova\AppData\Local\Microsoft\Windows\INetCache\Content.Outlook\0D7C69SJ\Copy%20of%20Estim_2022_Program%20&#1044;&#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Бюджетно</a:t>
            </a:r>
            <a:r>
              <a:rPr lang="bg-BG" baseline="0"/>
              <a:t> с</a:t>
            </a:r>
            <a:r>
              <a:rPr lang="bg-BG"/>
              <a:t>алдо на касова основа </a:t>
            </a:r>
            <a:r>
              <a:rPr lang="bg-BG" sz="1200"/>
              <a:t>(%</a:t>
            </a:r>
            <a:r>
              <a:rPr lang="bg-BG" sz="1200" baseline="0"/>
              <a:t> от БВП)</a:t>
            </a:r>
            <a:endParaRPr lang="en-US" sz="1200"/>
          </a:p>
        </c:rich>
      </c:tx>
      <c:overlay val="0"/>
      <c:spPr>
        <a:noFill/>
        <a:ln>
          <a:noFill/>
        </a:ln>
        <a:effectLst/>
      </c:spPr>
    </c:title>
    <c:autoTitleDeleted val="0"/>
    <c:plotArea>
      <c:layout/>
      <c:barChart>
        <c:barDir val="col"/>
        <c:grouping val="clustered"/>
        <c:varyColors val="0"/>
        <c:ser>
          <c:idx val="0"/>
          <c:order val="0"/>
          <c:tx>
            <c:strRef>
              <c:f>'КФП (2)'!$B$14</c:f>
              <c:strCache>
                <c:ptCount val="1"/>
                <c:pt idx="0">
                  <c:v>Дефицит КФП</c:v>
                </c:pt>
              </c:strCache>
            </c:strRef>
          </c:tx>
          <c:spPr>
            <a:solidFill>
              <a:schemeClr val="accent1"/>
            </a:solidFill>
            <a:ln>
              <a:noFill/>
            </a:ln>
            <a:effectLst/>
          </c:spPr>
          <c:invertIfNegative val="0"/>
          <c:dLbls>
            <c:dLbl>
              <c:idx val="0"/>
              <c:tx>
                <c:rich>
                  <a:bodyPr/>
                  <a:lstStyle/>
                  <a:p>
                    <a:r>
                      <a:rPr lang="en-US"/>
                      <a:t>- 4,1 %</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C0-409E-833F-ED1031C778F7}"/>
                </c:ext>
              </c:extLst>
            </c:dLbl>
            <c:dLbl>
              <c:idx val="1"/>
              <c:tx>
                <c:rich>
                  <a:bodyPr/>
                  <a:lstStyle/>
                  <a:p>
                    <a:r>
                      <a:rPr lang="en-US"/>
                      <a:t>- 1,0 %</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C0-409E-833F-ED1031C778F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'КФП (2)'!$A$15:$A$18</c:f>
              <c:strCache>
                <c:ptCount val="2"/>
                <c:pt idx="0">
                  <c:v>ЗДБРБ за 2022 г.</c:v>
                </c:pt>
                <c:pt idx="1">
                  <c:v>Очаквано изпълнение 2022 г.</c:v>
                </c:pt>
              </c:strCache>
              <c:extLst/>
            </c:strRef>
          </c:cat>
          <c:val>
            <c:numRef>
              <c:f>'КФП (2)'!$B$15:$B$18</c:f>
              <c:numCache>
                <c:formatCode>0.0</c:formatCode>
                <c:ptCount val="2"/>
                <c:pt idx="0">
                  <c:v>-4.1386333009953944</c:v>
                </c:pt>
                <c:pt idx="1">
                  <c:v>-0.96769382360461531</c:v>
                </c:pt>
              </c:numCache>
              <c:extLst/>
            </c:numRef>
          </c:val>
          <c:extLst>
            <c:ext xmlns:c16="http://schemas.microsoft.com/office/drawing/2014/chart" uri="{C3380CC4-5D6E-409C-BE32-E72D297353CC}">
              <c16:uniqueId val="{00000002-88C0-409E-833F-ED1031C778F7}"/>
            </c:ext>
          </c:extLst>
        </c:ser>
        <c:ser>
          <c:idx val="1"/>
          <c:order val="1"/>
          <c:tx>
            <c:strRef>
              <c:f>'КФП (2)'!$C$14</c:f>
              <c:strCache>
                <c:ptCount val="1"/>
                <c:pt idx="0">
                  <c:v>Дефицит национален бюджет</c:v>
                </c:pt>
              </c:strCache>
            </c:strRef>
          </c:tx>
          <c:spPr>
            <a:solidFill>
              <a:schemeClr val="accent2"/>
            </a:solidFill>
            <a:ln>
              <a:noFill/>
            </a:ln>
            <a:effectLst/>
          </c:spPr>
          <c:invertIfNegative val="0"/>
          <c:dLbls>
            <c:dLbl>
              <c:idx val="0"/>
              <c:tx>
                <c:rich>
                  <a:bodyPr/>
                  <a:lstStyle/>
                  <a:p>
                    <a:r>
                      <a:rPr lang="en-US"/>
                      <a:t>- 5,1 %</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C0-409E-833F-ED1031C778F7}"/>
                </c:ext>
              </c:extLst>
            </c:dLbl>
            <c:dLbl>
              <c:idx val="1"/>
              <c:tx>
                <c:rich>
                  <a:bodyPr/>
                  <a:lstStyle/>
                  <a:p>
                    <a:r>
                      <a:rPr lang="en-US"/>
                      <a:t>- 3,3 %</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C0-409E-833F-ED1031C778F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'КФП (2)'!$A$15:$A$18</c:f>
              <c:strCache>
                <c:ptCount val="2"/>
                <c:pt idx="0">
                  <c:v>ЗДБРБ за 2022 г.</c:v>
                </c:pt>
                <c:pt idx="1">
                  <c:v>Очаквано изпълнение 2022 г.</c:v>
                </c:pt>
              </c:strCache>
              <c:extLst/>
            </c:strRef>
          </c:cat>
          <c:val>
            <c:numRef>
              <c:f>'КФП (2)'!$C$15:$C$18</c:f>
              <c:numCache>
                <c:formatCode>0.0</c:formatCode>
                <c:ptCount val="2"/>
                <c:pt idx="0">
                  <c:v>-5.0976978484192115</c:v>
                </c:pt>
                <c:pt idx="1">
                  <c:v>-3.2583769970457435</c:v>
                </c:pt>
              </c:numCache>
              <c:extLst/>
            </c:numRef>
          </c:val>
          <c:extLst>
            <c:ext xmlns:c16="http://schemas.microsoft.com/office/drawing/2014/chart" uri="{C3380CC4-5D6E-409C-BE32-E72D297353CC}">
              <c16:uniqueId val="{00000005-88C0-409E-833F-ED1031C778F7}"/>
            </c:ext>
          </c:extLst>
        </c:ser>
        <c:ser>
          <c:idx val="2"/>
          <c:order val="2"/>
          <c:tx>
            <c:strRef>
              <c:f>'КФП (2)'!$D$14</c:f>
              <c:strCache>
                <c:ptCount val="1"/>
                <c:pt idx="0">
                  <c:v>Излишък ЕС</c:v>
                </c:pt>
              </c:strCache>
            </c:strRef>
          </c:tx>
          <c:spPr>
            <a:solidFill>
              <a:schemeClr val="accent3"/>
            </a:solidFill>
            <a:ln>
              <a:noFill/>
            </a:ln>
            <a:effectLst/>
          </c:spPr>
          <c:invertIfNegative val="0"/>
          <c:dLbls>
            <c:dLbl>
              <c:idx val="0"/>
              <c:tx>
                <c:rich>
                  <a:bodyPr/>
                  <a:lstStyle/>
                  <a:p>
                    <a:r>
                      <a:rPr lang="en-US" baseline="0"/>
                      <a:t>1,0 %</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C0-409E-833F-ED1031C778F7}"/>
                </c:ext>
              </c:extLst>
            </c:dLbl>
            <c:dLbl>
              <c:idx val="1"/>
              <c:tx>
                <c:rich>
                  <a:bodyPr/>
                  <a:lstStyle/>
                  <a:p>
                    <a:r>
                      <a:rPr lang="en-US"/>
                      <a:t>2,3 %</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C0-409E-833F-ED1031C778F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'КФП (2)'!$A$15:$A$18</c:f>
              <c:strCache>
                <c:ptCount val="2"/>
                <c:pt idx="0">
                  <c:v>ЗДБРБ за 2022 г.</c:v>
                </c:pt>
                <c:pt idx="1">
                  <c:v>Очаквано изпълнение 2022 г.</c:v>
                </c:pt>
              </c:strCache>
              <c:extLst/>
            </c:strRef>
          </c:cat>
          <c:val>
            <c:numRef>
              <c:f>'КФП (2)'!$D$15:$D$18</c:f>
              <c:numCache>
                <c:formatCode>0.0</c:formatCode>
                <c:ptCount val="2"/>
                <c:pt idx="0">
                  <c:v>0.95906454742381697</c:v>
                </c:pt>
                <c:pt idx="1">
                  <c:v>2.2906831734411286</c:v>
                </c:pt>
              </c:numCache>
              <c:extLst/>
            </c:numRef>
          </c:val>
          <c:extLst>
            <c:ext xmlns:c16="http://schemas.microsoft.com/office/drawing/2014/chart" uri="{C3380CC4-5D6E-409C-BE32-E72D297353CC}">
              <c16:uniqueId val="{00000008-88C0-409E-833F-ED1031C778F7}"/>
            </c:ext>
          </c:extLst>
        </c:ser>
        <c:dLbls>
          <c:showLegendKey val="0"/>
          <c:showVal val="0"/>
          <c:showCatName val="0"/>
          <c:showSerName val="0"/>
          <c:showPercent val="0"/>
          <c:showBubbleSize val="0"/>
        </c:dLbls>
        <c:gapWidth val="219"/>
        <c:overlap val="-27"/>
        <c:axId val="277029632"/>
        <c:axId val="277031168"/>
      </c:barChart>
      <c:catAx>
        <c:axId val="27702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77031168"/>
        <c:crosses val="autoZero"/>
        <c:auto val="1"/>
        <c:lblAlgn val="ctr"/>
        <c:lblOffset val="100"/>
        <c:noMultiLvlLbl val="0"/>
      </c:catAx>
      <c:valAx>
        <c:axId val="2770311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029632"/>
        <c:crosses val="autoZero"/>
        <c:crossBetween val="between"/>
      </c:valAx>
      <c:spPr>
        <a:noFill/>
        <a:ln w="25400">
          <a:noFill/>
        </a:ln>
        <a:effectLst/>
      </c:spPr>
    </c:plotArea>
    <c:legend>
      <c:legendPos val="b"/>
      <c:layout>
        <c:manualLayout>
          <c:xMode val="edge"/>
          <c:yMode val="edge"/>
          <c:x val="9.9586200373601955E-2"/>
          <c:y val="0.88088520885561949"/>
          <c:w val="0.80496967236038641"/>
          <c:h val="6.30609794851876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12F1-577C-478E-A6B3-D69FE61E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Усилията за ограничаване на нелихвените разходи и трансферите по републиканския бюджет продължиха през октомври, като лимитите за разходи и трансфери бяха внимателно анализирани и включваха най-приоритетните и неотложни плащания за месеца</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Усилията за ограничаване на нелихвените разходи и трансферите по републиканския бюджет продължиха през октомври, като лимитите за разходи и трансфери бяха внимателно анализирани и включваха най-приоритетните и неотложни плащания за месеца</dc:title>
  <dc:creator>Irena Paliyska</dc:creator>
  <cp:lastModifiedBy>Александра Мешкова</cp:lastModifiedBy>
  <cp:revision>8</cp:revision>
  <cp:lastPrinted>2022-10-31T16:10:00Z</cp:lastPrinted>
  <dcterms:created xsi:type="dcterms:W3CDTF">2022-10-31T16:16:00Z</dcterms:created>
  <dcterms:modified xsi:type="dcterms:W3CDTF">2022-12-30T19:01:00Z</dcterms:modified>
</cp:coreProperties>
</file>