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D4" w:rsidRPr="0029615E" w:rsidRDefault="00684DD4" w:rsidP="00924731">
      <w:pPr>
        <w:autoSpaceDE w:val="0"/>
        <w:autoSpaceDN w:val="0"/>
        <w:adjustRightInd w:val="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bookmarkStart w:id="0" w:name="_GoBack"/>
      <w:bookmarkEnd w:id="0"/>
      <w:r w:rsidRPr="0029615E">
        <w:rPr>
          <w:rFonts w:ascii="Times New Roman" w:eastAsia="Times" w:hAnsi="Times New Roman"/>
          <w:b/>
          <w:bCs/>
          <w:szCs w:val="24"/>
          <w:lang w:val="bg-BG"/>
        </w:rPr>
        <w:t xml:space="preserve">ИКОНОМИЧЕСКИ СМЕТКИ </w:t>
      </w:r>
      <w:r>
        <w:rPr>
          <w:rFonts w:ascii="Times New Roman" w:eastAsia="Times" w:hAnsi="Times New Roman"/>
          <w:b/>
          <w:bCs/>
          <w:szCs w:val="24"/>
          <w:lang w:val="bg-BG"/>
        </w:rPr>
        <w:t>ЗА СЕЛСКОТО СТОПАНСТВО ПРЕЗ 2022</w:t>
      </w:r>
      <w:r w:rsidRPr="0029615E">
        <w:rPr>
          <w:rFonts w:ascii="Times New Roman" w:eastAsia="Times" w:hAnsi="Times New Roman"/>
          <w:b/>
          <w:bCs/>
          <w:szCs w:val="24"/>
          <w:lang w:val="bg-BG"/>
        </w:rPr>
        <w:t xml:space="preserve"> ГОДИНА</w:t>
      </w:r>
    </w:p>
    <w:p w:rsidR="00684DD4" w:rsidRDefault="00684DD4" w:rsidP="00924731">
      <w:pPr>
        <w:autoSpaceDE w:val="0"/>
        <w:autoSpaceDN w:val="0"/>
        <w:adjustRightInd w:val="0"/>
        <w:spacing w:before="120" w:after="24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29615E">
        <w:rPr>
          <w:rFonts w:ascii="Times New Roman" w:eastAsia="Times" w:hAnsi="Times New Roman"/>
          <w:b/>
          <w:bCs/>
          <w:szCs w:val="24"/>
          <w:lang w:val="bg-BG"/>
        </w:rPr>
        <w:t>(ПЪРВА ОЦЕНКА)</w:t>
      </w:r>
    </w:p>
    <w:p w:rsidR="00AE3A24" w:rsidRPr="00AE3A24" w:rsidRDefault="00AE3A24" w:rsidP="00AE3A24">
      <w:pPr>
        <w:spacing w:before="120"/>
        <w:jc w:val="center"/>
        <w:rPr>
          <w:rFonts w:ascii="Times New Roman" w:hAnsi="Times New Roman"/>
          <w:b/>
          <w:lang w:val="bg-BG"/>
        </w:rPr>
      </w:pPr>
    </w:p>
    <w:p w:rsidR="00AE3A24" w:rsidRPr="00832554" w:rsidRDefault="00AE3A24" w:rsidP="00B610EB">
      <w:pPr>
        <w:spacing w:after="60"/>
        <w:ind w:firstLine="709"/>
        <w:jc w:val="both"/>
        <w:rPr>
          <w:rFonts w:ascii="Times New Roman" w:hAnsi="Times New Roman"/>
          <w:i/>
          <w:lang w:val="bg-BG"/>
        </w:rPr>
      </w:pPr>
      <w:r w:rsidRPr="00832554">
        <w:rPr>
          <w:rFonts w:ascii="Times New Roman" w:hAnsi="Times New Roman"/>
          <w:i/>
          <w:lang w:val="bg-BG"/>
        </w:rPr>
        <w:t>Според първата оценка на икономическите сметки за селското стопанство крайната продукция по базисни цени  от отрасъл „Селско стопанство“ през 2022 г. възлиза на 12 903.2 млн. л</w:t>
      </w:r>
      <w:r w:rsidR="004F37E7">
        <w:rPr>
          <w:rFonts w:ascii="Times New Roman" w:hAnsi="Times New Roman"/>
          <w:i/>
          <w:lang w:val="bg-BG"/>
        </w:rPr>
        <w:t>е</w:t>
      </w:r>
      <w:r w:rsidRPr="00832554">
        <w:rPr>
          <w:rFonts w:ascii="Times New Roman" w:hAnsi="Times New Roman"/>
          <w:i/>
          <w:lang w:val="bg-BG"/>
        </w:rPr>
        <w:t>в</w:t>
      </w:r>
      <w:r w:rsidR="004F37E7">
        <w:rPr>
          <w:rFonts w:ascii="Times New Roman" w:hAnsi="Times New Roman"/>
          <w:i/>
          <w:lang w:val="bg-BG"/>
        </w:rPr>
        <w:t>а</w:t>
      </w:r>
      <w:r w:rsidRPr="00832554">
        <w:rPr>
          <w:rFonts w:ascii="Times New Roman" w:hAnsi="Times New Roman"/>
          <w:i/>
          <w:lang w:val="bg-BG"/>
        </w:rPr>
        <w:t>.</w:t>
      </w:r>
      <w:r w:rsidRPr="00832554">
        <w:rPr>
          <w:rFonts w:hint="cs"/>
          <w:i/>
          <w:lang w:val="bg-BG"/>
        </w:rPr>
        <w:t xml:space="preserve"> </w:t>
      </w:r>
      <w:r w:rsidRPr="00832554">
        <w:rPr>
          <w:rFonts w:ascii="Times New Roman" w:hAnsi="Times New Roman" w:hint="cs"/>
          <w:i/>
          <w:lang w:val="bg-BG"/>
        </w:rPr>
        <w:t>Брутната</w:t>
      </w:r>
      <w:r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 w:hint="cs"/>
          <w:i/>
          <w:lang w:val="bg-BG"/>
        </w:rPr>
        <w:t>добавена</w:t>
      </w:r>
      <w:r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 w:hint="cs"/>
          <w:i/>
          <w:lang w:val="bg-BG"/>
        </w:rPr>
        <w:t>стойност</w:t>
      </w:r>
      <w:r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 w:hint="cs"/>
          <w:i/>
          <w:lang w:val="bg-BG"/>
        </w:rPr>
        <w:t>по</w:t>
      </w:r>
      <w:r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 w:hint="cs"/>
          <w:i/>
          <w:lang w:val="bg-BG"/>
        </w:rPr>
        <w:t>базисни</w:t>
      </w:r>
      <w:r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 w:hint="cs"/>
          <w:i/>
          <w:lang w:val="bg-BG"/>
        </w:rPr>
        <w:t>цени</w:t>
      </w:r>
      <w:r w:rsidRPr="00832554">
        <w:rPr>
          <w:rFonts w:ascii="Times New Roman" w:hAnsi="Times New Roman"/>
          <w:i/>
          <w:lang w:val="bg-BG"/>
        </w:rPr>
        <w:t xml:space="preserve"> се увеличава с 9.9% на годишна база и </w:t>
      </w:r>
      <w:r w:rsidRPr="00832554">
        <w:rPr>
          <w:rFonts w:ascii="Times New Roman" w:hAnsi="Times New Roman" w:hint="cs"/>
          <w:i/>
          <w:lang w:val="bg-BG"/>
        </w:rPr>
        <w:t>достига</w:t>
      </w:r>
      <w:r w:rsidRPr="00832554">
        <w:rPr>
          <w:rFonts w:ascii="Times New Roman" w:hAnsi="Times New Roman"/>
          <w:i/>
          <w:lang w:val="bg-BG"/>
        </w:rPr>
        <w:t xml:space="preserve"> 5 677.1 </w:t>
      </w:r>
      <w:r w:rsidRPr="00832554">
        <w:rPr>
          <w:rFonts w:ascii="Times New Roman" w:hAnsi="Times New Roman" w:hint="cs"/>
          <w:i/>
          <w:lang w:val="bg-BG"/>
        </w:rPr>
        <w:t>млн</w:t>
      </w:r>
      <w:r w:rsidRPr="00832554">
        <w:rPr>
          <w:rFonts w:ascii="Times New Roman" w:hAnsi="Times New Roman"/>
          <w:i/>
          <w:lang w:val="bg-BG"/>
        </w:rPr>
        <w:t xml:space="preserve">. </w:t>
      </w:r>
      <w:r w:rsidRPr="00832554">
        <w:rPr>
          <w:rFonts w:ascii="Times New Roman" w:hAnsi="Times New Roman" w:hint="cs"/>
          <w:i/>
          <w:lang w:val="bg-BG"/>
        </w:rPr>
        <w:t>лв</w:t>
      </w:r>
      <w:r w:rsidRPr="00832554">
        <w:rPr>
          <w:rFonts w:ascii="Times New Roman" w:hAnsi="Times New Roman"/>
          <w:i/>
          <w:lang w:val="bg-BG"/>
        </w:rPr>
        <w:t>., а нетния</w:t>
      </w:r>
      <w:r w:rsidR="00FB3618" w:rsidRPr="00832554">
        <w:rPr>
          <w:rFonts w:ascii="Times New Roman" w:hAnsi="Times New Roman"/>
          <w:i/>
          <w:lang w:val="bg-BG"/>
        </w:rPr>
        <w:t>т</w:t>
      </w:r>
      <w:r w:rsidRPr="00832554">
        <w:rPr>
          <w:rFonts w:ascii="Times New Roman" w:hAnsi="Times New Roman"/>
          <w:i/>
          <w:lang w:val="bg-BG"/>
        </w:rPr>
        <w:t xml:space="preserve"> предприемачески доход възлиза на 3</w:t>
      </w:r>
      <w:r w:rsidR="00C11E41"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/>
          <w:i/>
          <w:lang w:val="bg-BG"/>
        </w:rPr>
        <w:t>633.6 млн.</w:t>
      </w:r>
      <w:r w:rsidR="00C11E41" w:rsidRPr="00832554">
        <w:rPr>
          <w:rFonts w:ascii="Times New Roman" w:hAnsi="Times New Roman"/>
          <w:i/>
          <w:lang w:val="bg-BG"/>
        </w:rPr>
        <w:t xml:space="preserve"> </w:t>
      </w:r>
      <w:r w:rsidRPr="00832554">
        <w:rPr>
          <w:rFonts w:ascii="Times New Roman" w:hAnsi="Times New Roman"/>
          <w:i/>
          <w:lang w:val="bg-BG"/>
        </w:rPr>
        <w:t>л</w:t>
      </w:r>
      <w:r w:rsidR="00C11E41" w:rsidRPr="00832554">
        <w:rPr>
          <w:rFonts w:ascii="Times New Roman" w:hAnsi="Times New Roman"/>
          <w:i/>
          <w:lang w:val="bg-BG"/>
        </w:rPr>
        <w:t>е</w:t>
      </w:r>
      <w:r w:rsidRPr="00832554">
        <w:rPr>
          <w:rFonts w:ascii="Times New Roman" w:hAnsi="Times New Roman"/>
          <w:i/>
          <w:lang w:val="bg-BG"/>
        </w:rPr>
        <w:t>в</w:t>
      </w:r>
      <w:r w:rsidR="00C11E41" w:rsidRPr="00832554">
        <w:rPr>
          <w:rFonts w:ascii="Times New Roman" w:hAnsi="Times New Roman"/>
          <w:i/>
          <w:lang w:val="bg-BG"/>
        </w:rPr>
        <w:t>а</w:t>
      </w:r>
      <w:r w:rsidRPr="00832554">
        <w:rPr>
          <w:rFonts w:ascii="Times New Roman" w:hAnsi="Times New Roman"/>
          <w:i/>
          <w:lang w:val="bg-BG"/>
        </w:rPr>
        <w:t>.</w:t>
      </w:r>
    </w:p>
    <w:p w:rsidR="00A02BBE" w:rsidRPr="008B2DDD" w:rsidRDefault="00684DD4" w:rsidP="00832554">
      <w:pPr>
        <w:autoSpaceDE w:val="0"/>
        <w:autoSpaceDN w:val="0"/>
        <w:adjustRightInd w:val="0"/>
        <w:spacing w:before="360" w:after="60"/>
        <w:ind w:firstLine="709"/>
        <w:jc w:val="both"/>
        <w:rPr>
          <w:rFonts w:ascii="Calibri" w:hAnsi="Calibri"/>
          <w:lang w:val="bg-BG"/>
        </w:rPr>
      </w:pPr>
      <w:r w:rsidRPr="00684DD4">
        <w:rPr>
          <w:rFonts w:ascii="Times New Roman" w:eastAsia="Times" w:hAnsi="Times New Roman"/>
          <w:szCs w:val="24"/>
          <w:lang w:val="bg-BG"/>
        </w:rPr>
        <w:t>Според първата оценка на икономическите сметки за селското стопанство крайната продукция по базисни цени</w:t>
      </w:r>
      <w:r w:rsidRPr="00684DD4">
        <w:rPr>
          <w:rFonts w:ascii="Times New Roman" w:eastAsia="Times" w:hAnsi="Times New Roman"/>
          <w:szCs w:val="24"/>
          <w:vertAlign w:val="superscript"/>
          <w:lang w:val="bg-BG"/>
        </w:rPr>
        <w:footnoteReference w:id="1"/>
      </w:r>
      <w:r w:rsidRPr="00684DD4">
        <w:rPr>
          <w:rFonts w:ascii="Times New Roman" w:eastAsia="Times" w:hAnsi="Times New Roman"/>
          <w:szCs w:val="24"/>
          <w:lang w:val="bg-BG"/>
        </w:rPr>
        <w:t xml:space="preserve"> от отрас</w:t>
      </w:r>
      <w:r>
        <w:rPr>
          <w:rFonts w:ascii="Times New Roman" w:eastAsia="Times" w:hAnsi="Times New Roman"/>
          <w:szCs w:val="24"/>
          <w:lang w:val="bg-BG"/>
        </w:rPr>
        <w:t>ъл „Селско стопанство“ през 2022</w:t>
      </w:r>
      <w:r w:rsidRPr="00684DD4">
        <w:rPr>
          <w:rFonts w:ascii="Times New Roman" w:eastAsia="Times" w:hAnsi="Times New Roman"/>
          <w:szCs w:val="24"/>
          <w:lang w:val="bg-BG"/>
        </w:rPr>
        <w:t xml:space="preserve"> г. възлиза на </w:t>
      </w:r>
      <w:r w:rsidR="003368AC">
        <w:rPr>
          <w:rFonts w:ascii="Times New Roman" w:eastAsia="Times" w:hAnsi="Times New Roman"/>
          <w:szCs w:val="24"/>
          <w:lang w:val="bg-BG"/>
        </w:rPr>
        <w:t>12</w:t>
      </w:r>
      <w:r w:rsidR="003368AC" w:rsidRPr="004D2BE6">
        <w:rPr>
          <w:rFonts w:ascii="Times New Roman" w:eastAsia="Times" w:hAnsi="Times New Roman"/>
          <w:szCs w:val="24"/>
          <w:lang w:val="bg-BG"/>
        </w:rPr>
        <w:t xml:space="preserve"> </w:t>
      </w:r>
      <w:r w:rsidR="003368AC">
        <w:rPr>
          <w:rFonts w:ascii="Times New Roman" w:eastAsia="Times" w:hAnsi="Times New Roman"/>
          <w:szCs w:val="24"/>
          <w:lang w:val="bg-BG"/>
        </w:rPr>
        <w:t>903.2</w:t>
      </w:r>
      <w:r w:rsidRPr="00684DD4">
        <w:rPr>
          <w:rFonts w:ascii="Times New Roman" w:eastAsia="Times" w:hAnsi="Times New Roman"/>
          <w:szCs w:val="24"/>
          <w:lang w:val="bg-BG"/>
        </w:rPr>
        <w:t xml:space="preserve"> млн. лв., което е с</w:t>
      </w:r>
      <w:r w:rsidR="003368AC">
        <w:rPr>
          <w:rFonts w:ascii="Times New Roman" w:eastAsia="Times" w:hAnsi="Times New Roman"/>
          <w:szCs w:val="24"/>
          <w:lang w:val="bg-BG"/>
        </w:rPr>
        <w:t xml:space="preserve"> 19.7</w:t>
      </w:r>
      <w:r w:rsidRPr="00684DD4">
        <w:rPr>
          <w:rFonts w:ascii="Times New Roman" w:eastAsia="Times" w:hAnsi="Times New Roman"/>
          <w:szCs w:val="24"/>
          <w:lang w:val="bg-BG"/>
        </w:rPr>
        <w:t>% повече в сравнение с предходната година</w:t>
      </w:r>
      <w:r w:rsidR="003368AC" w:rsidRPr="004D2BE6">
        <w:rPr>
          <w:rFonts w:ascii="Times New Roman" w:eastAsia="Times" w:hAnsi="Times New Roman"/>
          <w:szCs w:val="24"/>
          <w:lang w:val="bg-BG"/>
        </w:rPr>
        <w:t xml:space="preserve">. </w:t>
      </w:r>
      <w:r w:rsidR="003368AC">
        <w:rPr>
          <w:rFonts w:ascii="Times New Roman" w:eastAsia="Times" w:hAnsi="Times New Roman"/>
          <w:szCs w:val="24"/>
          <w:lang w:val="bg-BG"/>
        </w:rPr>
        <w:t>Увеличението се дължи на ръст в цените - с 29</w:t>
      </w:r>
      <w:r w:rsidR="003368AC" w:rsidRPr="004D2BE6">
        <w:rPr>
          <w:rFonts w:ascii="Times New Roman" w:eastAsia="Times" w:hAnsi="Times New Roman"/>
          <w:szCs w:val="24"/>
          <w:lang w:val="bg-BG"/>
        </w:rPr>
        <w:t>.</w:t>
      </w:r>
      <w:r w:rsidR="008B2DDD" w:rsidRPr="004D2BE6">
        <w:rPr>
          <w:rFonts w:ascii="Times New Roman" w:eastAsia="Times" w:hAnsi="Times New Roman"/>
          <w:szCs w:val="24"/>
          <w:lang w:val="bg-BG"/>
        </w:rPr>
        <w:t>7%</w:t>
      </w:r>
      <w:r w:rsidR="008B2DDD">
        <w:rPr>
          <w:rFonts w:ascii="Times New Roman" w:eastAsia="Times" w:hAnsi="Times New Roman"/>
          <w:szCs w:val="24"/>
          <w:lang w:val="bg-BG"/>
        </w:rPr>
        <w:t>, докато пр</w:t>
      </w:r>
      <w:r w:rsidR="005846C9">
        <w:rPr>
          <w:rFonts w:ascii="Times New Roman" w:eastAsia="Times" w:hAnsi="Times New Roman"/>
          <w:szCs w:val="24"/>
          <w:lang w:val="bg-BG"/>
        </w:rPr>
        <w:t>и обемите се наблюдава спад</w:t>
      </w:r>
      <w:r w:rsidR="008B2DDD">
        <w:rPr>
          <w:rFonts w:ascii="Times New Roman" w:eastAsia="Times" w:hAnsi="Times New Roman"/>
          <w:szCs w:val="24"/>
          <w:lang w:val="bg-BG"/>
        </w:rPr>
        <w:t xml:space="preserve"> - с 8.7%.</w:t>
      </w:r>
    </w:p>
    <w:p w:rsidR="005E230E" w:rsidRPr="004D2BE6" w:rsidRDefault="005846C9" w:rsidP="005B6635">
      <w:pPr>
        <w:spacing w:after="60"/>
        <w:ind w:firstLine="720"/>
        <w:jc w:val="both"/>
        <w:rPr>
          <w:rFonts w:ascii="Calibri" w:hAnsi="Calibri"/>
          <w:lang w:val="bg-BG"/>
        </w:rPr>
      </w:pPr>
      <w:r w:rsidRPr="005846C9">
        <w:rPr>
          <w:rFonts w:ascii="Times New Roman" w:hAnsi="Times New Roman"/>
          <w:lang w:val="bg-BG"/>
        </w:rPr>
        <w:t>Стойността на продукцията, произведена в растениевъдството, е 9 643.4 млн. лв. и отбелязва увеличение спрямо</w:t>
      </w:r>
      <w:r>
        <w:rPr>
          <w:rFonts w:ascii="Times New Roman" w:hAnsi="Times New Roman"/>
          <w:lang w:val="bg-BG"/>
        </w:rPr>
        <w:t xml:space="preserve"> 2021</w:t>
      </w:r>
      <w:r w:rsidRPr="005846C9">
        <w:rPr>
          <w:rFonts w:ascii="Times New Roman" w:hAnsi="Times New Roman"/>
          <w:lang w:val="bg-BG"/>
        </w:rPr>
        <w:t xml:space="preserve"> г. с</w:t>
      </w:r>
      <w:r>
        <w:rPr>
          <w:rFonts w:ascii="Times New Roman" w:hAnsi="Times New Roman"/>
          <w:lang w:val="bg-BG"/>
        </w:rPr>
        <w:t xml:space="preserve"> 19.6%, дължащо се на </w:t>
      </w:r>
      <w:r w:rsidR="001643FD">
        <w:rPr>
          <w:rFonts w:ascii="Times New Roman" w:hAnsi="Times New Roman"/>
          <w:lang w:val="bg-BG"/>
        </w:rPr>
        <w:t>значителен ръст в цените - с 33.9%, докато при обемите се наблюдава спад - с 10.7</w:t>
      </w:r>
      <w:r w:rsidR="00CC6FA2">
        <w:rPr>
          <w:rFonts w:ascii="Times New Roman" w:hAnsi="Times New Roman"/>
          <w:lang w:val="bg-BG"/>
        </w:rPr>
        <w:t xml:space="preserve">%. </w:t>
      </w:r>
      <w:r w:rsidR="005E230E">
        <w:rPr>
          <w:rFonts w:ascii="Times New Roman" w:hAnsi="Times New Roman"/>
          <w:lang w:val="bg-BG"/>
        </w:rPr>
        <w:t>Нама</w:t>
      </w:r>
      <w:r w:rsidR="00CC6FA2">
        <w:rPr>
          <w:rFonts w:ascii="Times New Roman" w:hAnsi="Times New Roman"/>
          <w:lang w:val="bg-BG"/>
        </w:rPr>
        <w:t xml:space="preserve">лението на обемите на растениевъдната продукция </w:t>
      </w:r>
      <w:r w:rsidR="005E230E">
        <w:rPr>
          <w:rFonts w:ascii="Times New Roman" w:hAnsi="Times New Roman"/>
          <w:lang w:val="bg-BG"/>
        </w:rPr>
        <w:t>се дълж</w:t>
      </w:r>
      <w:r w:rsidR="00CC6FA2">
        <w:rPr>
          <w:rFonts w:ascii="Times New Roman" w:hAnsi="Times New Roman"/>
          <w:lang w:val="bg-BG"/>
        </w:rPr>
        <w:t>и предимно на спада на обемите на зърнените култури - с 16.3%, в резултат на по-ниските добиви през 2022г., в сравнение с 2021</w:t>
      </w:r>
      <w:r w:rsidR="00FB0656">
        <w:rPr>
          <w:rFonts w:ascii="Times New Roman" w:hAnsi="Times New Roman"/>
          <w:lang w:val="bg-BG"/>
        </w:rPr>
        <w:t xml:space="preserve"> </w:t>
      </w:r>
      <w:r w:rsidR="00CC6FA2">
        <w:rPr>
          <w:rFonts w:ascii="Times New Roman" w:hAnsi="Times New Roman"/>
          <w:lang w:val="bg-BG"/>
        </w:rPr>
        <w:t>г</w:t>
      </w:r>
      <w:r w:rsidR="00FB0656">
        <w:rPr>
          <w:rFonts w:ascii="Times New Roman" w:hAnsi="Times New Roman"/>
          <w:lang w:val="bg-BG"/>
        </w:rPr>
        <w:t>одина</w:t>
      </w:r>
      <w:r w:rsidR="00CC6FA2">
        <w:rPr>
          <w:rFonts w:ascii="Times New Roman" w:hAnsi="Times New Roman"/>
          <w:lang w:val="bg-BG"/>
        </w:rPr>
        <w:t xml:space="preserve">. Ръст на цените е наблюдаван при всички основни култури, като той е най-висок при </w:t>
      </w:r>
      <w:r w:rsidR="00146B38">
        <w:rPr>
          <w:rFonts w:ascii="Times New Roman" w:hAnsi="Times New Roman"/>
          <w:lang w:val="bg-BG"/>
        </w:rPr>
        <w:t>зърнените култури - 49.1%, а именно пшеница и лимец - 52.3%, ръж - 67.8</w:t>
      </w:r>
      <w:r w:rsidR="00FB0AC9">
        <w:rPr>
          <w:rFonts w:ascii="Times New Roman" w:hAnsi="Times New Roman"/>
          <w:lang w:val="bg-BG"/>
        </w:rPr>
        <w:t>%</w:t>
      </w:r>
      <w:r w:rsidR="00146B38">
        <w:rPr>
          <w:rFonts w:ascii="Times New Roman" w:hAnsi="Times New Roman"/>
          <w:lang w:val="bg-BG"/>
        </w:rPr>
        <w:t>, ечемик - 61.5% и царевица за зърно - 40.7%.</w:t>
      </w:r>
    </w:p>
    <w:p w:rsidR="0082035A" w:rsidRDefault="0082035A" w:rsidP="005B6635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82035A">
        <w:rPr>
          <w:rFonts w:ascii="Times New Roman" w:eastAsia="Times" w:hAnsi="Times New Roman"/>
          <w:szCs w:val="24"/>
          <w:lang w:val="bg-BG"/>
        </w:rPr>
        <w:t xml:space="preserve">Продукцията, произведена от животновъдството, е </w:t>
      </w:r>
      <w:r w:rsidR="00C11E41">
        <w:rPr>
          <w:rFonts w:ascii="Times New Roman" w:eastAsia="Times" w:hAnsi="Times New Roman"/>
          <w:szCs w:val="24"/>
          <w:lang w:val="bg-BG"/>
        </w:rPr>
        <w:t xml:space="preserve">2 </w:t>
      </w:r>
      <w:r>
        <w:rPr>
          <w:rFonts w:ascii="Times New Roman" w:eastAsia="Times" w:hAnsi="Times New Roman"/>
          <w:szCs w:val="24"/>
          <w:lang w:val="bg-BG"/>
        </w:rPr>
        <w:t>405.4</w:t>
      </w:r>
      <w:r w:rsidRPr="004D2BE6">
        <w:rPr>
          <w:rFonts w:ascii="Times New Roman" w:eastAsia="Times" w:hAnsi="Times New Roman"/>
          <w:szCs w:val="24"/>
          <w:lang w:val="bg-BG"/>
        </w:rPr>
        <w:t xml:space="preserve"> </w:t>
      </w:r>
      <w:r w:rsidRPr="004D2BE6">
        <w:rPr>
          <w:rFonts w:ascii="Times New Roman" w:eastAsia="Times" w:hAnsi="Times New Roman" w:hint="cs"/>
          <w:szCs w:val="24"/>
          <w:lang w:val="bg-BG"/>
        </w:rPr>
        <w:t>млн</w:t>
      </w:r>
      <w:r w:rsidRPr="004D2BE6">
        <w:rPr>
          <w:rFonts w:ascii="Times New Roman" w:eastAsia="Times" w:hAnsi="Times New Roman"/>
          <w:szCs w:val="24"/>
          <w:lang w:val="bg-BG"/>
        </w:rPr>
        <w:t xml:space="preserve">. </w:t>
      </w:r>
      <w:r w:rsidRPr="0082035A">
        <w:rPr>
          <w:rFonts w:ascii="Times New Roman" w:eastAsia="Times" w:hAnsi="Times New Roman"/>
          <w:szCs w:val="24"/>
          <w:lang w:val="bg-BG"/>
        </w:rPr>
        <w:t>л</w:t>
      </w:r>
      <w:r w:rsidRPr="004D2BE6">
        <w:rPr>
          <w:rFonts w:ascii="Times New Roman" w:eastAsia="Times" w:hAnsi="Times New Roman" w:hint="cs"/>
          <w:szCs w:val="24"/>
          <w:lang w:val="bg-BG"/>
        </w:rPr>
        <w:t>в</w:t>
      </w:r>
      <w:r w:rsidRPr="004D2BE6">
        <w:rPr>
          <w:rFonts w:ascii="Times New Roman" w:eastAsia="Times" w:hAnsi="Times New Roman"/>
          <w:szCs w:val="24"/>
          <w:lang w:val="bg-BG"/>
        </w:rPr>
        <w:t>.</w:t>
      </w:r>
      <w:r w:rsidRPr="0082035A">
        <w:rPr>
          <w:rFonts w:ascii="Times New Roman" w:eastAsia="Times" w:hAnsi="Times New Roman"/>
          <w:szCs w:val="24"/>
          <w:lang w:val="bg-BG"/>
        </w:rPr>
        <w:t xml:space="preserve"> и</w:t>
      </w:r>
      <w:r>
        <w:rPr>
          <w:rFonts w:ascii="Times New Roman" w:eastAsia="Times" w:hAnsi="Times New Roman"/>
          <w:szCs w:val="24"/>
          <w:lang w:val="bg-BG"/>
        </w:rPr>
        <w:t xml:space="preserve"> </w:t>
      </w:r>
      <w:r w:rsidR="007D74EE">
        <w:rPr>
          <w:rFonts w:ascii="Times New Roman" w:eastAsia="Times" w:hAnsi="Times New Roman"/>
          <w:szCs w:val="24"/>
          <w:lang w:val="bg-BG"/>
        </w:rPr>
        <w:t>отбелязва увеличен</w:t>
      </w:r>
      <w:r w:rsidR="00CE02B1">
        <w:rPr>
          <w:rFonts w:ascii="Times New Roman" w:eastAsia="Times" w:hAnsi="Times New Roman"/>
          <w:szCs w:val="24"/>
          <w:lang w:val="bg-BG"/>
        </w:rPr>
        <w:t>ие от 22.5</w:t>
      </w:r>
      <w:r w:rsidR="007D74EE">
        <w:rPr>
          <w:rFonts w:ascii="Times New Roman" w:eastAsia="Times" w:hAnsi="Times New Roman"/>
          <w:szCs w:val="24"/>
          <w:lang w:val="bg-BG"/>
        </w:rPr>
        <w:t xml:space="preserve">% спрямо предходната година. Увеличението е в резултат на ръст в цените - с 21.8%, докато обемите са близки до нивата </w:t>
      </w:r>
      <w:r w:rsidR="00131D7E">
        <w:rPr>
          <w:rFonts w:ascii="Times New Roman" w:eastAsia="Times" w:hAnsi="Times New Roman"/>
          <w:szCs w:val="24"/>
          <w:lang w:val="bg-BG"/>
        </w:rPr>
        <w:t>на 2021</w:t>
      </w:r>
      <w:r w:rsidR="00C11E41">
        <w:rPr>
          <w:rFonts w:ascii="Times New Roman" w:eastAsia="Times" w:hAnsi="Times New Roman"/>
          <w:szCs w:val="24"/>
          <w:lang w:val="bg-BG"/>
        </w:rPr>
        <w:t xml:space="preserve"> </w:t>
      </w:r>
      <w:r w:rsidR="00131D7E">
        <w:rPr>
          <w:rFonts w:ascii="Times New Roman" w:eastAsia="Times" w:hAnsi="Times New Roman"/>
          <w:szCs w:val="24"/>
          <w:lang w:val="bg-BG"/>
        </w:rPr>
        <w:t xml:space="preserve">г. </w:t>
      </w:r>
      <w:r w:rsidR="00B53A46">
        <w:rPr>
          <w:rFonts w:ascii="Times New Roman" w:eastAsia="Times" w:hAnsi="Times New Roman"/>
          <w:szCs w:val="24"/>
          <w:lang w:val="bg-BG"/>
        </w:rPr>
        <w:t>-</w:t>
      </w:r>
      <w:r w:rsidR="00131D7E">
        <w:rPr>
          <w:rFonts w:ascii="Times New Roman" w:eastAsia="Times" w:hAnsi="Times New Roman"/>
          <w:szCs w:val="24"/>
          <w:lang w:val="bg-BG"/>
        </w:rPr>
        <w:t xml:space="preserve"> със слабо увеличение от 0.6%.</w:t>
      </w:r>
    </w:p>
    <w:p w:rsidR="00D57D7E" w:rsidRPr="00D57D7E" w:rsidRDefault="00D57D7E" w:rsidP="005B6635">
      <w:pPr>
        <w:spacing w:after="6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D57D7E">
        <w:rPr>
          <w:rFonts w:ascii="Times New Roman" w:hAnsi="Times New Roman"/>
          <w:szCs w:val="24"/>
          <w:lang w:val="bg-BG"/>
        </w:rPr>
        <w:t xml:space="preserve">Стойността на вложените в селското стопанство </w:t>
      </w:r>
      <w:r>
        <w:rPr>
          <w:rFonts w:ascii="Times New Roman" w:hAnsi="Times New Roman"/>
          <w:szCs w:val="24"/>
          <w:lang w:val="bg-BG"/>
        </w:rPr>
        <w:t>през 2022</w:t>
      </w:r>
      <w:r w:rsidRPr="00D57D7E">
        <w:rPr>
          <w:rFonts w:ascii="Times New Roman" w:hAnsi="Times New Roman"/>
          <w:szCs w:val="24"/>
          <w:lang w:val="bg-BG"/>
        </w:rPr>
        <w:t xml:space="preserve"> г. средства за те</w:t>
      </w:r>
      <w:r>
        <w:rPr>
          <w:rFonts w:ascii="Times New Roman" w:hAnsi="Times New Roman"/>
          <w:szCs w:val="24"/>
          <w:lang w:val="bg-BG"/>
        </w:rPr>
        <w:t xml:space="preserve">кущо </w:t>
      </w:r>
      <w:r w:rsidR="00C11E41">
        <w:rPr>
          <w:rFonts w:ascii="Times New Roman" w:hAnsi="Times New Roman"/>
          <w:szCs w:val="24"/>
          <w:lang w:val="bg-BG"/>
        </w:rPr>
        <w:t xml:space="preserve">потребление достига 7 </w:t>
      </w:r>
      <w:r>
        <w:rPr>
          <w:rFonts w:ascii="Times New Roman" w:hAnsi="Times New Roman"/>
          <w:szCs w:val="24"/>
          <w:lang w:val="bg-BG"/>
        </w:rPr>
        <w:t>226.</w:t>
      </w:r>
      <w:r w:rsidRPr="004D2BE6">
        <w:rPr>
          <w:rFonts w:ascii="Times New Roman" w:hAnsi="Times New Roman"/>
          <w:szCs w:val="24"/>
          <w:lang w:val="bg-BG"/>
        </w:rPr>
        <w:t>1</w:t>
      </w:r>
      <w:r w:rsidR="00CE02B1">
        <w:rPr>
          <w:rFonts w:ascii="Times New Roman" w:hAnsi="Times New Roman"/>
          <w:szCs w:val="24"/>
          <w:lang w:val="bg-BG"/>
        </w:rPr>
        <w:t xml:space="preserve"> млн. лв., което е с 28.8</w:t>
      </w:r>
      <w:r w:rsidRPr="00D57D7E">
        <w:rPr>
          <w:rFonts w:ascii="Times New Roman" w:hAnsi="Times New Roman"/>
          <w:szCs w:val="24"/>
          <w:lang w:val="bg-BG"/>
        </w:rPr>
        <w:t>% повече от предходната година</w:t>
      </w:r>
      <w:r w:rsidRPr="004D2BE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и е в резултат на ръст в цените - с 31.8%, докато при обемите се наблюдава намаление - с 2.3%.</w:t>
      </w:r>
    </w:p>
    <w:p w:rsidR="00D57D7E" w:rsidRDefault="00B53A46" w:rsidP="00924731">
      <w:pPr>
        <w:spacing w:after="6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D57D7E">
        <w:rPr>
          <w:rFonts w:ascii="Times New Roman" w:eastAsia="Times New Roman" w:hAnsi="Times New Roman"/>
          <w:szCs w:val="24"/>
          <w:lang w:val="bg-BG"/>
        </w:rPr>
        <w:t>Брутната добавена стойност по базисни цени, създадена</w:t>
      </w:r>
      <w:r>
        <w:rPr>
          <w:rFonts w:ascii="Times New Roman" w:eastAsia="Times New Roman" w:hAnsi="Times New Roman"/>
          <w:szCs w:val="24"/>
          <w:lang w:val="bg-BG"/>
        </w:rPr>
        <w:t xml:space="preserve"> в селското стопанство през 2022</w:t>
      </w:r>
      <w:r w:rsidRPr="00D57D7E">
        <w:rPr>
          <w:rFonts w:ascii="Times New Roman" w:eastAsia="Times New Roman" w:hAnsi="Times New Roman"/>
          <w:szCs w:val="24"/>
          <w:lang w:val="bg-BG"/>
        </w:rPr>
        <w:t xml:space="preserve"> г., достига </w:t>
      </w:r>
      <w:r w:rsidR="00C11E41">
        <w:rPr>
          <w:rFonts w:ascii="Times New Roman" w:eastAsia="Times New Roman" w:hAnsi="Times New Roman"/>
          <w:szCs w:val="24"/>
          <w:lang w:val="bg-BG"/>
        </w:rPr>
        <w:t xml:space="preserve">5 </w:t>
      </w:r>
      <w:r>
        <w:rPr>
          <w:rFonts w:ascii="Times New Roman" w:eastAsia="Times New Roman" w:hAnsi="Times New Roman"/>
          <w:szCs w:val="24"/>
          <w:lang w:val="bg-BG"/>
        </w:rPr>
        <w:t>677.1</w:t>
      </w:r>
      <w:r w:rsidRPr="00D57D7E">
        <w:rPr>
          <w:rFonts w:ascii="Times New Roman" w:eastAsia="Times New Roman" w:hAnsi="Times New Roman"/>
          <w:szCs w:val="24"/>
          <w:lang w:val="bg-BG"/>
        </w:rPr>
        <w:t xml:space="preserve"> млн. лв. и е с </w:t>
      </w:r>
      <w:r>
        <w:rPr>
          <w:rFonts w:ascii="Times New Roman" w:eastAsia="Times New Roman" w:hAnsi="Times New Roman"/>
          <w:szCs w:val="24"/>
          <w:lang w:val="bg-BG"/>
        </w:rPr>
        <w:t>9.9</w:t>
      </w:r>
      <w:r w:rsidRPr="00D57D7E">
        <w:rPr>
          <w:rFonts w:ascii="Times New Roman" w:eastAsia="Times New Roman" w:hAnsi="Times New Roman"/>
          <w:szCs w:val="24"/>
          <w:lang w:val="bg-BG"/>
        </w:rPr>
        <w:t>% по-</w:t>
      </w:r>
      <w:r>
        <w:rPr>
          <w:rFonts w:ascii="Times New Roman" w:eastAsia="Times New Roman" w:hAnsi="Times New Roman"/>
          <w:szCs w:val="24"/>
          <w:lang w:val="bg-BG"/>
        </w:rPr>
        <w:t>висока от 2021</w:t>
      </w:r>
      <w:r w:rsidR="00C11E41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D57D7E">
        <w:rPr>
          <w:rFonts w:ascii="Times New Roman" w:eastAsia="Times New Roman" w:hAnsi="Times New Roman"/>
          <w:szCs w:val="24"/>
          <w:lang w:val="bg-BG"/>
        </w:rPr>
        <w:t>година</w:t>
      </w:r>
      <w:r>
        <w:rPr>
          <w:rFonts w:ascii="Times New Roman" w:eastAsia="Times New Roman" w:hAnsi="Times New Roman"/>
          <w:szCs w:val="24"/>
          <w:lang w:val="bg-BG"/>
        </w:rPr>
        <w:t>. Увеличението е в резултат на ръст в цените - с 27.1%, докато обемите намаляват с 13.5%.</w:t>
      </w:r>
    </w:p>
    <w:p w:rsidR="006D37B7" w:rsidRDefault="002940FF" w:rsidP="005B6635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D37B7">
        <w:rPr>
          <w:rFonts w:ascii="Times New Roman" w:eastAsia="Times" w:hAnsi="Times New Roman"/>
          <w:szCs w:val="24"/>
          <w:lang w:val="bg-BG"/>
        </w:rPr>
        <w:t>Смесеният индекс</w:t>
      </w:r>
      <w:r w:rsidRPr="006D37B7">
        <w:rPr>
          <w:rFonts w:ascii="Times New Roman" w:eastAsia="Times" w:hAnsi="Times New Roman"/>
          <w:szCs w:val="24"/>
          <w:vertAlign w:val="superscript"/>
          <w:lang w:val="bg-BG"/>
        </w:rPr>
        <w:footnoteReference w:id="2"/>
      </w:r>
      <w:r w:rsidRPr="006D37B7">
        <w:rPr>
          <w:rFonts w:ascii="Times New Roman" w:eastAsia="Times" w:hAnsi="Times New Roman"/>
          <w:szCs w:val="24"/>
          <w:lang w:val="bg-BG"/>
        </w:rPr>
        <w:t xml:space="preserve"> на нетния доход по факторни разходи се увеличава с</w:t>
      </w:r>
      <w:r>
        <w:rPr>
          <w:rFonts w:ascii="Times New Roman" w:eastAsia="Times" w:hAnsi="Times New Roman"/>
          <w:szCs w:val="24"/>
          <w:lang w:val="bg-BG"/>
        </w:rPr>
        <w:t xml:space="preserve"> 16.5%, </w:t>
      </w:r>
      <w:r w:rsidRPr="006D37B7">
        <w:rPr>
          <w:rFonts w:ascii="Times New Roman" w:eastAsia="Times" w:hAnsi="Times New Roman"/>
          <w:szCs w:val="24"/>
          <w:lang w:val="bg-BG"/>
        </w:rPr>
        <w:t xml:space="preserve">а на нетния опериращ излишък/смесен доход </w:t>
      </w:r>
      <w:r w:rsidR="007A1FD8">
        <w:rPr>
          <w:rFonts w:ascii="Times New Roman" w:eastAsia="Times" w:hAnsi="Times New Roman"/>
          <w:szCs w:val="24"/>
          <w:lang w:val="bg-BG"/>
        </w:rPr>
        <w:t>-</w:t>
      </w:r>
      <w:r>
        <w:rPr>
          <w:rFonts w:ascii="Times New Roman" w:eastAsia="Times" w:hAnsi="Times New Roman"/>
          <w:szCs w:val="24"/>
          <w:lang w:val="bg-BG"/>
        </w:rPr>
        <w:t xml:space="preserve"> </w:t>
      </w:r>
      <w:r w:rsidR="007A1FD8">
        <w:rPr>
          <w:rFonts w:ascii="Times New Roman" w:eastAsia="Times" w:hAnsi="Times New Roman"/>
          <w:szCs w:val="24"/>
          <w:lang w:val="bg-BG"/>
        </w:rPr>
        <w:t>с 19.0%, което е в резултат на по-високите цени на продукцията в селското стопанство спрямо 2021</w:t>
      </w:r>
      <w:r w:rsidR="00C11E41">
        <w:rPr>
          <w:rFonts w:ascii="Times New Roman" w:eastAsia="Times" w:hAnsi="Times New Roman"/>
          <w:szCs w:val="24"/>
          <w:lang w:val="bg-BG"/>
        </w:rPr>
        <w:t xml:space="preserve"> </w:t>
      </w:r>
      <w:r w:rsidR="009A061A">
        <w:rPr>
          <w:rFonts w:ascii="Times New Roman" w:eastAsia="Times" w:hAnsi="Times New Roman"/>
          <w:szCs w:val="24"/>
          <w:lang w:val="bg-BG"/>
        </w:rPr>
        <w:t>г</w:t>
      </w:r>
      <w:r w:rsidR="00C11E41">
        <w:rPr>
          <w:rFonts w:ascii="Times New Roman" w:eastAsia="Times" w:hAnsi="Times New Roman"/>
          <w:szCs w:val="24"/>
          <w:lang w:val="bg-BG"/>
        </w:rPr>
        <w:t>одина</w:t>
      </w:r>
      <w:r w:rsidR="00FB0656">
        <w:rPr>
          <w:rFonts w:ascii="Times New Roman" w:eastAsia="Times" w:hAnsi="Times New Roman"/>
          <w:szCs w:val="24"/>
          <w:lang w:val="bg-BG"/>
        </w:rPr>
        <w:t>.</w:t>
      </w:r>
    </w:p>
    <w:p w:rsidR="009A061A" w:rsidRPr="009A061A" w:rsidRDefault="009A061A" w:rsidP="009A061A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9A061A">
        <w:rPr>
          <w:rFonts w:ascii="Times New Roman" w:eastAsia="Times" w:hAnsi="Times New Roman" w:hint="cs"/>
          <w:szCs w:val="24"/>
          <w:lang w:val="bg-BG"/>
        </w:rPr>
        <w:t>Смесеният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индекс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на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нетния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предприемачески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доход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в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селското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стопанство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през</w:t>
      </w:r>
      <w:r>
        <w:rPr>
          <w:rFonts w:ascii="Times New Roman" w:eastAsia="Times" w:hAnsi="Times New Roman"/>
          <w:szCs w:val="24"/>
          <w:lang w:val="bg-BG"/>
        </w:rPr>
        <w:t xml:space="preserve"> 2022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г</w:t>
      </w:r>
      <w:r w:rsidRPr="009A061A">
        <w:rPr>
          <w:rFonts w:ascii="Times New Roman" w:eastAsia="Times" w:hAnsi="Times New Roman"/>
          <w:szCs w:val="24"/>
          <w:lang w:val="bg-BG"/>
        </w:rPr>
        <w:t xml:space="preserve">. </w:t>
      </w:r>
      <w:r w:rsidRPr="009A061A">
        <w:rPr>
          <w:rFonts w:ascii="Times New Roman" w:eastAsia="Times" w:hAnsi="Times New Roman" w:hint="cs"/>
          <w:szCs w:val="24"/>
          <w:lang w:val="bg-BG"/>
        </w:rPr>
        <w:t>се увеличава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спрямо</w:t>
      </w:r>
      <w:r>
        <w:rPr>
          <w:rFonts w:ascii="Times New Roman" w:eastAsia="Times" w:hAnsi="Times New Roman"/>
          <w:szCs w:val="24"/>
          <w:lang w:val="bg-BG"/>
        </w:rPr>
        <w:t xml:space="preserve"> 2021</w:t>
      </w:r>
      <w:r w:rsidRPr="009A061A">
        <w:rPr>
          <w:rFonts w:ascii="Times New Roman" w:eastAsia="Times" w:hAnsi="Times New Roman"/>
          <w:szCs w:val="24"/>
          <w:lang w:val="bg-BG"/>
        </w:rPr>
        <w:t xml:space="preserve"> </w:t>
      </w:r>
      <w:r w:rsidRPr="009A061A">
        <w:rPr>
          <w:rFonts w:ascii="Times New Roman" w:eastAsia="Times" w:hAnsi="Times New Roman" w:hint="cs"/>
          <w:szCs w:val="24"/>
          <w:lang w:val="bg-BG"/>
        </w:rPr>
        <w:t>г</w:t>
      </w:r>
      <w:r w:rsidRPr="009A061A">
        <w:rPr>
          <w:rFonts w:ascii="Times New Roman" w:eastAsia="Times" w:hAnsi="Times New Roman"/>
          <w:szCs w:val="24"/>
          <w:lang w:val="bg-BG"/>
        </w:rPr>
        <w:t xml:space="preserve">. </w:t>
      </w:r>
      <w:r w:rsidRPr="009A061A">
        <w:rPr>
          <w:rFonts w:ascii="Times New Roman" w:eastAsia="Times" w:hAnsi="Times New Roman" w:hint="cs"/>
          <w:szCs w:val="24"/>
          <w:lang w:val="bg-BG"/>
        </w:rPr>
        <w:t>с</w:t>
      </w:r>
      <w:r>
        <w:rPr>
          <w:rFonts w:ascii="Times New Roman" w:eastAsia="Times" w:hAnsi="Times New Roman"/>
          <w:szCs w:val="24"/>
          <w:lang w:val="bg-BG"/>
        </w:rPr>
        <w:t xml:space="preserve"> 11.4</w:t>
      </w:r>
      <w:r w:rsidRPr="009A061A">
        <w:rPr>
          <w:rFonts w:ascii="Times New Roman" w:eastAsia="Times" w:hAnsi="Times New Roman"/>
          <w:szCs w:val="24"/>
          <w:lang w:val="bg-BG"/>
        </w:rPr>
        <w:t>%.</w:t>
      </w:r>
    </w:p>
    <w:p w:rsidR="00AE3A24" w:rsidRDefault="00AE3A24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:rsidR="00AE3A24" w:rsidRDefault="00AE3A24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:rsidR="00AE3A24" w:rsidRDefault="00AE3A24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:rsidR="00B610EB" w:rsidRDefault="00B610EB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:rsidR="000E2F89" w:rsidRPr="000E2F89" w:rsidRDefault="000E2F89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  <w:r w:rsidRPr="000E2F89">
        <w:rPr>
          <w:rFonts w:ascii="Times New Roman" w:hAnsi="Times New Roman"/>
          <w:b/>
          <w:szCs w:val="24"/>
          <w:lang w:val="bg-BG"/>
        </w:rPr>
        <w:t>Фиг.</w:t>
      </w:r>
      <w:r w:rsidRPr="004D2BE6">
        <w:rPr>
          <w:rFonts w:ascii="Times New Roman" w:hAnsi="Times New Roman"/>
          <w:b/>
          <w:szCs w:val="24"/>
          <w:lang w:val="bg-BG"/>
        </w:rPr>
        <w:t xml:space="preserve"> 1. </w:t>
      </w:r>
      <w:r w:rsidRPr="000E2F89">
        <w:rPr>
          <w:rFonts w:ascii="Times New Roman" w:hAnsi="Times New Roman"/>
          <w:b/>
          <w:szCs w:val="24"/>
          <w:lang w:val="bg-BG"/>
        </w:rPr>
        <w:t>Изменение на показателите за доход в селското стопанство през периода</w:t>
      </w:r>
    </w:p>
    <w:p w:rsidR="000E2F89" w:rsidRDefault="000E2F89" w:rsidP="000E2F89">
      <w:pPr>
        <w:jc w:val="center"/>
        <w:rPr>
          <w:rFonts w:ascii="Times New Roman" w:hAnsi="Times New Roman"/>
          <w:b/>
          <w:szCs w:val="24"/>
          <w:lang w:val="bg-BG"/>
        </w:rPr>
      </w:pPr>
      <w:r w:rsidRPr="000E2F89">
        <w:rPr>
          <w:rFonts w:ascii="Times New Roman" w:hAnsi="Times New Roman"/>
          <w:b/>
          <w:szCs w:val="24"/>
          <w:lang w:val="bg-BG"/>
        </w:rPr>
        <w:t xml:space="preserve">2007 </w:t>
      </w:r>
      <w:r w:rsidRPr="000E2F89">
        <w:rPr>
          <w:rFonts w:ascii="Times New Roman" w:hAnsi="Times New Roman"/>
          <w:b/>
          <w:szCs w:val="24"/>
          <w:lang w:val="en-US"/>
        </w:rPr>
        <w:t>-</w:t>
      </w:r>
      <w:r w:rsidR="009060EC">
        <w:rPr>
          <w:rFonts w:ascii="Times New Roman" w:hAnsi="Times New Roman"/>
          <w:b/>
          <w:szCs w:val="24"/>
          <w:lang w:val="bg-BG"/>
        </w:rPr>
        <w:t xml:space="preserve"> 2022</w:t>
      </w:r>
      <w:r w:rsidRPr="000E2F89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C04D07" w:rsidRDefault="00C04D07" w:rsidP="000E2F89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C04D07" w:rsidRDefault="00C04D07" w:rsidP="000E2F89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2F6F59" w:rsidRDefault="002F6F59" w:rsidP="002F6F59">
      <w:pPr>
        <w:rPr>
          <w:rFonts w:ascii="Times New Roman" w:hAnsi="Times New Roman"/>
          <w:b/>
          <w:szCs w:val="24"/>
          <w:lang w:val="bg-BG"/>
        </w:rPr>
      </w:pPr>
    </w:p>
    <w:p w:rsidR="00C11E41" w:rsidRDefault="000D0BC1">
      <w:pPr>
        <w:rPr>
          <w:rFonts w:ascii="Times New Roman" w:eastAsia="Times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706C7ABA" wp14:editId="350AA0E7">
            <wp:extent cx="6570980" cy="1697990"/>
            <wp:effectExtent l="0" t="0" r="127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11E41">
        <w:rPr>
          <w:rFonts w:ascii="Times New Roman" w:eastAsia="Times" w:hAnsi="Times New Roman"/>
          <w:b/>
          <w:szCs w:val="24"/>
          <w:lang w:val="bg-BG"/>
        </w:rPr>
        <w:br w:type="page"/>
      </w:r>
    </w:p>
    <w:p w:rsidR="00632807" w:rsidRPr="00632807" w:rsidRDefault="00632807" w:rsidP="005B6635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ascii="Times New Roman" w:eastAsia="Times" w:hAnsi="Times New Roman"/>
          <w:b/>
          <w:szCs w:val="24"/>
          <w:lang w:val="bg-BG"/>
        </w:rPr>
      </w:pPr>
      <w:r w:rsidRPr="00632807">
        <w:rPr>
          <w:rFonts w:ascii="Times New Roman" w:eastAsia="Times" w:hAnsi="Times New Roman"/>
          <w:b/>
          <w:szCs w:val="24"/>
          <w:lang w:val="bg-BG"/>
        </w:rPr>
        <w:lastRenderedPageBreak/>
        <w:t>Методологични бележки</w:t>
      </w:r>
    </w:p>
    <w:p w:rsidR="00632807" w:rsidRPr="00632807" w:rsidRDefault="00632807" w:rsidP="005B6635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 xml:space="preserve">Икономическите сметки за селското стопанство са сателитни сметки на националните сметки, които предоставят допълнителна информация и използват понятия, адаптирани към специфичното естество на отрасъла. Те са разработени съгласно Регламент (ЕО) № 138/2004 на Европейския парламент и на Съвета и приетата от Евростат методология, описана в „Manual on the Economic Accounts for Agriculture and Forestry, 1997, Rev. 1.1“. Архитектурата на сметките </w:t>
      </w:r>
      <w:r w:rsidR="008C19A3">
        <w:rPr>
          <w:rFonts w:ascii="Times New Roman" w:eastAsia="Times" w:hAnsi="Times New Roman"/>
          <w:szCs w:val="24"/>
          <w:lang w:val="bg-BG"/>
        </w:rPr>
        <w:t xml:space="preserve">се </w:t>
      </w:r>
      <w:r w:rsidRPr="00632807">
        <w:rPr>
          <w:rFonts w:ascii="Times New Roman" w:eastAsia="Times" w:hAnsi="Times New Roman"/>
          <w:szCs w:val="24"/>
          <w:lang w:val="bg-BG"/>
        </w:rPr>
        <w:t>изгражда</w:t>
      </w:r>
      <w:r w:rsidR="008C19A3">
        <w:rPr>
          <w:rFonts w:ascii="Times New Roman" w:eastAsia="Times" w:hAnsi="Times New Roman"/>
          <w:szCs w:val="24"/>
          <w:lang w:val="bg-BG"/>
        </w:rPr>
        <w:t xml:space="preserve"> от</w:t>
      </w:r>
      <w:r w:rsidRPr="00632807">
        <w:rPr>
          <w:rFonts w:ascii="Times New Roman" w:eastAsia="Times" w:hAnsi="Times New Roman"/>
          <w:szCs w:val="24"/>
          <w:lang w:val="bg-BG"/>
        </w:rPr>
        <w:t xml:space="preserve"> четири сметки</w:t>
      </w:r>
      <w:r w:rsidR="008C19A3">
        <w:rPr>
          <w:rFonts w:ascii="Times New Roman" w:eastAsia="Times" w:hAnsi="Times New Roman"/>
          <w:szCs w:val="24"/>
          <w:lang w:val="bg-BG"/>
        </w:rPr>
        <w:t>:</w:t>
      </w:r>
      <w:r w:rsidRPr="00632807">
        <w:rPr>
          <w:rFonts w:ascii="Times New Roman" w:eastAsia="Times" w:hAnsi="Times New Roman"/>
          <w:szCs w:val="24"/>
          <w:lang w:val="bg-BG"/>
        </w:rPr>
        <w:t xml:space="preserve"> три за текущи операции - „Производство“, „Формиране на дохода“, „Предприемачески доход“, и една за натрупване - „Капитал“, като последователността и изчерпателността им се осигурява в съответствие с Европейската система от сметки.</w:t>
      </w:r>
    </w:p>
    <w:p w:rsidR="00632807" w:rsidRPr="00632807" w:rsidRDefault="00632807" w:rsidP="005B6635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Основни показатели</w:t>
      </w:r>
    </w:p>
    <w:p w:rsidR="00632807" w:rsidRPr="00632807" w:rsidRDefault="00632807" w:rsidP="005B6635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 xml:space="preserve">Основната цел на разработването на икономическите сметки е изчисляването на предприемаческия доход в отрасъл „Селско стопанство“. </w:t>
      </w:r>
      <w:r w:rsidR="008C19A3">
        <w:rPr>
          <w:rFonts w:ascii="Times New Roman" w:eastAsia="Times" w:hAnsi="Times New Roman"/>
          <w:szCs w:val="24"/>
          <w:lang w:val="bg-BG"/>
        </w:rPr>
        <w:t>Изчисляването</w:t>
      </w:r>
      <w:r w:rsidR="008C19A3" w:rsidRPr="00632807">
        <w:rPr>
          <w:rFonts w:ascii="Times New Roman" w:eastAsia="Times" w:hAnsi="Times New Roman"/>
          <w:szCs w:val="24"/>
          <w:lang w:val="bg-BG"/>
        </w:rPr>
        <w:t xml:space="preserve"> </w:t>
      </w:r>
      <w:r w:rsidRPr="00632807">
        <w:rPr>
          <w:rFonts w:ascii="Times New Roman" w:eastAsia="Times" w:hAnsi="Times New Roman"/>
          <w:szCs w:val="24"/>
          <w:lang w:val="bg-BG"/>
        </w:rPr>
        <w:t>на дохода се осъществява в рамките на трите сметки за текущи операции, при което се използват следните методологически връзки: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Продукция от растениевъдството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Продукция от животновъдството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Селскостопански услуги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Неотделими неселскостопански дейности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Продукция от отрасъл „Селско стопанство“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Междинно потребление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Брутна добавена стойност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Потребление на основен капитал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Нетна добавена стойност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Компенсация на наетите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Други данъци върху производството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Други субсидии върху производството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Нетен опериращ излишък/смесен доход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Платени ренти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Платени лихви</w:t>
      </w:r>
    </w:p>
    <w:p w:rsidR="00632807" w:rsidRPr="00632807" w:rsidRDefault="00632807" w:rsidP="0063280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Получени лихви</w:t>
      </w:r>
    </w:p>
    <w:p w:rsidR="00632807" w:rsidRPr="00632807" w:rsidRDefault="00632807" w:rsidP="0092473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Нетен предприемачески доход.</w:t>
      </w:r>
    </w:p>
    <w:p w:rsidR="00632807" w:rsidRPr="00632807" w:rsidRDefault="00632807" w:rsidP="0092473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Продукцията от отрасъл „Селско стопанство“ представлява стойността на всички произведени стоки и услуги от единиците със селскостопанска дейност. Данните се отнасят за крайната продукция, която не включва вътрешния оборот (стоките и услугите, произведени и употребени в самото стопанство през отчетния период).</w:t>
      </w:r>
    </w:p>
    <w:p w:rsidR="00632807" w:rsidRPr="00632807" w:rsidRDefault="00632807" w:rsidP="0092473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В икономическите сметки за селското стопанство съгласно изискванията на Приложение ХI на EAA</w:t>
      </w:r>
      <w:r w:rsidR="007C2DE5" w:rsidRPr="00924731">
        <w:rPr>
          <w:rFonts w:ascii="Times New Roman" w:eastAsia="Times" w:hAnsi="Times New Roman"/>
          <w:szCs w:val="24"/>
          <w:lang w:val="bg-BG"/>
        </w:rPr>
        <w:t xml:space="preserve"> </w:t>
      </w:r>
      <w:r w:rsidRPr="00632807">
        <w:rPr>
          <w:rFonts w:ascii="Times New Roman" w:eastAsia="Times" w:hAnsi="Times New Roman"/>
          <w:szCs w:val="24"/>
          <w:lang w:val="bg-BG"/>
        </w:rPr>
        <w:t>97, Rev. 1.1, не се включват: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 продукцията от единиците, занимаващи се с производството на сертифициран размножителен материал за научни цели или за използване в растениевъдството и животновъдството;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lastRenderedPageBreak/>
        <w:t>- продукцията от дейности, свързани с допълнителни услуги в селското стопанство, като използване на напоителни системи, дизайн, поддържане и засаждане на градини, паркове и други зелени площи, кастрене на дървета, подрязване на храсти и жив плет и т.н.;</w:t>
      </w:r>
    </w:p>
    <w:p w:rsidR="00632807" w:rsidRPr="00632807" w:rsidRDefault="00632807" w:rsidP="0092473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 незавършеното производство, отнасящо се за културите, чийто производствен цикъл е по-къс от отчетния период (една календарна година) или се извършва в две календарни години;</w:t>
      </w:r>
    </w:p>
    <w:p w:rsidR="00632807" w:rsidRPr="00632807" w:rsidRDefault="00632807" w:rsidP="0092473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 продукцията от неселскостопанските дейности на селскостопанските единици, когато те са счетоводно отделими.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Нетният доход по факторни разходи (изчислен след приспадане от нетната добавена стойност по базисни цени на стойността на другите данъци върху производството и прибав</w:t>
      </w:r>
      <w:r w:rsidR="00444D2F">
        <w:rPr>
          <w:rFonts w:ascii="Times New Roman" w:eastAsia="Times" w:hAnsi="Times New Roman"/>
          <w:szCs w:val="24"/>
          <w:lang w:val="bg-BG"/>
        </w:rPr>
        <w:t>яне</w:t>
      </w:r>
      <w:r w:rsidRPr="00632807">
        <w:rPr>
          <w:rFonts w:ascii="Times New Roman" w:eastAsia="Times" w:hAnsi="Times New Roman"/>
          <w:szCs w:val="24"/>
          <w:lang w:val="bg-BG"/>
        </w:rPr>
        <w:t xml:space="preserve"> стойността на другите субсидии върху производството) измерва доходността от всички фактори на производството - земя, капитал и труд.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Нетният опериращ излишък/нетен смесен доход (изчислен след приспадане от нетната добавена стойност по базисни цени на компенсациите на наетите лица и другите данъци върху производството и добавяне на другите субсидии върху производството) измерва доходността от използването на земята, капитала и незаплатения труд.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Нетният предприемачески доход (изчислен след прибавяне към нетния опериращ излишък/нетен смесен доход на лихвите, получени от земеделските стопанства, опериращи като компании, и приспадане на платените от тях лихви и ренти) измерва компенсацията на незаплатения труд, възнаграждението от земята, принадлежаща на земеделските стопанства, и дохода от използването на капитала.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Данните за икономическите сметки за селското стопанство се разработват за календарна година по текущи и съпоставими цени при база преходната година. Разработват се и икономически сметки на регионално ниво NUTS2.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Източници на информация</w:t>
      </w:r>
    </w:p>
    <w:p w:rsidR="00632807" w:rsidRPr="00632807" w:rsidRDefault="00632807" w:rsidP="00CD186E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Основни източници на информация са статистическите наблюдения, проведени от НСИ, и наблюденията на отдел „Агростатистика“ в МЗХГ. Използвани са и данни на Държавен фонд „Земеделие“ (Разплащателна агенция) за финансовото подпомагане в селското стопанство.</w:t>
      </w:r>
    </w:p>
    <w:p w:rsidR="00632807" w:rsidRPr="00632807" w:rsidRDefault="00632807" w:rsidP="00632807">
      <w:pPr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br w:type="page"/>
      </w:r>
    </w:p>
    <w:p w:rsidR="002F3438" w:rsidRPr="002F3438" w:rsidRDefault="002F3438" w:rsidP="002F3438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</w:p>
    <w:p w:rsidR="002F3438" w:rsidRPr="002F3438" w:rsidRDefault="002F3438" w:rsidP="002F3438">
      <w:pPr>
        <w:autoSpaceDE w:val="0"/>
        <w:autoSpaceDN w:val="0"/>
        <w:adjustRightInd w:val="0"/>
        <w:ind w:left="720"/>
        <w:jc w:val="center"/>
        <w:rPr>
          <w:rFonts w:ascii="Times New Roman" w:eastAsia="Times" w:hAnsi="Times New Roman"/>
          <w:b/>
          <w:szCs w:val="24"/>
          <w:lang w:val="bg-BG"/>
        </w:rPr>
      </w:pPr>
      <w:r w:rsidRPr="002F3438">
        <w:rPr>
          <w:rFonts w:ascii="Times New Roman" w:eastAsia="Times" w:hAnsi="Times New Roman"/>
          <w:b/>
          <w:szCs w:val="24"/>
          <w:lang w:val="bg-BG"/>
        </w:rPr>
        <w:t>Приложение</w:t>
      </w:r>
    </w:p>
    <w:p w:rsidR="002F3438" w:rsidRPr="002F3438" w:rsidRDefault="002F3438" w:rsidP="002F3438">
      <w:pPr>
        <w:autoSpaceDE w:val="0"/>
        <w:autoSpaceDN w:val="0"/>
        <w:adjustRightInd w:val="0"/>
        <w:ind w:firstLine="8931"/>
        <w:rPr>
          <w:rFonts w:ascii="Times New Roman" w:eastAsia="Times" w:hAnsi="Times New Roman"/>
          <w:b/>
          <w:szCs w:val="24"/>
          <w:lang w:val="bg-BG"/>
        </w:rPr>
      </w:pPr>
      <w:r w:rsidRPr="002F3438">
        <w:rPr>
          <w:rFonts w:ascii="Times New Roman" w:eastAsia="Times" w:hAnsi="Times New Roman"/>
          <w:b/>
          <w:szCs w:val="24"/>
          <w:lang w:val="bg-BG"/>
        </w:rPr>
        <w:t>Таблица 1</w:t>
      </w:r>
    </w:p>
    <w:p w:rsidR="002F3438" w:rsidRPr="002F3438" w:rsidRDefault="002F3438" w:rsidP="002F3438">
      <w:pPr>
        <w:autoSpaceDE w:val="0"/>
        <w:autoSpaceDN w:val="0"/>
        <w:adjustRightInd w:val="0"/>
        <w:spacing w:after="12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2F3438">
        <w:rPr>
          <w:rFonts w:ascii="Times New Roman" w:eastAsia="Times" w:hAnsi="Times New Roman"/>
          <w:b/>
          <w:bCs/>
          <w:szCs w:val="24"/>
          <w:lang w:val="bg-BG"/>
        </w:rPr>
        <w:t>Крайна продукция по базисни цени - първа оценка</w:t>
      </w:r>
      <w:r>
        <w:rPr>
          <w:rFonts w:ascii="Times New Roman" w:eastAsia="Times" w:hAnsi="Times New Roman"/>
          <w:b/>
          <w:bCs/>
          <w:szCs w:val="24"/>
          <w:lang w:val="bg-BG"/>
        </w:rPr>
        <w:t xml:space="preserve"> за 2022</w:t>
      </w:r>
      <w:r w:rsidRPr="002F3438">
        <w:rPr>
          <w:rFonts w:ascii="Times New Roman" w:eastAsia="Times" w:hAnsi="Times New Roman"/>
          <w:b/>
          <w:bCs/>
          <w:szCs w:val="24"/>
          <w:lang w:val="bg-BG"/>
        </w:rPr>
        <w:t xml:space="preserve"> година</w:t>
      </w:r>
    </w:p>
    <w:p w:rsidR="005D04E1" w:rsidRPr="000E2F89" w:rsidRDefault="005D04E1" w:rsidP="005D04E1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670"/>
        <w:gridCol w:w="1134"/>
        <w:gridCol w:w="1276"/>
        <w:gridCol w:w="1134"/>
        <w:gridCol w:w="1134"/>
      </w:tblGrid>
      <w:tr w:rsidR="002F3438" w:rsidRPr="002F3438" w:rsidTr="00371EA8">
        <w:trPr>
          <w:gridBefore w:val="1"/>
          <w:wBefore w:w="15" w:type="dxa"/>
          <w:trHeight w:val="10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" w:hAnsi="Times New Roman"/>
                <w:b/>
                <w:sz w:val="20"/>
                <w:lang w:val="bg-BG"/>
              </w:rPr>
              <w:t>Текуща стойност за 2022</w:t>
            </w: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 г. - млн.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>Индекс на физическия обем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Индекс на цените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Индекс </w:t>
            </w:r>
            <w:r>
              <w:rPr>
                <w:rFonts w:ascii="Times New Roman" w:eastAsia="Times" w:hAnsi="Times New Roman"/>
                <w:b/>
                <w:sz w:val="20"/>
                <w:lang w:val="bg-BG"/>
              </w:rPr>
              <w:br/>
              <w:t>20</w:t>
            </w:r>
            <w:r w:rsidR="00CE02B1">
              <w:rPr>
                <w:rFonts w:ascii="Times New Roman" w:eastAsia="Times" w:hAnsi="Times New Roman"/>
                <w:b/>
                <w:sz w:val="20"/>
                <w:lang w:val="en-US"/>
              </w:rPr>
              <w:t>21</w:t>
            </w: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 = 100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Продукция от отрасъл </w:t>
            </w: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>„</w:t>
            </w: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Селско стопанство“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CE02B1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12903.2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CE02B1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CE02B1" w:rsidP="00CE02B1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CE02B1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119.7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Продукция от селското стопанство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CE02B1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12658.9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119.8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    Продукция от растениевъдството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9643.4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119.6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Зърнени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124.8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Технически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2992.8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116.1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Фуражни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107.4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Зеленчуци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94.3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Картофи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113.6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Плодове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115.7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Други растениевъдни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121.8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   Продукция от животновъдството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2405.4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122.5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Селскостопански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123.2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Продукти от животновъдството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6A6998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122.0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   Продукция на селскостопански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111.7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ind w:left="229" w:hanging="229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Неселскостопански неотделими второстепенни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120.8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Междинно потребление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7226.1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128.8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Семена и посадъчен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127.2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Горива и масла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114.2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Торове и почвени подобрители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184.2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Препарати за растителна защита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137.6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Ветеринарни 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91.3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Фуражни добавки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135.6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Поддръжка и ремонт на машини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120.3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Поддръжка на сгради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100.1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Селскостопански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A7AA5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111.7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ФИЗИМ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54E" w:rsidRPr="002F3438" w:rsidRDefault="007D754E" w:rsidP="007D754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112.6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Други стоки 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113.7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Брутна добавена стойност по базисни цени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5677.1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109.9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Потребление на основен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1019.4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103.9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Нетна добавена стойност по базисни цени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4657.7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111.4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Нетен доход по факторни 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7115.9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F343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438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F343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438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116.5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Нетен опериращ излишък/смесен доход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5871.0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F343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438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F343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438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119.0</w:t>
            </w:r>
          </w:p>
        </w:tc>
      </w:tr>
      <w:tr w:rsidR="002F3438" w:rsidRPr="002F3438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Нетен предприемачески доход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3633.6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F343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438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2F343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438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38" w:rsidRPr="002F3438" w:rsidRDefault="007D754E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111.4</w:t>
            </w:r>
          </w:p>
        </w:tc>
      </w:tr>
    </w:tbl>
    <w:p w:rsidR="006D37B7" w:rsidRDefault="006D37B7" w:rsidP="006D37B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</w:p>
    <w:p w:rsidR="006D37B7" w:rsidRDefault="006D37B7" w:rsidP="006D37B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</w:p>
    <w:sectPr w:rsidR="006D37B7" w:rsidSect="002F6F5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707" w:bottom="1440" w:left="851" w:header="113" w:footer="28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0A" w:rsidRDefault="00BF7A0A">
      <w:r>
        <w:separator/>
      </w:r>
    </w:p>
  </w:endnote>
  <w:endnote w:type="continuationSeparator" w:id="0">
    <w:p w:rsidR="00BF7A0A" w:rsidRDefault="00BF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5" w:rsidRDefault="00E24D9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2" w:rsidRDefault="00382FD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6A3" w:rsidRPr="00F46FE0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5C5487A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C176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B911F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B911F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0E" w:rsidRDefault="00382FD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0891EC58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23AF1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B911F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B911F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0A" w:rsidRDefault="00BF7A0A">
      <w:r>
        <w:separator/>
      </w:r>
    </w:p>
  </w:footnote>
  <w:footnote w:type="continuationSeparator" w:id="0">
    <w:p w:rsidR="00BF7A0A" w:rsidRDefault="00BF7A0A">
      <w:r>
        <w:continuationSeparator/>
      </w:r>
    </w:p>
  </w:footnote>
  <w:footnote w:id="1">
    <w:p w:rsidR="00684DD4" w:rsidRPr="0006046E" w:rsidRDefault="00684DD4" w:rsidP="009060EC">
      <w:pPr>
        <w:pStyle w:val="FootnoteText"/>
        <w:jc w:val="both"/>
        <w:rPr>
          <w:rFonts w:ascii="Times New Roman" w:hAnsi="Times New Roman"/>
          <w:lang w:val="bg-BG"/>
        </w:rPr>
      </w:pPr>
      <w:r w:rsidRPr="00BB7937">
        <w:rPr>
          <w:rStyle w:val="FootnoteReference"/>
          <w:rFonts w:ascii="Times New Roman" w:hAnsi="Times New Roman"/>
        </w:rPr>
        <w:footnoteRef/>
      </w:r>
      <w:r w:rsidRPr="00BB7937">
        <w:rPr>
          <w:rFonts w:ascii="Times New Roman" w:hAnsi="Times New Roman"/>
        </w:rPr>
        <w:t xml:space="preserve"> </w:t>
      </w:r>
      <w:r w:rsidRPr="0006046E">
        <w:rPr>
          <w:rFonts w:ascii="Times New Roman" w:hAnsi="Times New Roman"/>
          <w:lang w:val="bg-BG"/>
        </w:rPr>
        <w:t>Базисните цени включват субсидиите по продукти и не включват данъците по продукти.</w:t>
      </w:r>
    </w:p>
  </w:footnote>
  <w:footnote w:id="2">
    <w:p w:rsidR="002940FF" w:rsidRPr="00573359" w:rsidRDefault="002940FF" w:rsidP="00924731">
      <w:pPr>
        <w:pStyle w:val="FootnoteText"/>
        <w:jc w:val="both"/>
        <w:rPr>
          <w:rFonts w:ascii="Times New Roman" w:hAnsi="Times New Roman"/>
          <w:lang w:val="bg-BG"/>
        </w:rPr>
      </w:pPr>
      <w:r w:rsidRPr="00BB7937">
        <w:rPr>
          <w:rStyle w:val="FootnoteReference"/>
          <w:rFonts w:ascii="Times New Roman" w:hAnsi="Times New Roman"/>
        </w:rPr>
        <w:footnoteRef/>
      </w:r>
      <w:r w:rsidRPr="000C59C3">
        <w:rPr>
          <w:rFonts w:ascii="Times New Roman" w:hAnsi="Times New Roman"/>
          <w:lang w:val="bg-BG"/>
        </w:rPr>
        <w:t xml:space="preserve"> </w:t>
      </w:r>
      <w:r w:rsidRPr="0006046E">
        <w:rPr>
          <w:rFonts w:ascii="Times New Roman" w:hAnsi="Times New Roman"/>
          <w:lang w:val="bg-BG"/>
        </w:rPr>
        <w:t>Смесеният индекс на дохода в селското стопанство се изчислява</w:t>
      </w:r>
      <w:r>
        <w:rPr>
          <w:rFonts w:ascii="Times New Roman" w:hAnsi="Times New Roman"/>
          <w:lang w:val="bg-BG"/>
        </w:rPr>
        <w:t>,</w:t>
      </w:r>
      <w:r w:rsidRPr="0006046E">
        <w:rPr>
          <w:rFonts w:ascii="Times New Roman" w:hAnsi="Times New Roman"/>
          <w:lang w:val="bg-BG"/>
        </w:rPr>
        <w:t xml:space="preserve"> като номинална</w:t>
      </w:r>
      <w:r>
        <w:rPr>
          <w:rFonts w:ascii="Times New Roman" w:hAnsi="Times New Roman"/>
          <w:lang w:val="bg-BG"/>
        </w:rPr>
        <w:t>т</w:t>
      </w:r>
      <w:r w:rsidR="009060EC">
        <w:rPr>
          <w:rFonts w:ascii="Times New Roman" w:hAnsi="Times New Roman"/>
          <w:lang w:val="bg-BG"/>
        </w:rPr>
        <w:t>а стойност на показателя за 2022</w:t>
      </w:r>
      <w:r w:rsidRPr="0006046E">
        <w:rPr>
          <w:rFonts w:ascii="Times New Roman" w:hAnsi="Times New Roman"/>
          <w:lang w:val="bg-BG"/>
        </w:rPr>
        <w:t xml:space="preserve"> г. се отнесе към </w:t>
      </w:r>
      <w:r>
        <w:rPr>
          <w:rFonts w:ascii="Times New Roman" w:hAnsi="Times New Roman"/>
          <w:lang w:val="bg-BG"/>
        </w:rPr>
        <w:t>н</w:t>
      </w:r>
      <w:r w:rsidR="009060EC">
        <w:rPr>
          <w:rFonts w:ascii="Times New Roman" w:hAnsi="Times New Roman"/>
          <w:lang w:val="bg-BG"/>
        </w:rPr>
        <w:t>оминалната му стойност през 2021</w:t>
      </w:r>
      <w:r w:rsidRPr="0006046E">
        <w:rPr>
          <w:rFonts w:ascii="Times New Roman" w:hAnsi="Times New Roman"/>
          <w:lang w:val="bg-BG"/>
        </w:rPr>
        <w:t xml:space="preserve"> година.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0E" w:rsidRPr="00C1500E" w:rsidRDefault="00382FD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E356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7008796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0E" w:rsidRPr="00257470" w:rsidRDefault="00382FD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FDA1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57883F8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70"/>
    <w:rsid w:val="0004689C"/>
    <w:rsid w:val="000A2FF3"/>
    <w:rsid w:val="000A4505"/>
    <w:rsid w:val="000B4B74"/>
    <w:rsid w:val="000D0BC1"/>
    <w:rsid w:val="000D44D0"/>
    <w:rsid w:val="000E2F89"/>
    <w:rsid w:val="00131D7E"/>
    <w:rsid w:val="00137CEA"/>
    <w:rsid w:val="00146B38"/>
    <w:rsid w:val="001643FD"/>
    <w:rsid w:val="001704A5"/>
    <w:rsid w:val="001873A6"/>
    <w:rsid w:val="001930E0"/>
    <w:rsid w:val="001950A4"/>
    <w:rsid w:val="001A7849"/>
    <w:rsid w:val="001C5EDC"/>
    <w:rsid w:val="00201BE6"/>
    <w:rsid w:val="002115CA"/>
    <w:rsid w:val="00221000"/>
    <w:rsid w:val="002502FC"/>
    <w:rsid w:val="00257470"/>
    <w:rsid w:val="002940FF"/>
    <w:rsid w:val="002A155C"/>
    <w:rsid w:val="002A7AA5"/>
    <w:rsid w:val="002B6A32"/>
    <w:rsid w:val="002D5E11"/>
    <w:rsid w:val="002F3438"/>
    <w:rsid w:val="002F6F59"/>
    <w:rsid w:val="0030452E"/>
    <w:rsid w:val="003368AC"/>
    <w:rsid w:val="00371EA8"/>
    <w:rsid w:val="00382FD2"/>
    <w:rsid w:val="003A4C6D"/>
    <w:rsid w:val="003D4DC0"/>
    <w:rsid w:val="003F4C65"/>
    <w:rsid w:val="00444D2F"/>
    <w:rsid w:val="00464245"/>
    <w:rsid w:val="004947F4"/>
    <w:rsid w:val="004D2BE6"/>
    <w:rsid w:val="004F16A3"/>
    <w:rsid w:val="004F37E7"/>
    <w:rsid w:val="005846C9"/>
    <w:rsid w:val="005959B2"/>
    <w:rsid w:val="005A559C"/>
    <w:rsid w:val="005B6635"/>
    <w:rsid w:val="005C563D"/>
    <w:rsid w:val="005D04E1"/>
    <w:rsid w:val="005D05C5"/>
    <w:rsid w:val="005E0ACD"/>
    <w:rsid w:val="005E230E"/>
    <w:rsid w:val="0062758B"/>
    <w:rsid w:val="00632807"/>
    <w:rsid w:val="0068212A"/>
    <w:rsid w:val="00684DD4"/>
    <w:rsid w:val="006A6998"/>
    <w:rsid w:val="006D37B7"/>
    <w:rsid w:val="00764ECB"/>
    <w:rsid w:val="007A1FD8"/>
    <w:rsid w:val="007A6934"/>
    <w:rsid w:val="007C2DE5"/>
    <w:rsid w:val="007C671D"/>
    <w:rsid w:val="007D7372"/>
    <w:rsid w:val="007D74EE"/>
    <w:rsid w:val="007D754E"/>
    <w:rsid w:val="0082035A"/>
    <w:rsid w:val="00820B9C"/>
    <w:rsid w:val="00832554"/>
    <w:rsid w:val="008632C5"/>
    <w:rsid w:val="008934B4"/>
    <w:rsid w:val="008B2DDD"/>
    <w:rsid w:val="008B4142"/>
    <w:rsid w:val="008C19A3"/>
    <w:rsid w:val="008D28D7"/>
    <w:rsid w:val="00904AE6"/>
    <w:rsid w:val="009060EC"/>
    <w:rsid w:val="00924731"/>
    <w:rsid w:val="009A061A"/>
    <w:rsid w:val="00A02BBE"/>
    <w:rsid w:val="00A358A0"/>
    <w:rsid w:val="00AA04BB"/>
    <w:rsid w:val="00AA1873"/>
    <w:rsid w:val="00AE3A24"/>
    <w:rsid w:val="00B53A46"/>
    <w:rsid w:val="00B610EB"/>
    <w:rsid w:val="00B911F5"/>
    <w:rsid w:val="00BF7A0A"/>
    <w:rsid w:val="00C03304"/>
    <w:rsid w:val="00C04D07"/>
    <w:rsid w:val="00C11E41"/>
    <w:rsid w:val="00C1500E"/>
    <w:rsid w:val="00C307AF"/>
    <w:rsid w:val="00C506AA"/>
    <w:rsid w:val="00CC6FA2"/>
    <w:rsid w:val="00CD186E"/>
    <w:rsid w:val="00CD5D76"/>
    <w:rsid w:val="00CE02B1"/>
    <w:rsid w:val="00CF7930"/>
    <w:rsid w:val="00D57D7E"/>
    <w:rsid w:val="00D70503"/>
    <w:rsid w:val="00D82A5D"/>
    <w:rsid w:val="00D87005"/>
    <w:rsid w:val="00D97546"/>
    <w:rsid w:val="00DC068D"/>
    <w:rsid w:val="00DD3CF6"/>
    <w:rsid w:val="00DF127F"/>
    <w:rsid w:val="00E01F3E"/>
    <w:rsid w:val="00E05C3F"/>
    <w:rsid w:val="00E24D9A"/>
    <w:rsid w:val="00E40683"/>
    <w:rsid w:val="00E50DDB"/>
    <w:rsid w:val="00EB2FAE"/>
    <w:rsid w:val="00EF3C1F"/>
    <w:rsid w:val="00F2481A"/>
    <w:rsid w:val="00F30FBA"/>
    <w:rsid w:val="00F34AB5"/>
    <w:rsid w:val="00F46FE0"/>
    <w:rsid w:val="00F4759F"/>
    <w:rsid w:val="00F56571"/>
    <w:rsid w:val="00F777EE"/>
    <w:rsid w:val="00FB0656"/>
    <w:rsid w:val="00FB0AC9"/>
    <w:rsid w:val="00FB3618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84DD4"/>
    <w:rPr>
      <w:sz w:val="20"/>
    </w:rPr>
  </w:style>
  <w:style w:type="character" w:customStyle="1" w:styleId="FootnoteTextChar">
    <w:name w:val="Footnote Text Char"/>
    <w:link w:val="FootnoteText"/>
    <w:uiPriority w:val="99"/>
    <w:rsid w:val="00684DD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uiPriority w:val="99"/>
    <w:semiHidden/>
    <w:unhideWhenUsed/>
    <w:rsid w:val="00684D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E6"/>
    <w:rPr>
      <w:rFonts w:ascii="Segoe UI" w:eastAsia="Μοντέρνα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84DD4"/>
    <w:rPr>
      <w:sz w:val="20"/>
    </w:rPr>
  </w:style>
  <w:style w:type="character" w:customStyle="1" w:styleId="FootnoteTextChar">
    <w:name w:val="Footnote Text Char"/>
    <w:link w:val="FootnoteText"/>
    <w:uiPriority w:val="99"/>
    <w:rsid w:val="00684DD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uiPriority w:val="99"/>
    <w:semiHidden/>
    <w:unhideWhenUsed/>
    <w:rsid w:val="00684D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E6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ERI\&#1055;&#1088;&#1077;&#1089;&#1089;&#1098;&#1086;&#1073;&#1097;&#1077;&#1085;&#1080;&#1103;\&#1048;&#1082;&#1086;&#1085;&#1086;&#1084;&#1080;&#1095;&#1077;&#1089;&#1082;&#1080;%20&#1089;&#1084;&#1077;&#1090;&#1082;&#1080;%20&#1079;&#1072;%20&#1089;&#1077;&#1083;&#1089;&#1082;&#1086;&#1090;&#1086;%20&#1089;&#1090;&#1086;&#1087;&#1072;&#1085;&#1089;&#1090;&#1074;&#1086;\za_2022\AII_1\Press\&#1055;&#1098;&#1088;&#1074;&#1072;_&#1086;&#1094;&#1077;&#1085;&#1082;&#1072;_2022_&#1055;&#1088;&#1077;&#1089;&#1089;_&#1056;&#1040;&#1041;&#1054;&#1058;&#1053;&#1040;-&#1087;&#1088;&#1086;&#1074;&#1077;&#1088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30807343055011E-2"/>
          <c:y val="0.21332446432080249"/>
          <c:w val="0.88225012083279808"/>
          <c:h val="0.56420140262430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Graff_BG!$B$3</c:f>
              <c:strCache>
                <c:ptCount val="1"/>
                <c:pt idx="0">
                  <c:v>Нетна добавена стойност по базисни цени</c:v>
                </c:pt>
              </c:strCache>
            </c:strRef>
          </c:tx>
          <c:spPr>
            <a:solidFill>
              <a:srgbClr val="FFFF99"/>
            </a:solidFill>
            <a:ln w="25400" cap="rnd">
              <a:noFill/>
            </a:ln>
            <a:effectLst/>
          </c:spPr>
          <c:invertIfNegative val="0"/>
          <c:cat>
            <c:numRef>
              <c:f>Graff_BG!$C$2:$R$2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Graff_BG!$C$3:$R$3</c:f>
              <c:numCache>
                <c:formatCode>0</c:formatCode>
                <c:ptCount val="16"/>
                <c:pt idx="0">
                  <c:v>2176</c:v>
                </c:pt>
                <c:pt idx="1">
                  <c:v>3445</c:v>
                </c:pt>
                <c:pt idx="2">
                  <c:v>2187</c:v>
                </c:pt>
                <c:pt idx="3">
                  <c:v>2238</c:v>
                </c:pt>
                <c:pt idx="4">
                  <c:v>2624</c:v>
                </c:pt>
                <c:pt idx="5">
                  <c:v>2651</c:v>
                </c:pt>
                <c:pt idx="6">
                  <c:v>2644</c:v>
                </c:pt>
                <c:pt idx="7">
                  <c:v>2674</c:v>
                </c:pt>
                <c:pt idx="8">
                  <c:v>2387</c:v>
                </c:pt>
                <c:pt idx="9">
                  <c:v>2417</c:v>
                </c:pt>
                <c:pt idx="10">
                  <c:v>2635.6</c:v>
                </c:pt>
                <c:pt idx="11">
                  <c:v>2484.9</c:v>
                </c:pt>
                <c:pt idx="12" formatCode="General">
                  <c:v>2546.9</c:v>
                </c:pt>
                <c:pt idx="13" formatCode="General">
                  <c:v>2496.9</c:v>
                </c:pt>
                <c:pt idx="14" formatCode="General">
                  <c:v>4181.7</c:v>
                </c:pt>
                <c:pt idx="15" formatCode="General">
                  <c:v>4657.7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15-46F9-BB12-CCFD14B62B94}"/>
            </c:ext>
          </c:extLst>
        </c:ser>
        <c:ser>
          <c:idx val="2"/>
          <c:order val="1"/>
          <c:tx>
            <c:strRef>
              <c:f>Graff_BG!$B$4</c:f>
              <c:strCache>
                <c:ptCount val="1"/>
                <c:pt idx="0">
                  <c:v>Нетен опериращ излишък</c:v>
                </c:pt>
              </c:strCache>
            </c:strRef>
          </c:tx>
          <c:spPr>
            <a:solidFill>
              <a:srgbClr val="FFCC66"/>
            </a:solidFill>
            <a:ln w="25400">
              <a:noFill/>
            </a:ln>
            <a:effectLst/>
          </c:spPr>
          <c:invertIfNegative val="0"/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1715-46F9-BB12-CCFD14B62B94}"/>
              </c:ext>
            </c:extLst>
          </c:dPt>
          <c:cat>
            <c:numRef>
              <c:f>Graff_BG!$C$2:$R$2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Graff_BG!$C$4:$R$4</c:f>
              <c:numCache>
                <c:formatCode>0</c:formatCode>
                <c:ptCount val="16"/>
                <c:pt idx="0">
                  <c:v>2350</c:v>
                </c:pt>
                <c:pt idx="1">
                  <c:v>4011</c:v>
                </c:pt>
                <c:pt idx="2">
                  <c:v>2548</c:v>
                </c:pt>
                <c:pt idx="3">
                  <c:v>2722</c:v>
                </c:pt>
                <c:pt idx="4">
                  <c:v>3028</c:v>
                </c:pt>
                <c:pt idx="5">
                  <c:v>3304</c:v>
                </c:pt>
                <c:pt idx="6">
                  <c:v>3659</c:v>
                </c:pt>
                <c:pt idx="7">
                  <c:v>3560</c:v>
                </c:pt>
                <c:pt idx="8">
                  <c:v>2905</c:v>
                </c:pt>
                <c:pt idx="9">
                  <c:v>3622.4</c:v>
                </c:pt>
                <c:pt idx="10">
                  <c:v>3614.7</c:v>
                </c:pt>
                <c:pt idx="11">
                  <c:v>3600.6</c:v>
                </c:pt>
                <c:pt idx="12" formatCode="General">
                  <c:v>3668.2</c:v>
                </c:pt>
                <c:pt idx="13" formatCode="General">
                  <c:v>3661.1</c:v>
                </c:pt>
                <c:pt idx="14" formatCode="General">
                  <c:v>4935.5</c:v>
                </c:pt>
                <c:pt idx="15" formatCode="General">
                  <c:v>5871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15-46F9-BB12-CCFD14B62B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83904"/>
        <c:axId val="124289792"/>
      </c:barChart>
      <c:lineChart>
        <c:grouping val="standard"/>
        <c:varyColors val="0"/>
        <c:ser>
          <c:idx val="4"/>
          <c:order val="2"/>
          <c:tx>
            <c:strRef>
              <c:f>Graff_BG!$B$5</c:f>
              <c:strCache>
                <c:ptCount val="1"/>
                <c:pt idx="0">
                  <c:v>Нетен предприемачески доход</c:v>
                </c:pt>
              </c:strCache>
            </c:strRef>
          </c:tx>
          <c:spPr>
            <a:ln w="25400" cap="sq">
              <a:solidFill>
                <a:srgbClr val="CC6600"/>
              </a:solidFill>
              <a:round/>
              <a:headEnd type="none"/>
            </a:ln>
            <a:effectLst/>
          </c:spPr>
          <c:marker>
            <c:symbol val="none"/>
          </c:marker>
          <c:dPt>
            <c:idx val="11"/>
            <c:bubble3D val="0"/>
            <c:spPr>
              <a:ln w="25400" cap="sq">
                <a:solidFill>
                  <a:srgbClr val="CC6600"/>
                </a:solidFill>
                <a:bevel/>
                <a:headEnd type="none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15-46F9-BB12-CCFD14B62B94}"/>
              </c:ext>
            </c:extLst>
          </c:dPt>
          <c:cat>
            <c:numRef>
              <c:f>Graff_BG!$C$2:$R$2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Graff_BG!$C$5:$R$5</c:f>
              <c:numCache>
                <c:formatCode>0</c:formatCode>
                <c:ptCount val="16"/>
                <c:pt idx="0">
                  <c:v>2111</c:v>
                </c:pt>
                <c:pt idx="1">
                  <c:v>3666</c:v>
                </c:pt>
                <c:pt idx="2">
                  <c:v>2194</c:v>
                </c:pt>
                <c:pt idx="3">
                  <c:v>2243</c:v>
                </c:pt>
                <c:pt idx="4">
                  <c:v>2468</c:v>
                </c:pt>
                <c:pt idx="5">
                  <c:v>2473</c:v>
                </c:pt>
                <c:pt idx="6">
                  <c:v>2843</c:v>
                </c:pt>
                <c:pt idx="7">
                  <c:v>2646</c:v>
                </c:pt>
                <c:pt idx="8">
                  <c:v>1861</c:v>
                </c:pt>
                <c:pt idx="9">
                  <c:v>2544.1</c:v>
                </c:pt>
                <c:pt idx="10">
                  <c:v>2459.4</c:v>
                </c:pt>
                <c:pt idx="11">
                  <c:v>2419.8000000000002</c:v>
                </c:pt>
                <c:pt idx="12" formatCode="General">
                  <c:v>2456.6</c:v>
                </c:pt>
                <c:pt idx="13" formatCode="General">
                  <c:v>2405.6999999999998</c:v>
                </c:pt>
                <c:pt idx="14" formatCode="General">
                  <c:v>3260.8</c:v>
                </c:pt>
                <c:pt idx="15" formatCode="General">
                  <c:v>3633.6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1715-46F9-BB12-CCFD14B62B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60"/>
          <c:upBars>
            <c:spPr>
              <a:solidFill>
                <a:schemeClr val="lt1"/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downBars>
        </c:upDownBars>
        <c:marker val="1"/>
        <c:smooth val="0"/>
        <c:axId val="124283904"/>
        <c:axId val="124289792"/>
      </c:lineChart>
      <c:dateAx>
        <c:axId val="12428390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289792"/>
        <c:crossesAt val="0"/>
        <c:auto val="0"/>
        <c:lblOffset val="100"/>
        <c:baseTimeUnit val="days"/>
        <c:minorUnit val="1"/>
      </c:dateAx>
      <c:valAx>
        <c:axId val="124289792"/>
        <c:scaling>
          <c:orientation val="minMax"/>
          <c:max val="60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Млн. левове</a:t>
                </a:r>
                <a:endParaRPr lang="en-US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4608932001010505E-2"/>
              <c:y val="6.2346067998044749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283904"/>
        <c:crossesAt val="1"/>
        <c:crossBetween val="between"/>
        <c:majorUnit val="1000"/>
        <c:minorUnit val="500"/>
      </c:valAx>
      <c:spPr>
        <a:noFill/>
        <a:ln w="0">
          <a:noFill/>
        </a:ln>
        <a:effectLst>
          <a:outerShdw dir="5400000" sx="1000" sy="1000" algn="ctr" rotWithShape="0">
            <a:srgbClr val="000000"/>
          </a:outerShdw>
        </a:effectLst>
      </c:spPr>
    </c:plotArea>
    <c:legend>
      <c:legendPos val="b"/>
      <c:layout>
        <c:manualLayout>
          <c:xMode val="edge"/>
          <c:yMode val="edge"/>
          <c:x val="0"/>
          <c:y val="0.92792013888888891"/>
          <c:w val="0.99807409697799454"/>
          <c:h val="7.2079823186591965E-2"/>
        </c:manualLayout>
      </c:layout>
      <c:overlay val="0"/>
      <c:spPr>
        <a:noFill/>
        <a:ln>
          <a:noFill/>
        </a:ln>
        <a:effectLst>
          <a:glow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6376-CEA3-40FA-BE9E-FC079499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0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8784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creator>a</dc:creator>
  <cp:lastModifiedBy>Zdravka Bobeva</cp:lastModifiedBy>
  <cp:revision>2</cp:revision>
  <cp:lastPrinted>2005-05-20T13:40:00Z</cp:lastPrinted>
  <dcterms:created xsi:type="dcterms:W3CDTF">2022-12-16T06:41:00Z</dcterms:created>
  <dcterms:modified xsi:type="dcterms:W3CDTF">2022-12-16T06:41:00Z</dcterms:modified>
</cp:coreProperties>
</file>