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42CC" w14:textId="77777777" w:rsidR="002B2A4C" w:rsidRPr="003F700D" w:rsidRDefault="002B2A4C" w:rsidP="00CA73A8">
      <w:pPr>
        <w:tabs>
          <w:tab w:val="left" w:pos="3123"/>
        </w:tabs>
        <w:spacing w:after="160" w:line="360" w:lineRule="auto"/>
        <w:jc w:val="center"/>
        <w:rPr>
          <w:rFonts w:ascii="Verdana" w:eastAsia="Calibri" w:hAnsi="Verdana" w:cs="Times New Roman"/>
          <w:b/>
          <w:sz w:val="20"/>
          <w:szCs w:val="20"/>
        </w:rPr>
      </w:pPr>
      <w:r w:rsidRPr="003F700D">
        <w:rPr>
          <w:rFonts w:ascii="Verdana" w:eastAsia="Calibri" w:hAnsi="Verdana" w:cs="Times New Roman"/>
          <w:b/>
          <w:sz w:val="20"/>
          <w:szCs w:val="20"/>
        </w:rPr>
        <w:t xml:space="preserve">ИНФЛАЦИЯ И ИНДЕКСИ НА ПОТРЕБИТЕЛСКИТЕ ЦЕНИ ЗА </w:t>
      </w:r>
    </w:p>
    <w:p w14:paraId="13415505" w14:textId="6EACC72F" w:rsidR="002B2A4C" w:rsidRPr="003F700D" w:rsidRDefault="00976A87" w:rsidP="00CA73A8">
      <w:pPr>
        <w:tabs>
          <w:tab w:val="left" w:pos="3123"/>
        </w:tabs>
        <w:spacing w:after="160" w:line="360" w:lineRule="auto"/>
        <w:jc w:val="center"/>
        <w:rPr>
          <w:rFonts w:ascii="Verdana" w:eastAsia="Calibri" w:hAnsi="Verdana" w:cs="Times New Roman"/>
          <w:b/>
          <w:sz w:val="20"/>
          <w:szCs w:val="20"/>
        </w:rPr>
      </w:pPr>
      <w:r w:rsidRPr="003F700D">
        <w:rPr>
          <w:rFonts w:ascii="Verdana" w:eastAsia="Calibri" w:hAnsi="Verdana" w:cs="Times New Roman"/>
          <w:b/>
          <w:sz w:val="20"/>
          <w:szCs w:val="20"/>
        </w:rPr>
        <w:t>АВГУСТ</w:t>
      </w:r>
      <w:r w:rsidR="002B2A4C" w:rsidRPr="003F700D">
        <w:rPr>
          <w:rFonts w:ascii="Verdana" w:eastAsia="Calibri" w:hAnsi="Verdana" w:cs="Times New Roman"/>
          <w:b/>
          <w:sz w:val="20"/>
          <w:szCs w:val="20"/>
        </w:rPr>
        <w:t xml:space="preserve"> 2024 ГОДИНА</w:t>
      </w:r>
    </w:p>
    <w:p w14:paraId="4C674A2D" w14:textId="416C6F82" w:rsidR="00AF4F13" w:rsidRPr="003F700D" w:rsidRDefault="00AF4F13" w:rsidP="00AE4E4C">
      <w:pPr>
        <w:tabs>
          <w:tab w:val="left" w:pos="3123"/>
        </w:tabs>
        <w:spacing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Месечната инфлация е 0.</w:t>
      </w:r>
      <w:r w:rsidR="00976A87" w:rsidRPr="003F700D">
        <w:rPr>
          <w:rFonts w:ascii="Verdana" w:eastAsia="Μοντέρνα" w:hAnsi="Verdana" w:cs="Times New Roman"/>
          <w:i/>
          <w:sz w:val="20"/>
          <w:szCs w:val="20"/>
          <w:lang w:eastAsia="bg-BG"/>
        </w:rPr>
        <w:t>1</w:t>
      </w:r>
      <w:r w:rsidRPr="003F700D">
        <w:rPr>
          <w:rFonts w:ascii="Verdana" w:eastAsia="Μοντέρνα" w:hAnsi="Verdana" w:cs="Times New Roman"/>
          <w:i/>
          <w:sz w:val="20"/>
          <w:szCs w:val="20"/>
          <w:lang w:eastAsia="bg-BG"/>
        </w:rPr>
        <w:t xml:space="preserve">%, а годишната инфлация е </w:t>
      </w:r>
      <w:r w:rsidR="00017619" w:rsidRPr="003F700D">
        <w:rPr>
          <w:rFonts w:ascii="Verdana" w:eastAsia="Μοντέρνα" w:hAnsi="Verdana" w:cs="Times New Roman"/>
          <w:i/>
          <w:sz w:val="20"/>
          <w:szCs w:val="20"/>
          <w:lang w:eastAsia="bg-BG"/>
        </w:rPr>
        <w:t>2</w:t>
      </w:r>
      <w:r w:rsidRPr="003F700D">
        <w:rPr>
          <w:rFonts w:ascii="Verdana" w:eastAsia="Μοντέρνα" w:hAnsi="Verdana" w:cs="Times New Roman"/>
          <w:i/>
          <w:sz w:val="20"/>
          <w:szCs w:val="20"/>
          <w:lang w:eastAsia="bg-BG"/>
        </w:rPr>
        <w:t>.</w:t>
      </w:r>
      <w:r w:rsidR="00976A87" w:rsidRPr="003F700D">
        <w:rPr>
          <w:rFonts w:ascii="Verdana" w:eastAsia="Μοντέρνα" w:hAnsi="Verdana" w:cs="Times New Roman"/>
          <w:i/>
          <w:sz w:val="20"/>
          <w:szCs w:val="20"/>
          <w:lang w:eastAsia="bg-BG"/>
        </w:rPr>
        <w:t>1</w:t>
      </w:r>
      <w:r w:rsidRPr="003F700D">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976A87" w:rsidRPr="003F700D">
        <w:rPr>
          <w:rFonts w:ascii="Verdana" w:eastAsia="Μοντέρνα" w:hAnsi="Verdana" w:cs="Times New Roman"/>
          <w:i/>
          <w:sz w:val="20"/>
          <w:szCs w:val="20"/>
          <w:lang w:eastAsia="bg-BG"/>
        </w:rPr>
        <w:t xml:space="preserve">август </w:t>
      </w:r>
      <w:r w:rsidRPr="003F700D">
        <w:rPr>
          <w:rFonts w:ascii="Verdana" w:eastAsia="Μοντέρνα" w:hAnsi="Verdana" w:cs="Times New Roman"/>
          <w:i/>
          <w:sz w:val="20"/>
          <w:szCs w:val="20"/>
          <w:lang w:eastAsia="bg-BG"/>
        </w:rPr>
        <w:t xml:space="preserve">2024 г. спрямо предходния месец, а годишната инфлация е за </w:t>
      </w:r>
      <w:r w:rsidR="00976A87" w:rsidRPr="003F700D">
        <w:rPr>
          <w:rFonts w:ascii="Verdana" w:eastAsia="Μοντέρνα" w:hAnsi="Verdana" w:cs="Times New Roman"/>
          <w:i/>
          <w:sz w:val="20"/>
          <w:szCs w:val="20"/>
          <w:lang w:eastAsia="bg-BG"/>
        </w:rPr>
        <w:t xml:space="preserve">август </w:t>
      </w:r>
      <w:r w:rsidRPr="003F700D">
        <w:rPr>
          <w:rFonts w:ascii="Verdana" w:eastAsia="Μοντέρνα" w:hAnsi="Verdana" w:cs="Times New Roman"/>
          <w:i/>
          <w:sz w:val="20"/>
          <w:szCs w:val="20"/>
          <w:lang w:eastAsia="bg-BG"/>
        </w:rPr>
        <w:t>2024 г. спрямо същия месец на предходната година.</w:t>
      </w:r>
    </w:p>
    <w:p w14:paraId="23C0B399" w14:textId="69E3D74E" w:rsidR="00976A87" w:rsidRPr="003F700D" w:rsidRDefault="00AF4F13" w:rsidP="009B75DB">
      <w:pPr>
        <w:tabs>
          <w:tab w:val="left" w:pos="3123"/>
        </w:tabs>
        <w:spacing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 xml:space="preserve">През </w:t>
      </w:r>
      <w:r w:rsidR="00976A87" w:rsidRPr="003F700D">
        <w:rPr>
          <w:rFonts w:ascii="Verdana" w:eastAsia="Μοντέρνα" w:hAnsi="Verdana" w:cs="Times New Roman"/>
          <w:i/>
          <w:sz w:val="20"/>
          <w:szCs w:val="20"/>
          <w:lang w:eastAsia="bg-BG"/>
        </w:rPr>
        <w:t xml:space="preserve">август </w:t>
      </w:r>
      <w:r w:rsidRPr="003F700D">
        <w:rPr>
          <w:rFonts w:ascii="Verdana" w:eastAsia="Μοντέρνα" w:hAnsi="Verdana" w:cs="Times New Roman"/>
          <w:i/>
          <w:sz w:val="20"/>
          <w:szCs w:val="20"/>
          <w:lang w:eastAsia="bg-BG"/>
        </w:rPr>
        <w:t xml:space="preserve">2024 г. спрямо предходния месец най-голямо е </w:t>
      </w:r>
      <w:r w:rsidR="007A18ED" w:rsidRPr="003F700D">
        <w:rPr>
          <w:rFonts w:ascii="Verdana" w:eastAsia="Μοντέρνα" w:hAnsi="Verdana" w:cs="Times New Roman"/>
          <w:i/>
          <w:sz w:val="20"/>
          <w:szCs w:val="20"/>
          <w:lang w:eastAsia="bg-BG"/>
        </w:rPr>
        <w:t>увеличе</w:t>
      </w:r>
      <w:r w:rsidR="00017619" w:rsidRPr="003F700D">
        <w:rPr>
          <w:rFonts w:ascii="Verdana" w:eastAsia="Μοντέρνα" w:hAnsi="Verdana" w:cs="Times New Roman"/>
          <w:i/>
          <w:sz w:val="20"/>
          <w:szCs w:val="20"/>
          <w:lang w:eastAsia="bg-BG"/>
        </w:rPr>
        <w:t xml:space="preserve">нието </w:t>
      </w:r>
      <w:r w:rsidRPr="003F700D">
        <w:rPr>
          <w:rFonts w:ascii="Verdana" w:eastAsia="Μοντέρνα" w:hAnsi="Verdana" w:cs="Times New Roman"/>
          <w:i/>
          <w:sz w:val="20"/>
          <w:szCs w:val="20"/>
          <w:lang w:eastAsia="bg-BG"/>
        </w:rPr>
        <w:t>на цените</w:t>
      </w:r>
      <w:r w:rsidR="00861B41">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в</w:t>
      </w:r>
      <w:r w:rsidR="00861B41">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групите:</w:t>
      </w:r>
      <w:r w:rsidR="00861B41">
        <w:rPr>
          <w:rFonts w:ascii="Verdana" w:eastAsia="Μοντέρνα" w:hAnsi="Verdana" w:cs="Times New Roman"/>
          <w:i/>
          <w:sz w:val="20"/>
          <w:szCs w:val="20"/>
          <w:lang w:eastAsia="bg-BG"/>
        </w:rPr>
        <w:t> </w:t>
      </w:r>
      <w:r w:rsidR="007A18ED" w:rsidRPr="003F700D">
        <w:rPr>
          <w:rFonts w:ascii="Verdana" w:eastAsia="Μοντέρνα" w:hAnsi="Verdana" w:cs="Times New Roman"/>
          <w:i/>
          <w:sz w:val="20"/>
          <w:szCs w:val="20"/>
          <w:lang w:eastAsia="bg-BG"/>
        </w:rPr>
        <w:t>„</w:t>
      </w:r>
      <w:r w:rsidR="00976A87" w:rsidRPr="003F700D">
        <w:rPr>
          <w:rFonts w:ascii="Verdana" w:eastAsia="Μοντέρνα" w:hAnsi="Verdana" w:cs="Times New Roman"/>
          <w:i/>
          <w:sz w:val="20"/>
          <w:szCs w:val="20"/>
          <w:lang w:eastAsia="bg-BG"/>
        </w:rPr>
        <w:t>Хранителни</w:t>
      </w:r>
      <w:r w:rsidR="00861B41">
        <w:rPr>
          <w:rFonts w:ascii="Verdana" w:eastAsia="Μοντέρνα" w:hAnsi="Verdana" w:cs="Times New Roman"/>
          <w:i/>
          <w:sz w:val="20"/>
          <w:szCs w:val="20"/>
          <w:lang w:eastAsia="bg-BG"/>
        </w:rPr>
        <w:t> </w:t>
      </w:r>
      <w:r w:rsidR="00976A87" w:rsidRPr="003F700D">
        <w:rPr>
          <w:rFonts w:ascii="Verdana" w:eastAsia="Μοντέρνα" w:hAnsi="Verdana" w:cs="Times New Roman"/>
          <w:i/>
          <w:sz w:val="20"/>
          <w:szCs w:val="20"/>
          <w:lang w:eastAsia="bg-BG"/>
        </w:rPr>
        <w:t>продукти</w:t>
      </w:r>
      <w:r w:rsidR="00861B41">
        <w:rPr>
          <w:rFonts w:ascii="Verdana" w:eastAsia="Μοντέρνα" w:hAnsi="Verdana" w:cs="Times New Roman"/>
          <w:i/>
          <w:sz w:val="20"/>
          <w:szCs w:val="20"/>
          <w:lang w:eastAsia="bg-BG"/>
        </w:rPr>
        <w:t> </w:t>
      </w:r>
      <w:r w:rsidR="00976A87" w:rsidRPr="003F700D">
        <w:rPr>
          <w:rFonts w:ascii="Verdana" w:eastAsia="Μοντέρνα" w:hAnsi="Verdana" w:cs="Times New Roman"/>
          <w:i/>
          <w:sz w:val="20"/>
          <w:szCs w:val="20"/>
          <w:lang w:eastAsia="bg-BG"/>
        </w:rPr>
        <w:t>и</w:t>
      </w:r>
      <w:r w:rsidR="00861B41">
        <w:rPr>
          <w:rFonts w:ascii="Verdana" w:eastAsia="Μοντέρνα" w:hAnsi="Verdana" w:cs="Times New Roman"/>
          <w:i/>
          <w:sz w:val="20"/>
          <w:szCs w:val="20"/>
          <w:lang w:eastAsia="bg-BG"/>
        </w:rPr>
        <w:t> </w:t>
      </w:r>
      <w:r w:rsidR="00976A87" w:rsidRPr="003F700D">
        <w:rPr>
          <w:rFonts w:ascii="Verdana" w:eastAsia="Μοντέρνα" w:hAnsi="Verdana" w:cs="Times New Roman"/>
          <w:i/>
          <w:sz w:val="20"/>
          <w:szCs w:val="20"/>
          <w:lang w:eastAsia="bg-BG"/>
        </w:rPr>
        <w:t>безалкохолни</w:t>
      </w:r>
      <w:r w:rsidR="00861B41">
        <w:rPr>
          <w:rFonts w:ascii="Verdana" w:eastAsia="Μοντέρνα" w:hAnsi="Verdana" w:cs="Times New Roman"/>
          <w:i/>
          <w:sz w:val="20"/>
          <w:szCs w:val="20"/>
          <w:lang w:eastAsia="bg-BG"/>
        </w:rPr>
        <w:t> </w:t>
      </w:r>
      <w:r w:rsidR="00976A87" w:rsidRPr="003F700D">
        <w:rPr>
          <w:rFonts w:ascii="Verdana" w:eastAsia="Μοντέρνα" w:hAnsi="Verdana" w:cs="Times New Roman"/>
          <w:i/>
          <w:sz w:val="20"/>
          <w:szCs w:val="20"/>
          <w:lang w:eastAsia="bg-BG"/>
        </w:rPr>
        <w:t>напитки</w:t>
      </w:r>
      <w:r w:rsidR="007A18ED" w:rsidRPr="003F700D">
        <w:rPr>
          <w:rFonts w:ascii="Verdana" w:eastAsia="Μοντέρνα" w:hAnsi="Verdana" w:cs="Times New Roman"/>
          <w:i/>
          <w:sz w:val="20"/>
          <w:szCs w:val="20"/>
          <w:lang w:eastAsia="bg-BG"/>
        </w:rPr>
        <w:t>“</w:t>
      </w:r>
      <w:r w:rsidR="00861B41">
        <w:rPr>
          <w:rFonts w:ascii="Verdana" w:eastAsia="Μοντέρνα" w:hAnsi="Verdana" w:cs="Times New Roman"/>
          <w:i/>
          <w:sz w:val="20"/>
          <w:szCs w:val="20"/>
          <w:lang w:eastAsia="bg-BG"/>
        </w:rPr>
        <w:t> </w:t>
      </w:r>
      <w:r w:rsidR="007A18ED" w:rsidRPr="003F700D">
        <w:rPr>
          <w:rFonts w:ascii="Verdana" w:eastAsia="Μοντέρνα" w:hAnsi="Verdana" w:cs="Times New Roman"/>
          <w:i/>
          <w:sz w:val="20"/>
          <w:szCs w:val="20"/>
          <w:lang w:eastAsia="bg-BG"/>
        </w:rPr>
        <w:t>(+</w:t>
      </w:r>
      <w:r w:rsidR="00976A87" w:rsidRPr="003F700D">
        <w:rPr>
          <w:rFonts w:ascii="Verdana" w:eastAsia="Μοντέρνα" w:hAnsi="Verdana" w:cs="Times New Roman"/>
          <w:i/>
          <w:sz w:val="20"/>
          <w:szCs w:val="20"/>
          <w:lang w:eastAsia="bg-BG"/>
        </w:rPr>
        <w:t>0</w:t>
      </w:r>
      <w:r w:rsidR="007A18ED" w:rsidRPr="003F700D">
        <w:rPr>
          <w:rFonts w:ascii="Verdana" w:eastAsia="Μοντέρνα" w:hAnsi="Verdana" w:cs="Times New Roman"/>
          <w:i/>
          <w:sz w:val="20"/>
          <w:szCs w:val="20"/>
          <w:lang w:eastAsia="bg-BG"/>
        </w:rPr>
        <w:t>.</w:t>
      </w:r>
      <w:r w:rsidR="00976A87" w:rsidRPr="003F700D">
        <w:rPr>
          <w:rFonts w:ascii="Verdana" w:eastAsia="Μοντέρνα" w:hAnsi="Verdana" w:cs="Times New Roman"/>
          <w:i/>
          <w:sz w:val="20"/>
          <w:szCs w:val="20"/>
          <w:lang w:eastAsia="bg-BG"/>
        </w:rPr>
        <w:t>9</w:t>
      </w:r>
      <w:r w:rsidR="007A18ED" w:rsidRPr="003F700D">
        <w:rPr>
          <w:rFonts w:ascii="Verdana" w:eastAsia="Μοντέρνα" w:hAnsi="Verdana" w:cs="Times New Roman"/>
          <w:i/>
          <w:sz w:val="20"/>
          <w:szCs w:val="20"/>
          <w:lang w:eastAsia="bg-BG"/>
        </w:rPr>
        <w:t>%),</w:t>
      </w:r>
      <w:r w:rsidR="00861B41">
        <w:rPr>
          <w:rFonts w:ascii="Verdana" w:eastAsia="Μοντέρνα" w:hAnsi="Verdana" w:cs="Times New Roman"/>
          <w:i/>
          <w:sz w:val="20"/>
          <w:szCs w:val="20"/>
          <w:lang w:eastAsia="bg-BG"/>
        </w:rPr>
        <w:t> </w:t>
      </w:r>
      <w:r w:rsidR="007A18ED" w:rsidRPr="003F700D">
        <w:rPr>
          <w:rFonts w:ascii="Verdana" w:eastAsia="Μοντέρνα" w:hAnsi="Verdana" w:cs="Times New Roman"/>
          <w:i/>
          <w:sz w:val="20"/>
          <w:szCs w:val="20"/>
          <w:lang w:eastAsia="bg-BG"/>
        </w:rPr>
        <w:t>„</w:t>
      </w:r>
      <w:r w:rsidR="00861B41">
        <w:rPr>
          <w:rFonts w:ascii="Verdana" w:eastAsia="Μοντέρνα" w:hAnsi="Verdana" w:cs="Times New Roman"/>
          <w:i/>
          <w:sz w:val="20"/>
          <w:szCs w:val="20"/>
          <w:lang w:eastAsia="bg-BG"/>
        </w:rPr>
        <w:t>Р</w:t>
      </w:r>
      <w:r w:rsidR="00976A87" w:rsidRPr="003F700D">
        <w:rPr>
          <w:rFonts w:ascii="Verdana" w:eastAsia="Μοντέρνα" w:hAnsi="Verdana" w:cs="Times New Roman"/>
          <w:i/>
          <w:sz w:val="20"/>
          <w:szCs w:val="20"/>
          <w:lang w:eastAsia="bg-BG"/>
        </w:rPr>
        <w:t>азвлечения и култура</w:t>
      </w:r>
      <w:r w:rsidR="007A18ED" w:rsidRPr="003F700D">
        <w:rPr>
          <w:rFonts w:ascii="Verdana" w:eastAsia="Μοντέρνα" w:hAnsi="Verdana" w:cs="Times New Roman"/>
          <w:i/>
          <w:sz w:val="20"/>
          <w:szCs w:val="20"/>
          <w:lang w:eastAsia="bg-BG"/>
        </w:rPr>
        <w:t>“ (+</w:t>
      </w:r>
      <w:r w:rsidR="00976A87" w:rsidRPr="003F700D">
        <w:rPr>
          <w:rFonts w:ascii="Verdana" w:eastAsia="Μοντέρνα" w:hAnsi="Verdana" w:cs="Times New Roman"/>
          <w:i/>
          <w:sz w:val="20"/>
          <w:szCs w:val="20"/>
          <w:lang w:eastAsia="bg-BG"/>
        </w:rPr>
        <w:t>0</w:t>
      </w:r>
      <w:r w:rsidR="007A18ED" w:rsidRPr="003F700D">
        <w:rPr>
          <w:rFonts w:ascii="Verdana" w:eastAsia="Μοντέρνα" w:hAnsi="Verdana" w:cs="Times New Roman"/>
          <w:i/>
          <w:sz w:val="20"/>
          <w:szCs w:val="20"/>
          <w:lang w:eastAsia="bg-BG"/>
        </w:rPr>
        <w:t>.</w:t>
      </w:r>
      <w:r w:rsidR="00976A87" w:rsidRPr="003F700D">
        <w:rPr>
          <w:rFonts w:ascii="Verdana" w:eastAsia="Μοντέρνα" w:hAnsi="Verdana" w:cs="Times New Roman"/>
          <w:i/>
          <w:sz w:val="20"/>
          <w:szCs w:val="20"/>
          <w:lang w:eastAsia="bg-BG"/>
        </w:rPr>
        <w:t>5</w:t>
      </w:r>
      <w:r w:rsidR="007A18ED" w:rsidRPr="003F700D">
        <w:rPr>
          <w:rFonts w:ascii="Verdana" w:eastAsia="Μοντέρνα" w:hAnsi="Verdana" w:cs="Times New Roman"/>
          <w:i/>
          <w:sz w:val="20"/>
          <w:szCs w:val="20"/>
          <w:lang w:eastAsia="bg-BG"/>
        </w:rPr>
        <w:t xml:space="preserve">%) </w:t>
      </w:r>
      <w:r w:rsidR="00976A87" w:rsidRPr="003F700D">
        <w:rPr>
          <w:rFonts w:ascii="Verdana" w:eastAsia="Μοντέρνα" w:hAnsi="Verdana" w:cs="Times New Roman"/>
          <w:i/>
          <w:sz w:val="20"/>
          <w:szCs w:val="20"/>
          <w:lang w:eastAsia="bg-BG"/>
        </w:rPr>
        <w:t>и „Алкохолни напитки и тютюневи изделия“ (+0,3%).</w:t>
      </w:r>
      <w:r w:rsidR="00132776">
        <w:rPr>
          <w:rFonts w:ascii="Verdana" w:eastAsia="Μοντέρνα" w:hAnsi="Verdana" w:cs="Times New Roman"/>
          <w:i/>
          <w:sz w:val="20"/>
          <w:szCs w:val="20"/>
          <w:lang w:val="en-US" w:eastAsia="bg-BG"/>
        </w:rPr>
        <w:t xml:space="preserve"> </w:t>
      </w:r>
      <w:r w:rsidR="00976A87" w:rsidRPr="003F700D">
        <w:rPr>
          <w:rFonts w:ascii="Verdana" w:eastAsia="Μοντέρνα" w:hAnsi="Verdana" w:cs="Times New Roman"/>
          <w:i/>
          <w:sz w:val="20"/>
          <w:szCs w:val="20"/>
          <w:lang w:eastAsia="bg-BG"/>
        </w:rPr>
        <w:t>Най-голямо намаление</w:t>
      </w:r>
      <w:r w:rsidR="00132776">
        <w:rPr>
          <w:rFonts w:ascii="Verdana" w:eastAsia="Μοντέρνα" w:hAnsi="Verdana" w:cs="Times New Roman"/>
          <w:i/>
          <w:sz w:val="20"/>
          <w:szCs w:val="20"/>
          <w:lang w:val="en-US" w:eastAsia="bg-BG"/>
        </w:rPr>
        <w:t xml:space="preserve"> </w:t>
      </w:r>
      <w:r w:rsidR="00976A87" w:rsidRPr="003F700D">
        <w:rPr>
          <w:rFonts w:ascii="Verdana" w:eastAsia="Μοντέρνα" w:hAnsi="Verdana" w:cs="Times New Roman"/>
          <w:i/>
          <w:sz w:val="20"/>
          <w:szCs w:val="20"/>
          <w:lang w:eastAsia="bg-BG"/>
        </w:rPr>
        <w:t>е регистрирано в групите: „Облекло и обувки“</w:t>
      </w:r>
      <w:r w:rsidR="00132776">
        <w:rPr>
          <w:rFonts w:ascii="Verdana" w:eastAsia="Μοντέρνα" w:hAnsi="Verdana" w:cs="Times New Roman"/>
          <w:i/>
          <w:sz w:val="20"/>
          <w:szCs w:val="20"/>
          <w:lang w:val="en-US" w:eastAsia="bg-BG"/>
        </w:rPr>
        <w:t xml:space="preserve"> </w:t>
      </w:r>
      <w:r w:rsidR="00976A87" w:rsidRPr="003F700D">
        <w:rPr>
          <w:rFonts w:ascii="Verdana" w:eastAsia="Μοντέρνα" w:hAnsi="Verdana" w:cs="Times New Roman"/>
          <w:i/>
          <w:sz w:val="20"/>
          <w:szCs w:val="20"/>
          <w:lang w:eastAsia="bg-BG"/>
        </w:rPr>
        <w:t>(-3.3%) и „Транспорт“ (-0.9%).</w:t>
      </w:r>
    </w:p>
    <w:p w14:paraId="50044385" w14:textId="77777777" w:rsidR="00AF4F13" w:rsidRPr="003F700D" w:rsidRDefault="00AF4F13" w:rsidP="0055322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Индекс на потребителските цени (ИПЦ)</w:t>
      </w:r>
    </w:p>
    <w:p w14:paraId="4E9F2DB1" w14:textId="1B23151C" w:rsidR="00AF4F13" w:rsidRPr="003F700D" w:rsidRDefault="00AF4F13" w:rsidP="00553228">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943548"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2024 г. </w:t>
      </w:r>
      <w:r w:rsidRPr="003F700D">
        <w:rPr>
          <w:rFonts w:ascii="Verdana" w:eastAsia="Μοντέρνα" w:hAnsi="Verdana" w:cs="Times New Roman"/>
          <w:b/>
          <w:sz w:val="20"/>
          <w:szCs w:val="20"/>
          <w:lang w:eastAsia="bg-BG"/>
        </w:rPr>
        <w:t>месечната инфлация</w:t>
      </w:r>
      <w:r w:rsidRPr="003F700D">
        <w:rPr>
          <w:rFonts w:ascii="Verdana" w:eastAsia="Μοντέρνα" w:hAnsi="Verdana" w:cs="Times New Roman"/>
          <w:sz w:val="20"/>
          <w:szCs w:val="20"/>
          <w:lang w:eastAsia="bg-BG"/>
        </w:rPr>
        <w:t xml:space="preserve"> е 0.</w:t>
      </w:r>
      <w:r w:rsidR="00943548" w:rsidRPr="003F700D">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943548"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2024 г. спрямо </w:t>
      </w:r>
      <w:r w:rsidR="00943548"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2023 г. е </w:t>
      </w:r>
      <w:r w:rsidR="00FE46C5" w:rsidRPr="003F700D">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943548" w:rsidRPr="003F700D">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4D4E21" w:rsidRPr="003F700D">
        <w:rPr>
          <w:rStyle w:val="FootnoteReference"/>
          <w:rFonts w:ascii="Verdana" w:eastAsia="Μοντέρνα" w:hAnsi="Verdana" w:cs="Times New Roman"/>
          <w:sz w:val="20"/>
          <w:szCs w:val="20"/>
          <w:lang w:eastAsia="bg-BG"/>
        </w:rPr>
        <w:footnoteReference w:id="1"/>
      </w:r>
      <w:r w:rsidRPr="003F700D">
        <w:rPr>
          <w:rFonts w:ascii="Verdana" w:eastAsia="Μοντέρνα" w:hAnsi="Verdana" w:cs="Times New Roman"/>
          <w:sz w:val="20"/>
          <w:szCs w:val="20"/>
          <w:lang w:eastAsia="bg-BG"/>
        </w:rPr>
        <w:t>.</w:t>
      </w:r>
    </w:p>
    <w:p w14:paraId="4BA8BA1D" w14:textId="517AF5E5" w:rsidR="00AF4F13" w:rsidRPr="003F700D" w:rsidRDefault="00AF4F13" w:rsidP="00AE4E4C">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Инфлацията от началото на годината (</w:t>
      </w:r>
      <w:r w:rsidR="00943548"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2024 г. спрямо декември 2023 г.) е </w:t>
      </w:r>
      <w:r w:rsidR="00CF2D33" w:rsidRPr="003F700D">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943548" w:rsidRPr="003F700D">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 xml:space="preserve">%, а средногодишната инфлация за периода </w:t>
      </w:r>
      <w:r w:rsidR="00943548" w:rsidRPr="003F700D">
        <w:rPr>
          <w:rFonts w:ascii="Verdana" w:eastAsia="Μοντέρνα" w:hAnsi="Verdana" w:cs="Times New Roman"/>
          <w:sz w:val="20"/>
          <w:szCs w:val="20"/>
          <w:lang w:eastAsia="bg-BG"/>
        </w:rPr>
        <w:t xml:space="preserve">септември </w:t>
      </w:r>
      <w:r w:rsidRPr="003F700D">
        <w:rPr>
          <w:rFonts w:ascii="Verdana" w:eastAsia="Μοντέρνα" w:hAnsi="Verdana" w:cs="Times New Roman"/>
          <w:sz w:val="20"/>
          <w:szCs w:val="20"/>
          <w:lang w:eastAsia="bg-BG"/>
        </w:rPr>
        <w:t xml:space="preserve">2023 - </w:t>
      </w:r>
      <w:r w:rsidR="00943548"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2024 г. спрямо периода </w:t>
      </w:r>
      <w:r w:rsidR="00943548" w:rsidRPr="003F700D">
        <w:rPr>
          <w:rFonts w:ascii="Verdana" w:eastAsia="Μοντέρνα" w:hAnsi="Verdana" w:cs="Times New Roman"/>
          <w:sz w:val="20"/>
          <w:szCs w:val="20"/>
          <w:lang w:eastAsia="bg-BG"/>
        </w:rPr>
        <w:t xml:space="preserve">септември </w:t>
      </w:r>
      <w:r w:rsidRPr="003F700D">
        <w:rPr>
          <w:rFonts w:ascii="Verdana" w:eastAsia="Μοντέρνα" w:hAnsi="Verdana" w:cs="Times New Roman"/>
          <w:sz w:val="20"/>
          <w:szCs w:val="20"/>
          <w:lang w:eastAsia="bg-BG"/>
        </w:rPr>
        <w:t xml:space="preserve">2022 - </w:t>
      </w:r>
      <w:r w:rsidR="00943548"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2023 г. е </w:t>
      </w:r>
      <w:r w:rsidR="00943548" w:rsidRPr="003F700D">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r w:rsidR="00943548" w:rsidRPr="003F700D">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w:t>
      </w:r>
    </w:p>
    <w:p w14:paraId="22F8CA12" w14:textId="77777777" w:rsidR="00AF4F13" w:rsidRPr="003F700D" w:rsidRDefault="00AF4F13" w:rsidP="00CA73A8">
      <w:pPr>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Фиг. 1. Инфлация, измерена чрез ИПЦ, по месеци</w:t>
      </w:r>
    </w:p>
    <w:p w14:paraId="14A90BF1" w14:textId="40674CBD" w:rsidR="00977464" w:rsidRPr="003F700D" w:rsidRDefault="00B217FF" w:rsidP="00603877">
      <w:pPr>
        <w:tabs>
          <w:tab w:val="left" w:pos="3123"/>
        </w:tabs>
        <w:spacing w:after="160" w:line="360" w:lineRule="auto"/>
        <w:ind w:firstLine="567"/>
        <w:jc w:val="center"/>
        <w:rPr>
          <w:rFonts w:ascii="Verdana" w:eastAsia="Μοντέρνα" w:hAnsi="Verdana" w:cs="Times New Roman"/>
          <w:b/>
          <w:i/>
          <w:sz w:val="20"/>
          <w:szCs w:val="20"/>
          <w:lang w:eastAsia="bg-BG"/>
        </w:rPr>
      </w:pPr>
      <w:r w:rsidRPr="003F700D">
        <w:rPr>
          <w:rFonts w:ascii="Verdana" w:eastAsia="Μοντέρνα" w:hAnsi="Verdana" w:cs="Times New Roman"/>
          <w:b/>
          <w:i/>
          <w:noProof/>
          <w:sz w:val="20"/>
          <w:szCs w:val="20"/>
          <w:lang w:eastAsia="bg-BG"/>
        </w:rPr>
        <w:drawing>
          <wp:inline distT="0" distB="0" distL="0" distR="0" wp14:anchorId="7C13096D" wp14:editId="54AD9FE8">
            <wp:extent cx="4597200" cy="276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7200" cy="2764800"/>
                    </a:xfrm>
                    <a:prstGeom prst="rect">
                      <a:avLst/>
                    </a:prstGeom>
                    <a:noFill/>
                  </pic:spPr>
                </pic:pic>
              </a:graphicData>
            </a:graphic>
          </wp:inline>
        </w:drawing>
      </w:r>
    </w:p>
    <w:p w14:paraId="343BE0E3" w14:textId="77777777" w:rsidR="00AF4F13" w:rsidRPr="003F700D" w:rsidRDefault="00AF4F13" w:rsidP="009E1C99">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lastRenderedPageBreak/>
        <w:t>Месечна инфлация</w:t>
      </w:r>
    </w:p>
    <w:p w14:paraId="782F311D" w14:textId="453B1630" w:rsidR="00AF4F13" w:rsidRPr="003F700D" w:rsidRDefault="00AF4F13" w:rsidP="00266C36">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B217FF"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2024 г. цените на стоките и услугите са се </w:t>
      </w:r>
      <w:r w:rsidR="004456FE" w:rsidRPr="003F700D">
        <w:rPr>
          <w:rFonts w:ascii="Verdana" w:eastAsia="Μοντέρνα" w:hAnsi="Verdana" w:cs="Times New Roman"/>
          <w:sz w:val="20"/>
          <w:szCs w:val="20"/>
          <w:lang w:eastAsia="bg-BG"/>
        </w:rPr>
        <w:t>увелич</w:t>
      </w:r>
      <w:r w:rsidR="00C10D97" w:rsidRPr="003F700D">
        <w:rPr>
          <w:rFonts w:ascii="Verdana" w:eastAsia="Μοντέρνα" w:hAnsi="Verdana" w:cs="Times New Roman"/>
          <w:sz w:val="20"/>
          <w:szCs w:val="20"/>
          <w:lang w:eastAsia="bg-BG"/>
        </w:rPr>
        <w:t xml:space="preserve">или </w:t>
      </w:r>
      <w:r w:rsidRPr="003F700D">
        <w:rPr>
          <w:rFonts w:ascii="Verdana" w:eastAsia="Μοντέρνα" w:hAnsi="Verdana" w:cs="Times New Roman"/>
          <w:sz w:val="20"/>
          <w:szCs w:val="20"/>
          <w:lang w:eastAsia="bg-BG"/>
        </w:rPr>
        <w:t>в следните потребителски групи:</w:t>
      </w:r>
    </w:p>
    <w:p w14:paraId="01F72D3E" w14:textId="4DD4EF49" w:rsidR="00B217FF" w:rsidRPr="003F700D" w:rsidRDefault="00B217FF" w:rsidP="00B217F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„Хранителни продукти и безалкохолни напитки“ - увеличение с 0.9%;</w:t>
      </w:r>
    </w:p>
    <w:p w14:paraId="066C0F43" w14:textId="1DFE7158" w:rsidR="004456FE" w:rsidRPr="003F700D" w:rsidRDefault="004456FE" w:rsidP="004456F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„Развлечения и култура“ - увеличение с </w:t>
      </w:r>
      <w:r w:rsidR="00B217FF" w:rsidRPr="003F700D">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B217FF" w:rsidRPr="003F700D">
        <w:rPr>
          <w:rFonts w:ascii="Verdana" w:eastAsia="Μοντέρνα" w:hAnsi="Verdana" w:cs="Times New Roman"/>
          <w:sz w:val="20"/>
          <w:szCs w:val="20"/>
          <w:lang w:eastAsia="bg-BG"/>
        </w:rPr>
        <w:t>5</w:t>
      </w:r>
      <w:r w:rsidRPr="003F700D">
        <w:rPr>
          <w:rFonts w:ascii="Verdana" w:eastAsia="Μοντέρνα" w:hAnsi="Verdana" w:cs="Times New Roman"/>
          <w:sz w:val="20"/>
          <w:szCs w:val="20"/>
          <w:lang w:eastAsia="bg-BG"/>
        </w:rPr>
        <w:t>%;</w:t>
      </w:r>
    </w:p>
    <w:p w14:paraId="04C0D717" w14:textId="77777777" w:rsidR="00B217FF" w:rsidRPr="003F700D" w:rsidRDefault="00B217FF" w:rsidP="00B217F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„Алкохолни напитки и тютюневи изделия“ - увеличение с 0.3%;</w:t>
      </w:r>
    </w:p>
    <w:p w14:paraId="783C2752" w14:textId="5D9A5F38" w:rsidR="00B217FF" w:rsidRPr="003F700D" w:rsidRDefault="00B217FF" w:rsidP="00B217F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„Съобщения“ - увеличение с 0.2%;</w:t>
      </w:r>
    </w:p>
    <w:p w14:paraId="6B98884A" w14:textId="02BFE165" w:rsidR="00B217FF" w:rsidRPr="003F700D" w:rsidRDefault="00B217FF" w:rsidP="00B217F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„Разнообразни стоки и услуги“ - увеличение с 0.2%.</w:t>
      </w:r>
    </w:p>
    <w:p w14:paraId="647F8409" w14:textId="77777777" w:rsidR="00B217FF" w:rsidRPr="003F700D" w:rsidRDefault="00B217FF" w:rsidP="00B217FF">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По-ниски са цените на стоките и услугите в следните потребителски групи:</w:t>
      </w:r>
    </w:p>
    <w:p w14:paraId="0AF931D4" w14:textId="454F0054" w:rsidR="00B217FF" w:rsidRPr="003F700D" w:rsidRDefault="00B217FF" w:rsidP="00B217F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„Облекло и обувки“ - намаление с 3.3%;</w:t>
      </w:r>
    </w:p>
    <w:p w14:paraId="1622F226" w14:textId="2CB0C04D" w:rsidR="00B217FF" w:rsidRPr="003F700D" w:rsidRDefault="00B217FF" w:rsidP="00B217F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„Транспорт“ - намаление с 0.9%;</w:t>
      </w:r>
    </w:p>
    <w:p w14:paraId="01330609" w14:textId="027DB0D5" w:rsidR="00B217FF" w:rsidRPr="003F700D" w:rsidRDefault="00B217FF" w:rsidP="0014592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„Жилищно обзавеждане, стоки и услуги за домакинството и за обичайното поддържане на дома“ - намаление с 0.2%;</w:t>
      </w:r>
    </w:p>
    <w:p w14:paraId="62110301" w14:textId="4995DEB4" w:rsidR="00B217FF" w:rsidRPr="003F700D" w:rsidRDefault="00B217FF" w:rsidP="00B217F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„Ресторанти и хотели“ - намаление с 0.1%.</w:t>
      </w:r>
    </w:p>
    <w:p w14:paraId="1CC0539B" w14:textId="52CA02F7" w:rsidR="00B217FF" w:rsidRPr="003F700D" w:rsidRDefault="00B217FF" w:rsidP="00B217FF">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Без промяна остават цените на стоките и услугите в групите „Здравеопазване“, „Жилища, вода, електроенергия, газ и други горива“ и „Образование“. </w:t>
      </w:r>
    </w:p>
    <w:p w14:paraId="38616CB4" w14:textId="004F1DBE" w:rsidR="00BA402D" w:rsidRPr="003F700D" w:rsidRDefault="00BA402D" w:rsidP="00BA402D">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месец август 2024 г. са се увеличили цените на следните хранителни продукти: зеле </w:t>
      </w:r>
      <w:r w:rsidR="00343994">
        <w:rPr>
          <w:rFonts w:ascii="Verdana" w:eastAsia="Μοντέρνα" w:hAnsi="Verdana" w:cs="Times New Roman"/>
          <w:sz w:val="20"/>
          <w:szCs w:val="20"/>
          <w:lang w:eastAsia="bg-BG"/>
        </w:rPr>
        <w:t>-</w:t>
      </w:r>
      <w:r w:rsidR="00343994"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с</w:t>
      </w:r>
      <w:r w:rsidR="00343994">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22.8%, листни зеленчуци - с 15.9%, цитрусови и южни плодове - с 8.0%, праскови и кайсии - с 6.1%, млечни масла - с 5.1%, краставици - с 5.0%, мляно месо (кайма) - с 3.7%, домати - с 3.7%, кафе - с 3.6%, </w:t>
      </w:r>
      <w:r w:rsidR="00343994">
        <w:rPr>
          <w:rFonts w:ascii="Verdana" w:eastAsia="Μοντέρνα" w:hAnsi="Verdana" w:cs="Times New Roman"/>
          <w:sz w:val="20"/>
          <w:szCs w:val="20"/>
          <w:lang w:eastAsia="bg-BG"/>
        </w:rPr>
        <w:t>пресни зеленчукови подправки</w:t>
      </w:r>
      <w:r w:rsidR="00861B41">
        <w:rPr>
          <w:rFonts w:ascii="Verdana" w:eastAsia="Μοντέρνα" w:hAnsi="Verdana" w:cs="Times New Roman"/>
          <w:sz w:val="20"/>
          <w:szCs w:val="20"/>
          <w:lang w:eastAsia="bg-BG"/>
        </w:rPr>
        <w:t> </w:t>
      </w:r>
      <w:r w:rsidRPr="003F700D">
        <w:rPr>
          <w:rFonts w:ascii="Verdana" w:eastAsia="Μοντέρνα" w:hAnsi="Verdana" w:cs="Times New Roman"/>
          <w:sz w:val="20"/>
          <w:szCs w:val="20"/>
          <w:lang w:eastAsia="bg-BG"/>
        </w:rPr>
        <w:t>- с 3.</w:t>
      </w:r>
      <w:r w:rsidR="00343994">
        <w:rPr>
          <w:rFonts w:ascii="Verdana" w:eastAsia="Μοντέρνα" w:hAnsi="Verdana" w:cs="Times New Roman"/>
          <w:sz w:val="20"/>
          <w:szCs w:val="20"/>
          <w:lang w:eastAsia="bg-BG"/>
        </w:rPr>
        <w:t>5</w:t>
      </w:r>
      <w:r w:rsidRPr="003F700D">
        <w:rPr>
          <w:rFonts w:ascii="Verdana" w:eastAsia="Μοντέρνα" w:hAnsi="Verdana" w:cs="Times New Roman"/>
          <w:sz w:val="20"/>
          <w:szCs w:val="20"/>
          <w:lang w:eastAsia="bg-BG"/>
        </w:rPr>
        <w:t>%,</w:t>
      </w:r>
      <w:r w:rsidR="00343994" w:rsidRPr="003F700D">
        <w:rPr>
          <w:rFonts w:ascii="Verdana" w:eastAsia="Μοντέρνα" w:hAnsi="Verdana" w:cs="Times New Roman"/>
          <w:sz w:val="20"/>
          <w:szCs w:val="20"/>
          <w:lang w:eastAsia="bg-BG"/>
        </w:rPr>
        <w:t xml:space="preserve"> ябълки - с 3.3%,</w:t>
      </w:r>
      <w:r w:rsidR="00343994">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маслини - с 3.1%, месо от домашни птици - с 2.6%, гъби - с 2.0%, олио - с 1.9%,</w:t>
      </w:r>
      <w:r w:rsidR="00343994">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минерална вода - с 1.6%, леща - с 1.3%, шоколад и шоколадови изделия - с 1.2%, плодови сокове - с 1.1%, зрял чесън - с 1.0%, кашкавал - с 0.9%, пипер - с 0.9%, вина - с 0.7%, </w:t>
      </w:r>
      <w:r w:rsidR="00343994" w:rsidRPr="003F700D">
        <w:rPr>
          <w:rFonts w:ascii="Verdana" w:eastAsia="Μοντέρνα" w:hAnsi="Verdana" w:cs="Times New Roman"/>
          <w:sz w:val="20"/>
          <w:szCs w:val="20"/>
          <w:lang w:eastAsia="bg-BG"/>
        </w:rPr>
        <w:t xml:space="preserve">сол - с </w:t>
      </w:r>
      <w:r w:rsidR="00343994">
        <w:rPr>
          <w:rFonts w:ascii="Verdana" w:eastAsia="Μοντέρνα" w:hAnsi="Verdana" w:cs="Times New Roman"/>
          <w:sz w:val="20"/>
          <w:szCs w:val="20"/>
          <w:lang w:eastAsia="bg-BG"/>
        </w:rPr>
        <w:t>0</w:t>
      </w:r>
      <w:r w:rsidR="00343994" w:rsidRPr="003F700D">
        <w:rPr>
          <w:rFonts w:ascii="Verdana" w:eastAsia="Μοντέρνα" w:hAnsi="Verdana" w:cs="Times New Roman"/>
          <w:sz w:val="20"/>
          <w:szCs w:val="20"/>
          <w:lang w:eastAsia="bg-BG"/>
        </w:rPr>
        <w:t>.</w:t>
      </w:r>
      <w:r w:rsidR="00343994">
        <w:rPr>
          <w:rFonts w:ascii="Verdana" w:eastAsia="Μοντέρνα" w:hAnsi="Verdana" w:cs="Times New Roman"/>
          <w:sz w:val="20"/>
          <w:szCs w:val="20"/>
          <w:lang w:eastAsia="bg-BG"/>
        </w:rPr>
        <w:t>6</w:t>
      </w:r>
      <w:r w:rsidR="00343994"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ориз - с 0.6%, зрял лук - с 0.6%, боб - с 0.6%, ракии - с 0.6%, пълномаслено прясно мляко - с 0.5%, малотрайни колбаси - с 0.4%, хляб - с 0.2%, и други.</w:t>
      </w:r>
    </w:p>
    <w:p w14:paraId="0C9414ED" w14:textId="7634B4F9" w:rsidR="00BA402D" w:rsidRPr="003F700D" w:rsidRDefault="00BA402D" w:rsidP="00BA402D">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Намалени са цените на следните хранителни продукти: дини и пъпеши - с 18.4%, кореноплодни зеленчуци (моркови и червено цвекло) - с 4.0%, картофи - с 3.8%, други пресни зеленчуци (зелен фасул, тиквички и патладжан) - с 3.5%, извара - с 2.1%, сладолед - с 2.0%, прясна и охладена риба - с 1.9%, </w:t>
      </w:r>
      <w:r w:rsidR="00DA488C">
        <w:rPr>
          <w:rFonts w:ascii="Verdana" w:eastAsia="Μοντέρνα" w:hAnsi="Verdana" w:cs="Times New Roman"/>
          <w:sz w:val="20"/>
          <w:szCs w:val="20"/>
          <w:lang w:eastAsia="bg-BG"/>
        </w:rPr>
        <w:t>сухи сладкарски изделия</w:t>
      </w:r>
      <w:r w:rsidR="00087722">
        <w:rPr>
          <w:rFonts w:ascii="Verdana" w:eastAsia="Μοντέρνα" w:hAnsi="Verdana" w:cs="Times New Roman"/>
          <w:sz w:val="20"/>
          <w:szCs w:val="20"/>
          <w:lang w:eastAsia="bg-BG"/>
        </w:rPr>
        <w:t> </w:t>
      </w:r>
      <w:r w:rsidRPr="003F700D">
        <w:rPr>
          <w:rFonts w:ascii="Verdana" w:eastAsia="Μοντέρνα" w:hAnsi="Verdana" w:cs="Times New Roman"/>
          <w:sz w:val="20"/>
          <w:szCs w:val="20"/>
          <w:lang w:eastAsia="bg-BG"/>
        </w:rPr>
        <w:t>- с 1.</w:t>
      </w:r>
      <w:r w:rsidR="00DA488C">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 свинско месо - с 1.3%, месо от едър рогат добитък - с 1.0%, трайни колбаси - с 0.9%, маргарин - с 0.9%, газирани напитки - с 0.9%, нискомаслено прясно мляко - с 0.7%, бира - с 0.7%, оцет - с 0.6%, кисели млека - с 0.4%, захар - с 0.4%, сирене - с 0.3%, яйца - с 0.1%, и други.</w:t>
      </w:r>
    </w:p>
    <w:p w14:paraId="27F39247" w14:textId="75C9B799" w:rsidR="00BA402D" w:rsidRPr="003F700D" w:rsidRDefault="00BA402D" w:rsidP="00BA402D">
      <w:pPr>
        <w:tabs>
          <w:tab w:val="left" w:pos="3123"/>
        </w:tabs>
        <w:spacing w:line="360" w:lineRule="auto"/>
        <w:ind w:firstLine="567"/>
        <w:jc w:val="both"/>
        <w:rPr>
          <w:rFonts w:ascii="Verdana" w:eastAsia="Μοντέρνα" w:hAnsi="Verdana" w:cs="Times New Roman"/>
          <w:sz w:val="20"/>
          <w:szCs w:val="20"/>
          <w:highlight w:val="yellow"/>
          <w:lang w:eastAsia="bg-BG"/>
        </w:rPr>
      </w:pPr>
      <w:r w:rsidRPr="003F700D">
        <w:rPr>
          <w:rFonts w:ascii="Verdana" w:eastAsia="Μοντέρνα" w:hAnsi="Verdana" w:cs="Times New Roman"/>
          <w:sz w:val="20"/>
          <w:szCs w:val="20"/>
          <w:lang w:eastAsia="bg-BG"/>
        </w:rPr>
        <w:lastRenderedPageBreak/>
        <w:t>В групите на нехранителните стоки и услугите е регистрирано увеличение на цените при: международни полети - с 3.4%, централно газоснабдяване - с 2.7%, газ пропан-бутан за ЛТС - с 2.2%, куриерски услуги - с 1.6%, вестници - с 1.5%, мебели</w:t>
      </w:r>
      <w:r w:rsidR="00087722">
        <w:rPr>
          <w:rFonts w:ascii="Verdana" w:eastAsia="Μοντέρνα" w:hAnsi="Verdana" w:cs="Times New Roman"/>
          <w:sz w:val="20"/>
          <w:szCs w:val="20"/>
          <w:lang w:eastAsia="bg-BG"/>
        </w:rPr>
        <w:t> </w:t>
      </w:r>
      <w:r w:rsidRPr="003F700D">
        <w:rPr>
          <w:rFonts w:ascii="Verdana" w:eastAsia="Μοντέρνα" w:hAnsi="Verdana" w:cs="Times New Roman"/>
          <w:sz w:val="20"/>
          <w:szCs w:val="20"/>
          <w:lang w:eastAsia="bg-BG"/>
        </w:rPr>
        <w:t xml:space="preserve">- с 1.4%, прахосмукачки </w:t>
      </w:r>
      <w:r w:rsidR="00F64F87">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w:t>
      </w:r>
      <w:r w:rsidR="00F64F87">
        <w:rPr>
          <w:rFonts w:ascii="Verdana" w:eastAsia="Μοντέρνα" w:hAnsi="Verdana" w:cs="Times New Roman"/>
          <w:sz w:val="20"/>
          <w:szCs w:val="20"/>
          <w:lang w:eastAsia="bg-BG"/>
        </w:rPr>
        <w:t xml:space="preserve">с </w:t>
      </w:r>
      <w:r w:rsidRPr="003F700D">
        <w:rPr>
          <w:rFonts w:ascii="Verdana" w:eastAsia="Μοντέρνα" w:hAnsi="Verdana" w:cs="Times New Roman"/>
          <w:sz w:val="20"/>
          <w:szCs w:val="20"/>
          <w:lang w:eastAsia="bg-BG"/>
        </w:rPr>
        <w:t xml:space="preserve">1.3%, метан за ЛТС - с 1.3%, </w:t>
      </w:r>
      <w:r w:rsidR="002006B3" w:rsidRPr="00C7012F">
        <w:rPr>
          <w:rFonts w:ascii="Verdana" w:eastAsia="Μοντέρνα" w:hAnsi="Verdana" w:cs="Times New Roman"/>
          <w:sz w:val="20"/>
          <w:szCs w:val="20"/>
          <w:lang w:eastAsia="bg-BG"/>
        </w:rPr>
        <w:t>бръснаро-фризьорски услуги и услуги за поддържане на добър външен вид</w:t>
      </w:r>
      <w:r w:rsidRPr="003F700D">
        <w:rPr>
          <w:rFonts w:ascii="Verdana" w:eastAsia="Μοντέρνα" w:hAnsi="Verdana" w:cs="Times New Roman"/>
          <w:sz w:val="20"/>
          <w:szCs w:val="20"/>
          <w:lang w:eastAsia="bg-BG"/>
        </w:rPr>
        <w:t xml:space="preserve"> - с 1.3%, финансови услуги на банки - с 0.9%, хладилници - с 0.9%, пакетни услуги за почивка и туристически пътувания - с 0.7%, поддържане и ремонт на ЛТС - с 0.6%, услуги по обществено хранене - с 0.5%, застраховки, свързани с жилището - с 0.5%, текущ ремонт и поддържане на жилище</w:t>
      </w:r>
      <w:r w:rsidR="00087722">
        <w:rPr>
          <w:rFonts w:ascii="Verdana" w:eastAsia="Μοντέρνα" w:hAnsi="Verdana" w:cs="Times New Roman"/>
          <w:sz w:val="20"/>
          <w:szCs w:val="20"/>
          <w:lang w:eastAsia="bg-BG"/>
        </w:rPr>
        <w:t> </w:t>
      </w:r>
      <w:r w:rsidRPr="003F700D">
        <w:rPr>
          <w:rFonts w:ascii="Verdana" w:eastAsia="Μοντέρνα" w:hAnsi="Verdana" w:cs="Times New Roman"/>
          <w:sz w:val="20"/>
          <w:szCs w:val="20"/>
          <w:lang w:eastAsia="bg-BG"/>
        </w:rPr>
        <w:t>- 0.4%, цигари - с 0.3%, пътнически транспорт с такси - с 0.3%, газообразни горива за битови нужди - с 0.2%, персонални компютри - с 0.2%, и други.</w:t>
      </w:r>
    </w:p>
    <w:p w14:paraId="2A7880E6" w14:textId="33153317" w:rsidR="00BA402D" w:rsidRPr="003F700D" w:rsidRDefault="00BA402D" w:rsidP="00415F30">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При нехранителните стоки и услугите е регистрирано намаление на цените при: обувки - с 4.3%, </w:t>
      </w:r>
      <w:r w:rsidR="00415F30">
        <w:rPr>
          <w:rFonts w:ascii="Verdana" w:eastAsia="Μοντέρνα" w:hAnsi="Verdana" w:cs="Times New Roman"/>
          <w:sz w:val="20"/>
          <w:szCs w:val="20"/>
          <w:lang w:eastAsia="bg-BG"/>
        </w:rPr>
        <w:t xml:space="preserve">хотели във </w:t>
      </w:r>
      <w:r w:rsidRPr="003F700D">
        <w:rPr>
          <w:rFonts w:ascii="Verdana" w:eastAsia="Μοντέρνα" w:hAnsi="Verdana" w:cs="Times New Roman"/>
          <w:sz w:val="20"/>
          <w:szCs w:val="20"/>
          <w:lang w:eastAsia="bg-BG"/>
        </w:rPr>
        <w:t xml:space="preserve">ваканционни центрове и курорти - с 4.1%, въглища - с 3.4%, облекло - с 2.9%, дизелово гориво - с 2.4%, бензин А95Н - с 2.2%, пелети - с 1.9%, продукти и препарати за почистване и поддържане </w:t>
      </w:r>
      <w:r w:rsidR="00415F30">
        <w:rPr>
          <w:rFonts w:ascii="Verdana" w:eastAsia="Μοντέρνα" w:hAnsi="Verdana" w:cs="Times New Roman"/>
          <w:sz w:val="20"/>
          <w:szCs w:val="20"/>
          <w:lang w:eastAsia="bg-BG"/>
        </w:rPr>
        <w:t xml:space="preserve">за дома </w:t>
      </w:r>
      <w:r w:rsidRPr="003F700D">
        <w:rPr>
          <w:rFonts w:ascii="Verdana" w:eastAsia="Μοντέρνα" w:hAnsi="Verdana" w:cs="Times New Roman"/>
          <w:sz w:val="20"/>
          <w:szCs w:val="20"/>
          <w:lang w:eastAsia="bg-BG"/>
        </w:rPr>
        <w:t xml:space="preserve">- с 1.8%, козметични продукти - с 1.8%, бензин А100Н - с 1.2%, бойлери - с 1.0%, телевизори - с 0.9%, </w:t>
      </w:r>
      <w:r w:rsidR="00415F30">
        <w:rPr>
          <w:rFonts w:ascii="Verdana" w:eastAsia="Μοντέρνα" w:hAnsi="Verdana" w:cs="Times New Roman"/>
          <w:sz w:val="20"/>
          <w:szCs w:val="20"/>
          <w:lang w:eastAsia="bg-BG"/>
        </w:rPr>
        <w:t>автомобили втора употреба</w:t>
      </w:r>
      <w:r w:rsidR="00415F30"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с 0.6%,</w:t>
      </w:r>
      <w:r w:rsidR="00415F30">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принадлежности за ЛТС - с 0.4%, продукти за лична хигиена - с 0.2%, и други.</w:t>
      </w:r>
    </w:p>
    <w:p w14:paraId="6BF5B824" w14:textId="605E82F2" w:rsidR="00BA402D" w:rsidRPr="003F700D" w:rsidRDefault="00BA402D" w:rsidP="00BA402D">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Регистрирано е увеличение на цените на лекарските и стоматологичните услуги съответно с 0.4 и 0.1%. Цените на лекарствените продукти остават на равнището </w:t>
      </w:r>
      <w:r w:rsidR="00E1246D">
        <w:rPr>
          <w:rFonts w:ascii="Verdana" w:eastAsia="Μοντέρνα" w:hAnsi="Verdana" w:cs="Times New Roman"/>
          <w:sz w:val="20"/>
          <w:szCs w:val="20"/>
          <w:lang w:eastAsia="bg-BG"/>
        </w:rPr>
        <w:t>от</w:t>
      </w:r>
      <w:r w:rsidR="00E1246D"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предходния месец.</w:t>
      </w:r>
    </w:p>
    <w:p w14:paraId="066B47DA" w14:textId="77777777" w:rsidR="00AF4F13" w:rsidRPr="003F700D" w:rsidRDefault="00AF4F13" w:rsidP="00F4233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Хармонизиран индекс на потребителските цени</w:t>
      </w:r>
      <w:r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b/>
          <w:sz w:val="20"/>
          <w:szCs w:val="20"/>
          <w:lang w:eastAsia="bg-BG"/>
        </w:rPr>
        <w:t>(ХИПЦ)</w:t>
      </w:r>
    </w:p>
    <w:p w14:paraId="5CB02CBE" w14:textId="6B47B3FD" w:rsidR="00AF4F13" w:rsidRPr="003F700D" w:rsidRDefault="00AF4F13" w:rsidP="00846E6E">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FE7CCC"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2024 г. </w:t>
      </w:r>
      <w:r w:rsidRPr="003F700D">
        <w:rPr>
          <w:rFonts w:ascii="Verdana" w:eastAsia="Μοντέρνα" w:hAnsi="Verdana" w:cs="Times New Roman"/>
          <w:b/>
          <w:sz w:val="20"/>
          <w:szCs w:val="20"/>
          <w:lang w:eastAsia="bg-BG"/>
        </w:rPr>
        <w:t>месечната инфлация</w:t>
      </w:r>
      <w:r w:rsidR="00C56474" w:rsidRPr="003F700D">
        <w:rPr>
          <w:rFonts w:ascii="Verdana" w:eastAsia="Μοντέρνα" w:hAnsi="Verdana" w:cs="Times New Roman"/>
          <w:sz w:val="20"/>
          <w:szCs w:val="20"/>
          <w:lang w:eastAsia="bg-BG"/>
        </w:rPr>
        <w:t xml:space="preserve"> е </w:t>
      </w:r>
      <w:r w:rsidR="00FE7CCC" w:rsidRPr="003F700D">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FE7CCC" w:rsidRPr="003F700D">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FE7CCC"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2024 г. спрямо </w:t>
      </w:r>
      <w:r w:rsidR="00FE7CCC"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2023 г. е </w:t>
      </w:r>
      <w:r w:rsidR="00107F84" w:rsidRPr="003F700D">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FE7CCC" w:rsidRPr="003F700D">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r w:rsidRPr="003F700D">
        <w:rPr>
          <w:rFonts w:ascii="Verdana" w:eastAsia="Μοντέρνα" w:hAnsi="Verdana" w:cs="Times New Roman"/>
          <w:sz w:val="20"/>
          <w:szCs w:val="20"/>
          <w:vertAlign w:val="superscript"/>
          <w:lang w:eastAsia="bg-BG"/>
        </w:rPr>
        <w:footnoteReference w:id="2"/>
      </w:r>
      <w:r w:rsidRPr="003F700D">
        <w:rPr>
          <w:rFonts w:ascii="Verdana" w:eastAsia="Μοντέρνα" w:hAnsi="Verdana" w:cs="Times New Roman"/>
          <w:sz w:val="20"/>
          <w:szCs w:val="20"/>
          <w:lang w:eastAsia="bg-BG"/>
        </w:rPr>
        <w:t>.</w:t>
      </w:r>
    </w:p>
    <w:p w14:paraId="391BAF38" w14:textId="3AC2105B" w:rsidR="00FE7CCC" w:rsidRPr="003F700D" w:rsidRDefault="00FE7CCC" w:rsidP="00FE7CCC">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Инфлацията от началото на годината (август 2024 г. спрямо декември 2023 г.) е 2.0%, а средногодишната инфлация за периода септември 2023 - август 2024 г. спрямо периода септември 2022 - август 2023 г. е 3.8%.</w:t>
      </w:r>
    </w:p>
    <w:p w14:paraId="0364FB88" w14:textId="77777777" w:rsidR="00AF4F13" w:rsidRPr="003F700D" w:rsidRDefault="00AF4F13" w:rsidP="00CA73A8">
      <w:pPr>
        <w:keepNext/>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Фиг. 2. Инфлация, измерена чрез ХИПЦ, по месеци</w:t>
      </w:r>
      <w:r w:rsidR="00237F94" w:rsidRPr="003F700D">
        <w:rPr>
          <w:rFonts w:ascii="Verdana" w:eastAsia="Μοντέρνα" w:hAnsi="Verdana" w:cs="Times New Roman"/>
          <w:b/>
          <w:sz w:val="20"/>
          <w:szCs w:val="20"/>
          <w:lang w:eastAsia="bg-BG"/>
        </w:rPr>
        <w:t> </w:t>
      </w:r>
    </w:p>
    <w:p w14:paraId="5412405C" w14:textId="70813FFA" w:rsidR="00AF4F13" w:rsidRPr="003F700D" w:rsidRDefault="004065E2" w:rsidP="00603877">
      <w:pPr>
        <w:tabs>
          <w:tab w:val="left" w:pos="3123"/>
        </w:tabs>
        <w:spacing w:after="160" w:line="360" w:lineRule="auto"/>
        <w:ind w:firstLine="567"/>
        <w:jc w:val="center"/>
        <w:rPr>
          <w:rFonts w:ascii="Verdana" w:eastAsia="Μοντέρνα" w:hAnsi="Verdana" w:cs="Times New Roman"/>
          <w:sz w:val="20"/>
          <w:szCs w:val="20"/>
          <w:lang w:eastAsia="bg-BG"/>
        </w:rPr>
      </w:pPr>
      <w:r>
        <w:rPr>
          <w:rFonts w:ascii="Verdana" w:eastAsia="Μοντέρνα" w:hAnsi="Verdana" w:cs="Times New Roman"/>
          <w:noProof/>
          <w:sz w:val="20"/>
          <w:szCs w:val="20"/>
          <w:lang w:eastAsia="bg-BG"/>
        </w:rPr>
        <w:drawing>
          <wp:inline distT="0" distB="0" distL="0" distR="0" wp14:anchorId="7F88D7FF" wp14:editId="6070BCFF">
            <wp:extent cx="4464000" cy="282960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4000" cy="2829600"/>
                    </a:xfrm>
                    <a:prstGeom prst="rect">
                      <a:avLst/>
                    </a:prstGeom>
                    <a:noFill/>
                  </pic:spPr>
                </pic:pic>
              </a:graphicData>
            </a:graphic>
          </wp:inline>
        </w:drawing>
      </w:r>
    </w:p>
    <w:p w14:paraId="5B3BECDA" w14:textId="77777777" w:rsidR="00AF4F13" w:rsidRPr="003F700D" w:rsidRDefault="00AF4F13" w:rsidP="009B75DB">
      <w:pPr>
        <w:tabs>
          <w:tab w:val="left" w:pos="3123"/>
        </w:tabs>
        <w:spacing w:before="160" w:after="160" w:line="360" w:lineRule="auto"/>
        <w:ind w:firstLine="567"/>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t>Месечна инфлация</w:t>
      </w:r>
    </w:p>
    <w:p w14:paraId="24FA4276" w14:textId="42F62F41" w:rsidR="00AF4F13" w:rsidRPr="003F700D" w:rsidRDefault="00AF4F13" w:rsidP="00FE1B6B">
      <w:pPr>
        <w:tabs>
          <w:tab w:val="left" w:pos="3123"/>
        </w:tabs>
        <w:spacing w:line="360" w:lineRule="auto"/>
        <w:ind w:firstLine="567"/>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Според ХИПЦ през </w:t>
      </w:r>
      <w:r w:rsidR="0028599E"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2024 г. цените на стоките и услугите са се </w:t>
      </w:r>
      <w:r w:rsidR="00D46AE3" w:rsidRPr="003F700D">
        <w:rPr>
          <w:rFonts w:ascii="Verdana" w:eastAsia="Μοντέρνα" w:hAnsi="Verdana" w:cs="Times New Roman"/>
          <w:sz w:val="20"/>
          <w:szCs w:val="20"/>
          <w:lang w:eastAsia="bg-BG"/>
        </w:rPr>
        <w:t>увеличили</w:t>
      </w:r>
      <w:r w:rsidR="008D2FA0"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в следните потребителски групи:</w:t>
      </w:r>
    </w:p>
    <w:p w14:paraId="61E5A762" w14:textId="644FE598" w:rsidR="0028599E" w:rsidRPr="003F700D" w:rsidRDefault="0028599E" w:rsidP="0028599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„Хранителни продукти и безалкохолни напитки“ - увеличение с 0.</w:t>
      </w:r>
      <w:r w:rsidR="00D34616" w:rsidRPr="003F700D">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378E0DFA" w14:textId="77777777" w:rsidR="00D34616" w:rsidRPr="003F700D" w:rsidRDefault="00D34616" w:rsidP="00D34616">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„Алкохолни напитки и тютюневи изделия“ - увеличение с 0.3%;</w:t>
      </w:r>
    </w:p>
    <w:p w14:paraId="617C5DC9" w14:textId="77777777" w:rsidR="00D34616" w:rsidRPr="003F700D" w:rsidRDefault="00D34616" w:rsidP="00D34616">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„Съобщения“ - увеличение с 0.2%;</w:t>
      </w:r>
    </w:p>
    <w:p w14:paraId="42534932" w14:textId="46BCACB7" w:rsidR="0028599E" w:rsidRPr="003F700D" w:rsidRDefault="0028599E" w:rsidP="0028599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„Развлечения и култура“ - увеличение с 0.</w:t>
      </w:r>
      <w:r w:rsidR="00D34616" w:rsidRPr="003F700D">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p>
    <w:p w14:paraId="397B51F9" w14:textId="77777777" w:rsidR="0028599E" w:rsidRPr="003F700D" w:rsidRDefault="0028599E" w:rsidP="0028599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„Разнообразни стоки и услуги“ - увеличение с 0.2%.</w:t>
      </w:r>
    </w:p>
    <w:p w14:paraId="4B049F3D" w14:textId="77777777" w:rsidR="0028599E" w:rsidRPr="003F700D" w:rsidRDefault="0028599E" w:rsidP="0028599E">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По-ниски са цените на стоките и услугите в следните потребителски групи:</w:t>
      </w:r>
    </w:p>
    <w:p w14:paraId="0B5DC294" w14:textId="4A8BBAFA" w:rsidR="0028599E" w:rsidRPr="003F700D" w:rsidRDefault="0028599E" w:rsidP="0028599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„Облекло и обувки“ - намаление с 3.</w:t>
      </w:r>
      <w:r w:rsidR="00360952" w:rsidRPr="003F700D">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064CF3CC" w14:textId="59E76E4F" w:rsidR="00360952" w:rsidRPr="003F700D" w:rsidRDefault="00360952" w:rsidP="0036095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„Ресторанти и хотели“ - намаление с 0.8%;</w:t>
      </w:r>
    </w:p>
    <w:p w14:paraId="26FE4BF5" w14:textId="2444155D" w:rsidR="0028599E" w:rsidRPr="003F700D" w:rsidRDefault="0028599E" w:rsidP="0028599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„Транспорт“ - намаление с 0.</w:t>
      </w:r>
      <w:r w:rsidR="00360952" w:rsidRPr="003F700D">
        <w:rPr>
          <w:rFonts w:ascii="Verdana" w:eastAsia="Μοντέρνα" w:hAnsi="Verdana" w:cs="Times New Roman"/>
          <w:sz w:val="20"/>
          <w:szCs w:val="20"/>
          <w:lang w:eastAsia="bg-BG"/>
        </w:rPr>
        <w:t>4%.</w:t>
      </w:r>
    </w:p>
    <w:p w14:paraId="4BB78A72" w14:textId="575DE45B" w:rsidR="0028599E" w:rsidRPr="003F700D" w:rsidRDefault="0028599E" w:rsidP="0028599E">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Без промяна остават цените на стоките и услугите в групите „Здравеопазване“, „Жилища, вода, електроенергия, газ и други горива“</w:t>
      </w:r>
      <w:r w:rsidR="00360952" w:rsidRPr="003F700D">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„Образование“</w:t>
      </w:r>
      <w:r w:rsidR="00360952" w:rsidRPr="003F700D">
        <w:rPr>
          <w:rFonts w:ascii="Verdana" w:eastAsia="Μοντέρνα" w:hAnsi="Verdana" w:cs="Times New Roman"/>
          <w:sz w:val="20"/>
          <w:szCs w:val="20"/>
          <w:lang w:eastAsia="bg-BG"/>
        </w:rPr>
        <w:t xml:space="preserve"> и „Жилищно обзавеждане, стоки и услуги за домакинството и за обичайното поддържане на дома“</w:t>
      </w:r>
      <w:r w:rsidRPr="003F700D">
        <w:rPr>
          <w:rFonts w:ascii="Verdana" w:eastAsia="Μοντέρνα" w:hAnsi="Verdana" w:cs="Times New Roman"/>
          <w:sz w:val="20"/>
          <w:szCs w:val="20"/>
          <w:lang w:eastAsia="bg-BG"/>
        </w:rPr>
        <w:t>.</w:t>
      </w:r>
    </w:p>
    <w:p w14:paraId="1EAEDA9C" w14:textId="12569B39" w:rsidR="00AF4F13" w:rsidRPr="003F700D" w:rsidRDefault="00AF4F13" w:rsidP="0007132A">
      <w:pPr>
        <w:keepNext/>
        <w:tabs>
          <w:tab w:val="left" w:pos="3123"/>
        </w:tabs>
        <w:spacing w:before="160" w:after="160" w:line="360" w:lineRule="auto"/>
        <w:ind w:firstLine="567"/>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Индекс на цените за малката кошница (ИЦМК)</w:t>
      </w:r>
    </w:p>
    <w:p w14:paraId="350553DC" w14:textId="58964C5A" w:rsidR="00AF4F13" w:rsidRPr="003F700D"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Според </w:t>
      </w:r>
      <w:r w:rsidRPr="003F700D">
        <w:rPr>
          <w:rFonts w:ascii="Verdana" w:eastAsia="Μοντέρνα" w:hAnsi="Verdana" w:cs="Times New Roman"/>
          <w:b/>
          <w:sz w:val="20"/>
          <w:szCs w:val="20"/>
          <w:lang w:eastAsia="bg-BG"/>
        </w:rPr>
        <w:t>индекса на цените за малката кошница</w:t>
      </w:r>
      <w:r w:rsidRPr="003F700D">
        <w:rPr>
          <w:rFonts w:ascii="Verdana" w:eastAsia="Μοντέρνα" w:hAnsi="Verdana" w:cs="Times New Roman"/>
          <w:sz w:val="20"/>
          <w:szCs w:val="20"/>
          <w:lang w:eastAsia="bg-BG"/>
        </w:rPr>
        <w:t xml:space="preserve"> през </w:t>
      </w:r>
      <w:r w:rsidR="00D077B3" w:rsidRPr="003F700D">
        <w:rPr>
          <w:rFonts w:ascii="Verdana" w:eastAsia="Μοντέρνα" w:hAnsi="Verdana" w:cs="Times New Roman"/>
          <w:sz w:val="20"/>
          <w:szCs w:val="20"/>
          <w:lang w:eastAsia="bg-BG"/>
        </w:rPr>
        <w:t xml:space="preserve">август </w:t>
      </w:r>
      <w:r w:rsidRPr="003F700D">
        <w:rPr>
          <w:rFonts w:ascii="Verdana" w:eastAsia="Μοντέρνα" w:hAnsi="Verdana" w:cs="Times New Roman"/>
          <w:sz w:val="20"/>
          <w:szCs w:val="20"/>
          <w:lang w:eastAsia="bg-BG"/>
        </w:rPr>
        <w:t xml:space="preserve">2024 г. е регистрирано </w:t>
      </w:r>
      <w:r w:rsidR="0097356A" w:rsidRPr="003F700D">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с 0.</w:t>
      </w:r>
      <w:r w:rsidR="00D077B3" w:rsidRPr="003F700D">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 xml:space="preserve">% на месечна база и увеличение с </w:t>
      </w:r>
      <w:r w:rsidR="0097356A" w:rsidRPr="003F700D">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D077B3" w:rsidRPr="003F700D">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 от началото на годината</w:t>
      </w:r>
      <w:r w:rsidRPr="003F700D">
        <w:rPr>
          <w:rFonts w:ascii="Verdana" w:eastAsia="Μοντέρνα" w:hAnsi="Verdana" w:cs="Times New Roman"/>
          <w:sz w:val="20"/>
          <w:szCs w:val="20"/>
          <w:vertAlign w:val="superscript"/>
          <w:lang w:eastAsia="bg-BG"/>
        </w:rPr>
        <w:footnoteReference w:id="3"/>
      </w:r>
      <w:r w:rsidRPr="003F700D">
        <w:rPr>
          <w:rFonts w:ascii="Verdana" w:eastAsia="Μοντέρνα" w:hAnsi="Verdana" w:cs="Times New Roman"/>
          <w:sz w:val="20"/>
          <w:szCs w:val="20"/>
          <w:lang w:eastAsia="bg-BG"/>
        </w:rPr>
        <w:t>.</w:t>
      </w:r>
    </w:p>
    <w:p w14:paraId="286EF9D0" w14:textId="77777777" w:rsidR="00AF4F13" w:rsidRPr="003F700D"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559E2454" w14:textId="20113C71" w:rsidR="0097356A" w:rsidRPr="003F700D" w:rsidRDefault="00D077B3" w:rsidP="0097356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хранителни продукти </w:t>
      </w:r>
      <w:r w:rsidR="0097356A" w:rsidRPr="003F700D">
        <w:rPr>
          <w:rFonts w:ascii="Verdana" w:eastAsia="Μοντέρνα" w:hAnsi="Verdana" w:cs="Times New Roman"/>
          <w:sz w:val="20"/>
          <w:szCs w:val="20"/>
          <w:lang w:eastAsia="bg-BG"/>
        </w:rPr>
        <w:t xml:space="preserve">- увеличение с </w:t>
      </w:r>
      <w:r w:rsidRPr="003F700D">
        <w:rPr>
          <w:rFonts w:ascii="Verdana" w:eastAsia="Μοντέρνα" w:hAnsi="Verdana" w:cs="Times New Roman"/>
          <w:sz w:val="20"/>
          <w:szCs w:val="20"/>
          <w:lang w:eastAsia="bg-BG"/>
        </w:rPr>
        <w:t>0</w:t>
      </w:r>
      <w:r w:rsidR="0097356A" w:rsidRPr="003F700D">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7</w:t>
      </w:r>
      <w:r w:rsidR="0097356A" w:rsidRPr="003F700D">
        <w:rPr>
          <w:rFonts w:ascii="Verdana" w:eastAsia="Μοντέρνα" w:hAnsi="Verdana" w:cs="Times New Roman"/>
          <w:sz w:val="20"/>
          <w:szCs w:val="20"/>
          <w:lang w:eastAsia="bg-BG"/>
        </w:rPr>
        <w:t>%;</w:t>
      </w:r>
    </w:p>
    <w:p w14:paraId="24C0F8C6" w14:textId="4FE9A7CF" w:rsidR="0097356A" w:rsidRPr="003F700D" w:rsidRDefault="0097356A" w:rsidP="0097356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нехранителни стоки -</w:t>
      </w:r>
      <w:r w:rsidR="00D077B3" w:rsidRPr="003F700D">
        <w:rPr>
          <w:rFonts w:ascii="Verdana" w:eastAsia="Μοντέρνα" w:hAnsi="Verdana" w:cs="Times New Roman"/>
          <w:sz w:val="20"/>
          <w:szCs w:val="20"/>
          <w:lang w:eastAsia="bg-BG"/>
        </w:rPr>
        <w:t xml:space="preserve"> намаление с 0.5%.</w:t>
      </w:r>
    </w:p>
    <w:p w14:paraId="432CE820" w14:textId="1D7C840F" w:rsidR="00D077B3" w:rsidRPr="003F700D" w:rsidRDefault="00D077B3" w:rsidP="00D077B3">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Без промяна остават цените в група „Услуги“.</w:t>
      </w:r>
    </w:p>
    <w:p w14:paraId="59FCDE5B" w14:textId="2A356FB1" w:rsidR="00225AD3" w:rsidRPr="003F700D" w:rsidRDefault="00225AD3">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br w:type="page"/>
      </w:r>
    </w:p>
    <w:p w14:paraId="01C6193D" w14:textId="77777777" w:rsidR="002D0367" w:rsidRPr="003F700D" w:rsidRDefault="002D0367" w:rsidP="009B75DB">
      <w:pPr>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Методологични бележки</w:t>
      </w:r>
    </w:p>
    <w:p w14:paraId="27C2D7BC" w14:textId="77777777" w:rsidR="002D0367" w:rsidRPr="00CA1104" w:rsidRDefault="002D0367" w:rsidP="007E0A9E">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Индексът на потребителските цени е официален измерител на инфлацията</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в Република България.</w:t>
      </w:r>
      <w:r w:rsidRPr="00CA1104">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при структура на разходите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78DAFEF8" w14:textId="77777777"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Хармонизираният индекс на потребителските цени</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CA1104">
        <w:rPr>
          <w:rFonts w:ascii="Verdana" w:eastAsia="Μοντέρνα" w:hAnsi="Verdana" w:cs="Times New Roman"/>
          <w:sz w:val="20"/>
          <w:szCs w:val="20"/>
          <w:lang w:eastAsia="bg-BG"/>
        </w:rPr>
        <w:t xml:space="preserve"> ХИПЦ, както и ИПЦ, измерва</w:t>
      </w:r>
      <w:r w:rsidR="00B7782D" w:rsidRPr="00CA1104">
        <w:rPr>
          <w:rFonts w:ascii="Verdana" w:eastAsia="Μοντέρνα" w:hAnsi="Verdana" w:cs="Times New Roman"/>
          <w:sz w:val="20"/>
          <w:szCs w:val="20"/>
          <w:lang w:eastAsia="bg-BG"/>
        </w:rPr>
        <w:t>т</w:t>
      </w:r>
      <w:r w:rsidRPr="00CA1104">
        <w:rPr>
          <w:rFonts w:ascii="Verdana" w:eastAsia="Μοντέρνα" w:hAnsi="Verdana" w:cs="Times New Roman"/>
          <w:sz w:val="20"/>
          <w:szCs w:val="20"/>
          <w:lang w:eastAsia="bg-BG"/>
        </w:rPr>
        <w:t xml:space="preserve">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2024 г. за тегла се използват данни за крайните парични потребителски разходи на домакинствата (КППРД) - вътрешна концепция за 2022 г., които са преразгледани и актуализирани, за да бъдат представителни за 2023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CA1104">
        <w:rPr>
          <w:rFonts w:ascii="Verdana" w:eastAsia="Μοντέρνα" w:hAnsi="Verdana" w:cs="Times New Roman"/>
          <w:sz w:val="20"/>
          <w:szCs w:val="20"/>
          <w:vertAlign w:val="superscript"/>
          <w:lang w:eastAsia="bg-BG"/>
        </w:rPr>
        <w:footnoteReference w:id="4"/>
      </w:r>
      <w:r w:rsidRPr="00CA1104">
        <w:rPr>
          <w:rFonts w:ascii="Verdana" w:eastAsia="Μοντέρνα" w:hAnsi="Verdana" w:cs="Times New Roman"/>
          <w:sz w:val="20"/>
          <w:szCs w:val="20"/>
          <w:lang w:eastAsia="bg-BG"/>
        </w:rPr>
        <w:t>.</w:t>
      </w:r>
    </w:p>
    <w:p w14:paraId="04745F5E" w14:textId="521CC1AC"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sz w:val="20"/>
          <w:szCs w:val="20"/>
          <w:lang w:eastAsia="bg-BG"/>
        </w:rPr>
        <w:t xml:space="preserve">В изпълнение на изискванията на Регламент (ЕС) № 2015/2010 </w:t>
      </w:r>
      <w:r w:rsidRPr="00CA1104">
        <w:rPr>
          <w:rFonts w:ascii="Verdana" w:eastAsia="Μοντέρνα" w:hAnsi="Verdana" w:cs="Times New Roman"/>
          <w:b/>
          <w:sz w:val="20"/>
          <w:szCs w:val="20"/>
          <w:lang w:eastAsia="bg-BG"/>
        </w:rPr>
        <w:t>от началото на 2016 г. беше сменена базисната година за ХИПЦ</w:t>
      </w:r>
      <w:r w:rsidRPr="00CA1104">
        <w:rPr>
          <w:rFonts w:ascii="Verdana" w:eastAsia="Μοντέρνα" w:hAnsi="Verdana" w:cs="Times New Roman"/>
          <w:sz w:val="20"/>
          <w:szCs w:val="20"/>
          <w:lang w:eastAsia="bg-BG"/>
        </w:rPr>
        <w:t xml:space="preserve"> и всички индекси се изчисляват и публикуват </w:t>
      </w:r>
      <w:r w:rsidRPr="00CA1104">
        <w:rPr>
          <w:rFonts w:ascii="Verdana" w:eastAsia="Μοντέρνα" w:hAnsi="Verdana" w:cs="Times New Roman"/>
          <w:b/>
          <w:sz w:val="20"/>
          <w:szCs w:val="20"/>
          <w:lang w:eastAsia="bg-BG"/>
        </w:rPr>
        <w:t xml:space="preserve">при база 2015 година. </w:t>
      </w:r>
      <w:r w:rsidRPr="00CA1104">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CA1104">
          <w:rPr>
            <w:rStyle w:val="Hyperlink"/>
            <w:rFonts w:ascii="Verdana" w:eastAsia="Μοντέρνα" w:hAnsi="Verdana" w:cs="Times New Roman"/>
            <w:sz w:val="20"/>
            <w:szCs w:val="20"/>
            <w:lang w:eastAsia="bg-BG"/>
          </w:rPr>
          <w:t>www.nsi.bg</w:t>
        </w:r>
      </w:hyperlink>
      <w:r w:rsidRPr="00CA1104">
        <w:rPr>
          <w:rFonts w:ascii="Verdana" w:eastAsia="Μοντέρνα" w:hAnsi="Verdana" w:cs="Times New Roman"/>
          <w:sz w:val="20"/>
          <w:szCs w:val="20"/>
          <w:lang w:eastAsia="bg-BG"/>
        </w:rPr>
        <w:t>).</w:t>
      </w:r>
    </w:p>
    <w:p w14:paraId="7F7B4295"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Индексът на цените за малката кошница </w:t>
      </w:r>
      <w:r w:rsidRPr="00CA1104">
        <w:rPr>
          <w:rFonts w:ascii="Verdana" w:eastAsia="Μοντέρνα" w:hAnsi="Verdana" w:cs="Times New Roman"/>
          <w:sz w:val="20"/>
          <w:szCs w:val="20"/>
          <w:lang w:eastAsia="bg-BG"/>
        </w:rPr>
        <w:t xml:space="preserve">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w:t>
      </w:r>
      <w:r w:rsidRPr="00CA1104">
        <w:rPr>
          <w:rFonts w:ascii="Verdana" w:eastAsia="Μοντέρνα" w:hAnsi="Verdana" w:cs="Times New Roman"/>
          <w:sz w:val="20"/>
          <w:szCs w:val="20"/>
          <w:lang w:eastAsia="bg-BG"/>
        </w:rPr>
        <w:lastRenderedPageBreak/>
        <w:t>на информацията за теглата е изследването на бюджетите на домакинствата в страната. Този индекс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с тегла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36B63921"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Верижните </w:t>
      </w:r>
      <w:r w:rsidRPr="00CA1104">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CA1104">
        <w:rPr>
          <w:rFonts w:ascii="Verdana" w:eastAsia="Μοντέρνα" w:hAnsi="Verdana" w:cs="Times New Roman"/>
          <w:b/>
          <w:sz w:val="20"/>
          <w:szCs w:val="20"/>
          <w:lang w:eastAsia="bg-BG"/>
        </w:rPr>
        <w:t>месечната инфлация.</w:t>
      </w:r>
    </w:p>
    <w:p w14:paraId="07BA6927" w14:textId="77777777"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12-месечните </w:t>
      </w:r>
      <w:r w:rsidRPr="00CA1104">
        <w:rPr>
          <w:rFonts w:ascii="Verdana" w:eastAsia="Μοντέρνα" w:hAnsi="Verdana" w:cs="Times New Roman"/>
          <w:sz w:val="20"/>
          <w:szCs w:val="20"/>
          <w:lang w:eastAsia="bg-BG"/>
        </w:rPr>
        <w:t>индекси на потребителските цени</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CA1104">
        <w:rPr>
          <w:rFonts w:ascii="Verdana" w:eastAsia="Μοντέρνα" w:hAnsi="Verdana" w:cs="Times New Roman"/>
          <w:b/>
          <w:sz w:val="20"/>
          <w:szCs w:val="20"/>
          <w:lang w:eastAsia="bg-BG"/>
        </w:rPr>
        <w:t>годишната инфлация.</w:t>
      </w:r>
    </w:p>
    <w:p w14:paraId="1560BF8F"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sz w:val="20"/>
          <w:szCs w:val="20"/>
          <w:lang w:eastAsia="bg-BG"/>
        </w:rPr>
        <w:t xml:space="preserve">Индексите на потребителските цени </w:t>
      </w:r>
      <w:r w:rsidRPr="00CA1104">
        <w:rPr>
          <w:rFonts w:ascii="Verdana" w:eastAsia="Μοντέρνα" w:hAnsi="Verdana" w:cs="Times New Roman"/>
          <w:b/>
          <w:sz w:val="20"/>
          <w:szCs w:val="20"/>
          <w:lang w:eastAsia="bg-BG"/>
        </w:rPr>
        <w:t>с натрупване от началото на годината</w:t>
      </w:r>
      <w:r w:rsidRPr="00CA1104">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CA1104">
        <w:rPr>
          <w:rFonts w:ascii="Verdana" w:eastAsia="Μοντέρνα" w:hAnsi="Verdana" w:cs="Times New Roman"/>
          <w:b/>
          <w:sz w:val="20"/>
          <w:szCs w:val="20"/>
          <w:lang w:eastAsia="bg-BG"/>
        </w:rPr>
        <w:t xml:space="preserve">натрупаната инфлация от началото на годината. </w:t>
      </w:r>
      <w:r w:rsidRPr="00CA1104">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3E005FAB" w14:textId="79AD9076"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Средногодишните </w:t>
      </w:r>
      <w:r w:rsidRPr="00CA1104">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CA1104">
        <w:rPr>
          <w:rFonts w:ascii="Verdana" w:eastAsia="Μοντέρνα" w:hAnsi="Verdana" w:cs="Times New Roman"/>
          <w:b/>
          <w:sz w:val="20"/>
          <w:szCs w:val="20"/>
          <w:lang w:eastAsia="bg-BG"/>
        </w:rPr>
        <w:t>средногодишната инфлация.</w:t>
      </w:r>
    </w:p>
    <w:p w14:paraId="2F62EF2D" w14:textId="77777777" w:rsidR="002D0367" w:rsidRPr="00CA1104" w:rsidRDefault="002D0367" w:rsidP="009B75DB">
      <w:pPr>
        <w:keepNext/>
        <w:tabs>
          <w:tab w:val="left" w:pos="3123"/>
        </w:tabs>
        <w:spacing w:line="360" w:lineRule="auto"/>
        <w:ind w:firstLine="567"/>
        <w:rPr>
          <w:rFonts w:ascii="Verdana" w:eastAsia="Μοντέρνα" w:hAnsi="Verdana" w:cs="Times New Roman"/>
          <w:b/>
          <w:bCs/>
          <w:sz w:val="20"/>
          <w:szCs w:val="20"/>
          <w:lang w:eastAsia="bg-BG"/>
        </w:rPr>
      </w:pPr>
      <w:r w:rsidRPr="00CA1104">
        <w:rPr>
          <w:rFonts w:ascii="Verdana" w:eastAsia="Μοντέρνα" w:hAnsi="Verdana" w:cs="Times New Roman"/>
          <w:b/>
          <w:sz w:val="20"/>
          <w:szCs w:val="20"/>
          <w:lang w:eastAsia="bg-BG"/>
        </w:rPr>
        <w:t xml:space="preserve">Статистическа област: </w:t>
      </w:r>
      <w:r w:rsidRPr="00CA1104">
        <w:rPr>
          <w:rFonts w:ascii="Verdana" w:eastAsia="Μοντέρνα" w:hAnsi="Verdana" w:cs="Times New Roman"/>
          <w:b/>
          <w:bCs/>
          <w:sz w:val="20"/>
          <w:szCs w:val="20"/>
          <w:lang w:eastAsia="bg-BG"/>
        </w:rPr>
        <w:t>Инфлация и индекси на потребителските цени:</w:t>
      </w:r>
    </w:p>
    <w:p w14:paraId="663CAC23" w14:textId="128BF170" w:rsidR="002D0367" w:rsidRPr="00CA1104" w:rsidRDefault="00496BB1" w:rsidP="009B75DB">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2D0367" w:rsidRPr="00CA1104">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0A4B719" w14:textId="77777777" w:rsidR="002D0367" w:rsidRPr="00CA1104" w:rsidRDefault="002D0367" w:rsidP="00CA73A8">
      <w:pPr>
        <w:keepNext/>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ИС ИНФОСТАТ: Потребителски цени:</w:t>
      </w:r>
    </w:p>
    <w:p w14:paraId="4B30822D" w14:textId="1DB9FED3" w:rsidR="002D0367" w:rsidRPr="00CA1104" w:rsidRDefault="00496BB1" w:rsidP="009B75DB">
      <w:pPr>
        <w:tabs>
          <w:tab w:val="left" w:pos="3123"/>
        </w:tabs>
        <w:spacing w:line="360" w:lineRule="auto"/>
        <w:ind w:firstLine="567"/>
        <w:rPr>
          <w:rFonts w:ascii="Verdana" w:eastAsia="Μοντέρνα" w:hAnsi="Verdana" w:cs="Times New Roman"/>
          <w:sz w:val="20"/>
          <w:szCs w:val="20"/>
          <w:lang w:eastAsia="bg-BG"/>
        </w:rPr>
      </w:pPr>
      <w:hyperlink r:id="rId12" w:history="1">
        <w:r w:rsidR="002D0367" w:rsidRPr="00CA1104">
          <w:rPr>
            <w:rStyle w:val="Hyperlink"/>
            <w:rFonts w:ascii="Verdana" w:eastAsia="Μοντέρνα" w:hAnsi="Verdana" w:cs="Times New Roman"/>
            <w:sz w:val="20"/>
            <w:szCs w:val="20"/>
            <w:lang w:eastAsia="bg-BG"/>
          </w:rPr>
          <w:t>https://infostat.nsi.bg/infostat/pages/module.jsf?x_2=68</w:t>
        </w:r>
      </w:hyperlink>
    </w:p>
    <w:p w14:paraId="1EFEC91F" w14:textId="77777777" w:rsidR="002D0367" w:rsidRPr="00CA110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Метаданни и методология:</w:t>
      </w:r>
    </w:p>
    <w:p w14:paraId="6F9CF7CA" w14:textId="0371B3C8" w:rsidR="002D0367" w:rsidRPr="00CA1104" w:rsidRDefault="00496BB1" w:rsidP="009B75DB">
      <w:pPr>
        <w:tabs>
          <w:tab w:val="left" w:pos="3123"/>
        </w:tabs>
        <w:spacing w:line="360" w:lineRule="auto"/>
        <w:ind w:firstLine="567"/>
        <w:rPr>
          <w:rFonts w:ascii="Verdana" w:eastAsia="Μοντέρνα" w:hAnsi="Verdana" w:cs="Times New Roman"/>
          <w:sz w:val="20"/>
          <w:szCs w:val="20"/>
          <w:lang w:eastAsia="bg-BG"/>
        </w:rPr>
      </w:pPr>
      <w:hyperlink r:id="rId13" w:history="1">
        <w:r w:rsidR="002D0367" w:rsidRPr="00CA1104">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73DAEE00" w14:textId="77777777" w:rsidR="002D0367" w:rsidRPr="00CA110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Калкулатори на инфлацията:</w:t>
      </w:r>
    </w:p>
    <w:p w14:paraId="46DE39BE" w14:textId="56719710" w:rsidR="00FD731D" w:rsidRPr="003F700D" w:rsidRDefault="00496BB1" w:rsidP="009B75DB">
      <w:pPr>
        <w:tabs>
          <w:tab w:val="left" w:pos="3123"/>
        </w:tabs>
        <w:spacing w:line="360" w:lineRule="auto"/>
        <w:ind w:firstLine="567"/>
        <w:rPr>
          <w:rFonts w:ascii="Verdana" w:eastAsia="Μοντέρνα" w:hAnsi="Verdana" w:cs="Times New Roman"/>
          <w:b/>
          <w:sz w:val="20"/>
          <w:szCs w:val="20"/>
          <w:lang w:eastAsia="bg-BG"/>
        </w:rPr>
        <w:sectPr w:rsidR="00FD731D" w:rsidRPr="003F700D" w:rsidSect="001E5BA2">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2324" w:footer="567" w:gutter="0"/>
          <w:cols w:space="708"/>
          <w:titlePg/>
          <w:docGrid w:linePitch="360"/>
        </w:sectPr>
      </w:pPr>
      <w:hyperlink r:id="rId18" w:history="1">
        <w:r w:rsidR="002D0367" w:rsidRPr="00CA1104">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5659FEB8" w14:textId="77777777" w:rsidR="002D0367" w:rsidRPr="003F700D" w:rsidRDefault="002D0367" w:rsidP="009B75DB">
      <w:pPr>
        <w:tabs>
          <w:tab w:val="left" w:pos="975"/>
        </w:tabs>
        <w:spacing w:before="160" w:after="160" w:line="360" w:lineRule="auto"/>
        <w:jc w:val="center"/>
        <w:rPr>
          <w:rFonts w:ascii="Verdana" w:eastAsia="Calibri" w:hAnsi="Verdana" w:cs="Times New Roman"/>
          <w:b/>
          <w:sz w:val="20"/>
          <w:szCs w:val="20"/>
        </w:rPr>
      </w:pPr>
      <w:r w:rsidRPr="003F700D">
        <w:rPr>
          <w:rFonts w:ascii="Verdana" w:eastAsia="Calibri" w:hAnsi="Verdana" w:cs="Times New Roman"/>
          <w:b/>
          <w:sz w:val="20"/>
          <w:szCs w:val="20"/>
        </w:rPr>
        <w:lastRenderedPageBreak/>
        <w:t>П</w:t>
      </w:r>
      <w:r w:rsidR="00D41713" w:rsidRPr="003F700D">
        <w:rPr>
          <w:rFonts w:ascii="Verdana" w:eastAsia="Calibri" w:hAnsi="Verdana" w:cs="Times New Roman"/>
          <w:b/>
          <w:sz w:val="20"/>
          <w:szCs w:val="20"/>
        </w:rPr>
        <w:t>риложение</w:t>
      </w:r>
    </w:p>
    <w:p w14:paraId="558DCABC" w14:textId="77777777" w:rsidR="002D0367" w:rsidRPr="003F700D" w:rsidRDefault="002D0367" w:rsidP="00F047BC">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9"/>
        <w:gridCol w:w="1348"/>
        <w:gridCol w:w="1344"/>
        <w:gridCol w:w="1351"/>
        <w:gridCol w:w="1352"/>
      </w:tblGrid>
      <w:tr w:rsidR="00E20873" w:rsidRPr="003F700D" w14:paraId="759ED1BC" w14:textId="77777777" w:rsidTr="00E20873">
        <w:trPr>
          <w:trHeight w:val="630"/>
          <w:jc w:val="center"/>
        </w:trPr>
        <w:tc>
          <w:tcPr>
            <w:tcW w:w="9260" w:type="dxa"/>
            <w:gridSpan w:val="6"/>
            <w:tcBorders>
              <w:top w:val="nil"/>
              <w:left w:val="nil"/>
              <w:bottom w:val="nil"/>
              <w:right w:val="nil"/>
            </w:tcBorders>
            <w:shd w:val="clear" w:color="auto" w:fill="auto"/>
            <w:vAlign w:val="center"/>
            <w:hideMark/>
          </w:tcPr>
          <w:p w14:paraId="1E5673A2" w14:textId="77777777" w:rsidR="00E20873" w:rsidRPr="003F700D" w:rsidRDefault="00E20873" w:rsidP="00E20873">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август 2024 година</w:t>
            </w:r>
          </w:p>
        </w:tc>
      </w:tr>
      <w:tr w:rsidR="00E20873" w:rsidRPr="003F700D" w14:paraId="1A6E265D" w14:textId="77777777" w:rsidTr="00E20873">
        <w:trPr>
          <w:trHeight w:val="240"/>
          <w:jc w:val="center"/>
        </w:trPr>
        <w:tc>
          <w:tcPr>
            <w:tcW w:w="266" w:type="dxa"/>
            <w:tcBorders>
              <w:top w:val="nil"/>
              <w:left w:val="nil"/>
              <w:bottom w:val="nil"/>
              <w:right w:val="nil"/>
            </w:tcBorders>
            <w:shd w:val="clear" w:color="auto" w:fill="auto"/>
            <w:noWrap/>
            <w:vAlign w:val="bottom"/>
            <w:hideMark/>
          </w:tcPr>
          <w:p w14:paraId="68E108DD" w14:textId="77777777" w:rsidR="00E20873" w:rsidRPr="003F700D" w:rsidRDefault="00E20873" w:rsidP="00E20873">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9" w:type="dxa"/>
            <w:tcBorders>
              <w:top w:val="nil"/>
              <w:left w:val="nil"/>
              <w:bottom w:val="nil"/>
              <w:right w:val="nil"/>
            </w:tcBorders>
            <w:shd w:val="clear" w:color="auto" w:fill="auto"/>
            <w:noWrap/>
            <w:vAlign w:val="bottom"/>
            <w:hideMark/>
          </w:tcPr>
          <w:p w14:paraId="1C1DF1F6" w14:textId="77777777" w:rsidR="00E20873" w:rsidRPr="003F700D" w:rsidRDefault="00E20873" w:rsidP="00E20873">
            <w:pPr>
              <w:rPr>
                <w:rFonts w:eastAsia="Times New Roman" w:cs="Times New Roman"/>
                <w:sz w:val="20"/>
                <w:szCs w:val="20"/>
                <w:lang w:eastAsia="bg-BG"/>
              </w:rPr>
            </w:pPr>
          </w:p>
        </w:tc>
        <w:tc>
          <w:tcPr>
            <w:tcW w:w="1348" w:type="dxa"/>
            <w:tcBorders>
              <w:top w:val="nil"/>
              <w:left w:val="nil"/>
              <w:bottom w:val="nil"/>
              <w:right w:val="nil"/>
            </w:tcBorders>
            <w:shd w:val="clear" w:color="auto" w:fill="auto"/>
            <w:noWrap/>
            <w:vAlign w:val="bottom"/>
            <w:hideMark/>
          </w:tcPr>
          <w:p w14:paraId="43D81E84" w14:textId="77777777" w:rsidR="00E20873" w:rsidRPr="003F700D" w:rsidRDefault="00E20873" w:rsidP="00E20873">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551797FA" w14:textId="77777777" w:rsidR="00E20873" w:rsidRPr="003F700D" w:rsidRDefault="00E20873" w:rsidP="00E20873">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052E2C7D" w14:textId="77777777" w:rsidR="00E20873" w:rsidRPr="003F700D" w:rsidRDefault="00E20873" w:rsidP="00E20873">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576D62A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(Проценти)</w:t>
            </w:r>
          </w:p>
        </w:tc>
      </w:tr>
      <w:tr w:rsidR="00E20873" w:rsidRPr="003F700D" w14:paraId="557FDD73" w14:textId="77777777" w:rsidTr="00E20873">
        <w:trPr>
          <w:trHeight w:val="270"/>
          <w:jc w:val="center"/>
        </w:trPr>
        <w:tc>
          <w:tcPr>
            <w:tcW w:w="38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C29022" w14:textId="77777777" w:rsidR="00E20873" w:rsidRPr="003F700D" w:rsidRDefault="00E20873" w:rsidP="00E20873">
            <w:pP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Потребителски групи</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2033BA" w14:textId="77777777" w:rsidR="00E20873" w:rsidRPr="003F700D" w:rsidRDefault="00E20873" w:rsidP="00E20873">
            <w:pPr>
              <w:jc w:val="cente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 xml:space="preserve"> Тегла    </w:t>
            </w:r>
          </w:p>
        </w:tc>
        <w:tc>
          <w:tcPr>
            <w:tcW w:w="4047" w:type="dxa"/>
            <w:gridSpan w:val="3"/>
            <w:tcBorders>
              <w:top w:val="single" w:sz="4" w:space="0" w:color="auto"/>
              <w:left w:val="nil"/>
              <w:bottom w:val="single" w:sz="4" w:space="0" w:color="auto"/>
              <w:right w:val="single" w:sz="4" w:space="0" w:color="000000"/>
            </w:tcBorders>
            <w:shd w:val="clear" w:color="auto" w:fill="auto"/>
            <w:vAlign w:val="center"/>
            <w:hideMark/>
          </w:tcPr>
          <w:p w14:paraId="436D5C6F" w14:textId="77777777" w:rsidR="00E20873" w:rsidRPr="003F700D" w:rsidRDefault="00E20873" w:rsidP="00E20873">
            <w:pPr>
              <w:jc w:val="cente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VIII.2024</w:t>
            </w:r>
          </w:p>
        </w:tc>
      </w:tr>
      <w:tr w:rsidR="00E20873" w:rsidRPr="003F700D" w14:paraId="472D7E42" w14:textId="77777777" w:rsidTr="00E20873">
        <w:trPr>
          <w:trHeight w:val="525"/>
          <w:jc w:val="center"/>
        </w:trPr>
        <w:tc>
          <w:tcPr>
            <w:tcW w:w="3865" w:type="dxa"/>
            <w:gridSpan w:val="2"/>
            <w:vMerge/>
            <w:tcBorders>
              <w:top w:val="single" w:sz="4" w:space="0" w:color="auto"/>
              <w:left w:val="single" w:sz="4" w:space="0" w:color="auto"/>
              <w:bottom w:val="single" w:sz="4" w:space="0" w:color="000000"/>
              <w:right w:val="single" w:sz="4" w:space="0" w:color="000000"/>
            </w:tcBorders>
            <w:vAlign w:val="center"/>
            <w:hideMark/>
          </w:tcPr>
          <w:p w14:paraId="255F576D" w14:textId="77777777" w:rsidR="00E20873" w:rsidRPr="003F700D" w:rsidRDefault="00E20873" w:rsidP="00E20873">
            <w:pPr>
              <w:rPr>
                <w:rFonts w:ascii="Verdana" w:eastAsia="Times New Roman" w:hAnsi="Verdana" w:cs="Arial"/>
                <w:b/>
                <w:bCs/>
                <w:sz w:val="16"/>
                <w:szCs w:val="16"/>
                <w:lang w:eastAsia="bg-BG"/>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55A9B17C" w14:textId="77777777" w:rsidR="00E20873" w:rsidRPr="003F700D" w:rsidRDefault="00E20873" w:rsidP="00E20873">
            <w:pPr>
              <w:rPr>
                <w:rFonts w:ascii="Verdana" w:eastAsia="Times New Roman" w:hAnsi="Verdana" w:cs="Arial"/>
                <w:b/>
                <w:bCs/>
                <w:sz w:val="16"/>
                <w:szCs w:val="16"/>
                <w:lang w:eastAsia="bg-BG"/>
              </w:rPr>
            </w:pPr>
          </w:p>
        </w:tc>
        <w:tc>
          <w:tcPr>
            <w:tcW w:w="1344" w:type="dxa"/>
            <w:tcBorders>
              <w:top w:val="nil"/>
              <w:left w:val="nil"/>
              <w:bottom w:val="single" w:sz="4" w:space="0" w:color="auto"/>
              <w:right w:val="single" w:sz="4" w:space="0" w:color="auto"/>
            </w:tcBorders>
            <w:shd w:val="clear" w:color="auto" w:fill="auto"/>
            <w:hideMark/>
          </w:tcPr>
          <w:p w14:paraId="6A0AC76C"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юли 2024 = 100</w:t>
            </w:r>
            <w:bookmarkStart w:id="0" w:name="_GoBack"/>
            <w:bookmarkEnd w:id="0"/>
          </w:p>
        </w:tc>
        <w:tc>
          <w:tcPr>
            <w:tcW w:w="1351" w:type="dxa"/>
            <w:tcBorders>
              <w:top w:val="nil"/>
              <w:left w:val="nil"/>
              <w:bottom w:val="single" w:sz="4" w:space="0" w:color="auto"/>
              <w:right w:val="single" w:sz="4" w:space="0" w:color="auto"/>
            </w:tcBorders>
            <w:shd w:val="clear" w:color="auto" w:fill="auto"/>
            <w:hideMark/>
          </w:tcPr>
          <w:p w14:paraId="3A917139"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декември 2023 = 100</w:t>
            </w:r>
          </w:p>
        </w:tc>
        <w:tc>
          <w:tcPr>
            <w:tcW w:w="1352" w:type="dxa"/>
            <w:tcBorders>
              <w:top w:val="nil"/>
              <w:left w:val="nil"/>
              <w:bottom w:val="single" w:sz="4" w:space="0" w:color="auto"/>
              <w:right w:val="single" w:sz="4" w:space="0" w:color="auto"/>
            </w:tcBorders>
            <w:shd w:val="clear" w:color="auto" w:fill="auto"/>
            <w:hideMark/>
          </w:tcPr>
          <w:p w14:paraId="78B15C43"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август 2023 = 100</w:t>
            </w:r>
          </w:p>
        </w:tc>
      </w:tr>
      <w:tr w:rsidR="00E20873" w:rsidRPr="003F700D" w14:paraId="6A37DF32" w14:textId="77777777" w:rsidTr="00E20873">
        <w:trPr>
          <w:trHeight w:val="225"/>
          <w:jc w:val="center"/>
        </w:trPr>
        <w:tc>
          <w:tcPr>
            <w:tcW w:w="266" w:type="dxa"/>
            <w:tcBorders>
              <w:top w:val="nil"/>
              <w:left w:val="nil"/>
              <w:bottom w:val="nil"/>
              <w:right w:val="nil"/>
            </w:tcBorders>
            <w:shd w:val="clear" w:color="auto" w:fill="auto"/>
            <w:noWrap/>
            <w:vAlign w:val="bottom"/>
            <w:hideMark/>
          </w:tcPr>
          <w:p w14:paraId="37519700" w14:textId="77777777" w:rsidR="00E20873" w:rsidRPr="003F700D" w:rsidRDefault="00E20873" w:rsidP="00E20873">
            <w:pP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00</w:t>
            </w:r>
          </w:p>
        </w:tc>
        <w:tc>
          <w:tcPr>
            <w:tcW w:w="3599" w:type="dxa"/>
            <w:tcBorders>
              <w:top w:val="nil"/>
              <w:left w:val="nil"/>
              <w:bottom w:val="nil"/>
              <w:right w:val="nil"/>
            </w:tcBorders>
            <w:shd w:val="clear" w:color="auto" w:fill="auto"/>
            <w:noWrap/>
            <w:hideMark/>
          </w:tcPr>
          <w:p w14:paraId="501A997D" w14:textId="77777777" w:rsidR="00E20873" w:rsidRPr="003F700D" w:rsidRDefault="00E20873" w:rsidP="00E20873">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8" w:type="dxa"/>
            <w:tcBorders>
              <w:top w:val="nil"/>
              <w:left w:val="nil"/>
              <w:bottom w:val="nil"/>
              <w:right w:val="nil"/>
            </w:tcBorders>
            <w:shd w:val="clear" w:color="auto" w:fill="auto"/>
            <w:noWrap/>
            <w:vAlign w:val="bottom"/>
            <w:hideMark/>
          </w:tcPr>
          <w:p w14:paraId="277F3CFC" w14:textId="77777777" w:rsidR="00E20873" w:rsidRPr="003F700D" w:rsidRDefault="00E20873" w:rsidP="00E20873">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44" w:type="dxa"/>
            <w:tcBorders>
              <w:top w:val="nil"/>
              <w:left w:val="nil"/>
              <w:bottom w:val="nil"/>
              <w:right w:val="nil"/>
            </w:tcBorders>
            <w:shd w:val="clear" w:color="auto" w:fill="auto"/>
            <w:noWrap/>
            <w:vAlign w:val="bottom"/>
            <w:hideMark/>
          </w:tcPr>
          <w:p w14:paraId="57534A97" w14:textId="77777777" w:rsidR="00E20873" w:rsidRPr="003F700D" w:rsidRDefault="00E20873" w:rsidP="00E20873">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100.1</w:t>
            </w:r>
          </w:p>
        </w:tc>
        <w:tc>
          <w:tcPr>
            <w:tcW w:w="1351" w:type="dxa"/>
            <w:tcBorders>
              <w:top w:val="nil"/>
              <w:left w:val="nil"/>
              <w:bottom w:val="nil"/>
              <w:right w:val="nil"/>
            </w:tcBorders>
            <w:shd w:val="clear" w:color="auto" w:fill="auto"/>
            <w:noWrap/>
            <w:vAlign w:val="bottom"/>
            <w:hideMark/>
          </w:tcPr>
          <w:p w14:paraId="316161CA" w14:textId="77777777" w:rsidR="00E20873" w:rsidRPr="003F700D" w:rsidRDefault="00E20873" w:rsidP="00E20873">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101.2</w:t>
            </w:r>
          </w:p>
        </w:tc>
        <w:tc>
          <w:tcPr>
            <w:tcW w:w="1352" w:type="dxa"/>
            <w:tcBorders>
              <w:top w:val="nil"/>
              <w:left w:val="nil"/>
              <w:bottom w:val="nil"/>
              <w:right w:val="nil"/>
            </w:tcBorders>
            <w:shd w:val="clear" w:color="auto" w:fill="auto"/>
            <w:noWrap/>
            <w:vAlign w:val="bottom"/>
            <w:hideMark/>
          </w:tcPr>
          <w:p w14:paraId="7FF1618A" w14:textId="77777777" w:rsidR="00E20873" w:rsidRPr="003F700D" w:rsidRDefault="00E20873" w:rsidP="00E20873">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102.1</w:t>
            </w:r>
          </w:p>
        </w:tc>
      </w:tr>
      <w:tr w:rsidR="00E20873" w:rsidRPr="003F700D" w14:paraId="2FE2122B" w14:textId="77777777" w:rsidTr="00E20873">
        <w:trPr>
          <w:trHeight w:val="420"/>
          <w:jc w:val="center"/>
        </w:trPr>
        <w:tc>
          <w:tcPr>
            <w:tcW w:w="266" w:type="dxa"/>
            <w:tcBorders>
              <w:top w:val="nil"/>
              <w:left w:val="nil"/>
              <w:bottom w:val="nil"/>
              <w:right w:val="nil"/>
            </w:tcBorders>
            <w:shd w:val="clear" w:color="auto" w:fill="auto"/>
            <w:noWrap/>
            <w:vAlign w:val="center"/>
            <w:hideMark/>
          </w:tcPr>
          <w:p w14:paraId="7C7A68F0"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01</w:t>
            </w:r>
          </w:p>
        </w:tc>
        <w:tc>
          <w:tcPr>
            <w:tcW w:w="3599" w:type="dxa"/>
            <w:tcBorders>
              <w:top w:val="nil"/>
              <w:left w:val="nil"/>
              <w:bottom w:val="nil"/>
              <w:right w:val="nil"/>
            </w:tcBorders>
            <w:shd w:val="clear" w:color="auto" w:fill="auto"/>
            <w:hideMark/>
          </w:tcPr>
          <w:p w14:paraId="7F18AEFA"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Хранителни продукти и безалкохолни напитки</w:t>
            </w:r>
          </w:p>
        </w:tc>
        <w:tc>
          <w:tcPr>
            <w:tcW w:w="1348" w:type="dxa"/>
            <w:tcBorders>
              <w:top w:val="nil"/>
              <w:left w:val="nil"/>
              <w:bottom w:val="nil"/>
              <w:right w:val="nil"/>
            </w:tcBorders>
            <w:shd w:val="clear" w:color="auto" w:fill="auto"/>
            <w:vAlign w:val="bottom"/>
            <w:hideMark/>
          </w:tcPr>
          <w:p w14:paraId="70FDAD52"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31.322</w:t>
            </w:r>
          </w:p>
        </w:tc>
        <w:tc>
          <w:tcPr>
            <w:tcW w:w="1344" w:type="dxa"/>
            <w:tcBorders>
              <w:top w:val="nil"/>
              <w:left w:val="nil"/>
              <w:bottom w:val="nil"/>
              <w:right w:val="nil"/>
            </w:tcBorders>
            <w:shd w:val="clear" w:color="auto" w:fill="auto"/>
            <w:vAlign w:val="bottom"/>
            <w:hideMark/>
          </w:tcPr>
          <w:p w14:paraId="4EEF1069"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100.9</w:t>
            </w:r>
          </w:p>
        </w:tc>
        <w:tc>
          <w:tcPr>
            <w:tcW w:w="1351" w:type="dxa"/>
            <w:tcBorders>
              <w:top w:val="nil"/>
              <w:left w:val="nil"/>
              <w:bottom w:val="nil"/>
              <w:right w:val="nil"/>
            </w:tcBorders>
            <w:shd w:val="clear" w:color="auto" w:fill="auto"/>
            <w:vAlign w:val="bottom"/>
            <w:hideMark/>
          </w:tcPr>
          <w:p w14:paraId="44555C18"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101.4</w:t>
            </w:r>
          </w:p>
        </w:tc>
        <w:tc>
          <w:tcPr>
            <w:tcW w:w="1352" w:type="dxa"/>
            <w:tcBorders>
              <w:top w:val="nil"/>
              <w:left w:val="nil"/>
              <w:bottom w:val="nil"/>
              <w:right w:val="nil"/>
            </w:tcBorders>
            <w:shd w:val="clear" w:color="auto" w:fill="auto"/>
            <w:vAlign w:val="bottom"/>
            <w:hideMark/>
          </w:tcPr>
          <w:p w14:paraId="19BAD74B"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102.3</w:t>
            </w:r>
          </w:p>
        </w:tc>
      </w:tr>
      <w:tr w:rsidR="00E20873" w:rsidRPr="003F700D" w14:paraId="3DDD520B" w14:textId="77777777" w:rsidTr="00E20873">
        <w:trPr>
          <w:trHeight w:val="420"/>
          <w:jc w:val="center"/>
        </w:trPr>
        <w:tc>
          <w:tcPr>
            <w:tcW w:w="266" w:type="dxa"/>
            <w:tcBorders>
              <w:top w:val="nil"/>
              <w:left w:val="nil"/>
              <w:bottom w:val="nil"/>
              <w:right w:val="nil"/>
            </w:tcBorders>
            <w:shd w:val="clear" w:color="auto" w:fill="auto"/>
            <w:noWrap/>
            <w:vAlign w:val="center"/>
            <w:hideMark/>
          </w:tcPr>
          <w:p w14:paraId="0EDFBEC3"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02</w:t>
            </w:r>
          </w:p>
        </w:tc>
        <w:tc>
          <w:tcPr>
            <w:tcW w:w="3599" w:type="dxa"/>
            <w:tcBorders>
              <w:top w:val="nil"/>
              <w:left w:val="nil"/>
              <w:bottom w:val="nil"/>
              <w:right w:val="nil"/>
            </w:tcBorders>
            <w:shd w:val="clear" w:color="auto" w:fill="auto"/>
            <w:vAlign w:val="center"/>
            <w:hideMark/>
          </w:tcPr>
          <w:p w14:paraId="38A5E8BA"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Алкохолни напитки и тютюневи изделия</w:t>
            </w:r>
          </w:p>
        </w:tc>
        <w:tc>
          <w:tcPr>
            <w:tcW w:w="1348" w:type="dxa"/>
            <w:tcBorders>
              <w:top w:val="nil"/>
              <w:left w:val="nil"/>
              <w:bottom w:val="nil"/>
              <w:right w:val="nil"/>
            </w:tcBorders>
            <w:shd w:val="clear" w:color="auto" w:fill="auto"/>
            <w:vAlign w:val="bottom"/>
            <w:hideMark/>
          </w:tcPr>
          <w:p w14:paraId="4FDDEFA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4.717</w:t>
            </w:r>
          </w:p>
        </w:tc>
        <w:tc>
          <w:tcPr>
            <w:tcW w:w="1344" w:type="dxa"/>
            <w:tcBorders>
              <w:top w:val="nil"/>
              <w:left w:val="nil"/>
              <w:bottom w:val="nil"/>
              <w:right w:val="nil"/>
            </w:tcBorders>
            <w:shd w:val="clear" w:color="auto" w:fill="auto"/>
            <w:vAlign w:val="bottom"/>
            <w:hideMark/>
          </w:tcPr>
          <w:p w14:paraId="103FA978"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7555253A"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104.5</w:t>
            </w:r>
          </w:p>
        </w:tc>
        <w:tc>
          <w:tcPr>
            <w:tcW w:w="1352" w:type="dxa"/>
            <w:tcBorders>
              <w:top w:val="nil"/>
              <w:left w:val="nil"/>
              <w:bottom w:val="nil"/>
              <w:right w:val="nil"/>
            </w:tcBorders>
            <w:shd w:val="clear" w:color="auto" w:fill="auto"/>
            <w:vAlign w:val="bottom"/>
            <w:hideMark/>
          </w:tcPr>
          <w:p w14:paraId="5E820A98"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105.5</w:t>
            </w:r>
          </w:p>
        </w:tc>
      </w:tr>
      <w:tr w:rsidR="00E20873" w:rsidRPr="003F700D" w14:paraId="4E283EA1" w14:textId="77777777" w:rsidTr="00E20873">
        <w:trPr>
          <w:trHeight w:val="225"/>
          <w:jc w:val="center"/>
        </w:trPr>
        <w:tc>
          <w:tcPr>
            <w:tcW w:w="266" w:type="dxa"/>
            <w:tcBorders>
              <w:top w:val="nil"/>
              <w:left w:val="nil"/>
              <w:bottom w:val="nil"/>
              <w:right w:val="nil"/>
            </w:tcBorders>
            <w:shd w:val="clear" w:color="auto" w:fill="auto"/>
            <w:noWrap/>
            <w:vAlign w:val="center"/>
            <w:hideMark/>
          </w:tcPr>
          <w:p w14:paraId="6EA14E41"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03</w:t>
            </w:r>
          </w:p>
        </w:tc>
        <w:tc>
          <w:tcPr>
            <w:tcW w:w="3599" w:type="dxa"/>
            <w:tcBorders>
              <w:top w:val="nil"/>
              <w:left w:val="nil"/>
              <w:bottom w:val="nil"/>
              <w:right w:val="nil"/>
            </w:tcBorders>
            <w:shd w:val="clear" w:color="auto" w:fill="auto"/>
            <w:vAlign w:val="center"/>
            <w:hideMark/>
          </w:tcPr>
          <w:p w14:paraId="3D4400C9"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Облекло и обувки</w:t>
            </w:r>
          </w:p>
        </w:tc>
        <w:tc>
          <w:tcPr>
            <w:tcW w:w="1348" w:type="dxa"/>
            <w:tcBorders>
              <w:top w:val="nil"/>
              <w:left w:val="nil"/>
              <w:bottom w:val="nil"/>
              <w:right w:val="nil"/>
            </w:tcBorders>
            <w:shd w:val="clear" w:color="auto" w:fill="auto"/>
            <w:vAlign w:val="bottom"/>
            <w:hideMark/>
          </w:tcPr>
          <w:p w14:paraId="74DEEB8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4.216</w:t>
            </w:r>
          </w:p>
        </w:tc>
        <w:tc>
          <w:tcPr>
            <w:tcW w:w="1344" w:type="dxa"/>
            <w:tcBorders>
              <w:top w:val="nil"/>
              <w:left w:val="nil"/>
              <w:bottom w:val="nil"/>
              <w:right w:val="nil"/>
            </w:tcBorders>
            <w:shd w:val="clear" w:color="auto" w:fill="auto"/>
            <w:vAlign w:val="bottom"/>
            <w:hideMark/>
          </w:tcPr>
          <w:p w14:paraId="26FE389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96.7</w:t>
            </w:r>
          </w:p>
        </w:tc>
        <w:tc>
          <w:tcPr>
            <w:tcW w:w="1351" w:type="dxa"/>
            <w:tcBorders>
              <w:top w:val="nil"/>
              <w:left w:val="nil"/>
              <w:bottom w:val="nil"/>
              <w:right w:val="nil"/>
            </w:tcBorders>
            <w:shd w:val="clear" w:color="auto" w:fill="auto"/>
            <w:vAlign w:val="bottom"/>
            <w:hideMark/>
          </w:tcPr>
          <w:p w14:paraId="01CEBD1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93.0</w:t>
            </w:r>
          </w:p>
        </w:tc>
        <w:tc>
          <w:tcPr>
            <w:tcW w:w="1352" w:type="dxa"/>
            <w:tcBorders>
              <w:top w:val="nil"/>
              <w:left w:val="nil"/>
              <w:bottom w:val="nil"/>
              <w:right w:val="nil"/>
            </w:tcBorders>
            <w:shd w:val="clear" w:color="auto" w:fill="auto"/>
            <w:vAlign w:val="bottom"/>
            <w:hideMark/>
          </w:tcPr>
          <w:p w14:paraId="733833C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97.5</w:t>
            </w:r>
          </w:p>
        </w:tc>
      </w:tr>
      <w:tr w:rsidR="00E20873" w:rsidRPr="003F700D" w14:paraId="2339469D" w14:textId="77777777" w:rsidTr="00E20873">
        <w:trPr>
          <w:trHeight w:val="480"/>
          <w:jc w:val="center"/>
        </w:trPr>
        <w:tc>
          <w:tcPr>
            <w:tcW w:w="266" w:type="dxa"/>
            <w:tcBorders>
              <w:top w:val="nil"/>
              <w:left w:val="nil"/>
              <w:bottom w:val="nil"/>
              <w:right w:val="nil"/>
            </w:tcBorders>
            <w:shd w:val="clear" w:color="auto" w:fill="auto"/>
            <w:noWrap/>
            <w:hideMark/>
          </w:tcPr>
          <w:p w14:paraId="78F77A54"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04</w:t>
            </w:r>
          </w:p>
        </w:tc>
        <w:tc>
          <w:tcPr>
            <w:tcW w:w="3599" w:type="dxa"/>
            <w:tcBorders>
              <w:top w:val="nil"/>
              <w:left w:val="nil"/>
              <w:bottom w:val="nil"/>
              <w:right w:val="nil"/>
            </w:tcBorders>
            <w:shd w:val="clear" w:color="auto" w:fill="auto"/>
            <w:vAlign w:val="bottom"/>
            <w:hideMark/>
          </w:tcPr>
          <w:p w14:paraId="491CF289"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Жилища, вода, електроенергия, газ и други горива</w:t>
            </w:r>
          </w:p>
        </w:tc>
        <w:tc>
          <w:tcPr>
            <w:tcW w:w="1348" w:type="dxa"/>
            <w:tcBorders>
              <w:top w:val="nil"/>
              <w:left w:val="nil"/>
              <w:bottom w:val="nil"/>
              <w:right w:val="nil"/>
            </w:tcBorders>
            <w:shd w:val="clear" w:color="auto" w:fill="auto"/>
            <w:vAlign w:val="bottom"/>
            <w:hideMark/>
          </w:tcPr>
          <w:p w14:paraId="76913BB9"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15.009</w:t>
            </w:r>
          </w:p>
        </w:tc>
        <w:tc>
          <w:tcPr>
            <w:tcW w:w="1344" w:type="dxa"/>
            <w:tcBorders>
              <w:top w:val="nil"/>
              <w:left w:val="nil"/>
              <w:bottom w:val="nil"/>
              <w:right w:val="nil"/>
            </w:tcBorders>
            <w:shd w:val="clear" w:color="auto" w:fill="auto"/>
            <w:vAlign w:val="bottom"/>
            <w:hideMark/>
          </w:tcPr>
          <w:p w14:paraId="3CAD0CC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55CF65B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101.6</w:t>
            </w:r>
          </w:p>
        </w:tc>
        <w:tc>
          <w:tcPr>
            <w:tcW w:w="1352" w:type="dxa"/>
            <w:tcBorders>
              <w:top w:val="nil"/>
              <w:left w:val="nil"/>
              <w:bottom w:val="nil"/>
              <w:right w:val="nil"/>
            </w:tcBorders>
            <w:shd w:val="clear" w:color="auto" w:fill="auto"/>
            <w:vAlign w:val="bottom"/>
            <w:hideMark/>
          </w:tcPr>
          <w:p w14:paraId="107CEA68"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102.8</w:t>
            </w:r>
          </w:p>
        </w:tc>
      </w:tr>
      <w:tr w:rsidR="00E20873" w:rsidRPr="003F700D" w14:paraId="7110D6A9" w14:textId="77777777" w:rsidTr="00E20873">
        <w:trPr>
          <w:trHeight w:val="675"/>
          <w:jc w:val="center"/>
        </w:trPr>
        <w:tc>
          <w:tcPr>
            <w:tcW w:w="266" w:type="dxa"/>
            <w:tcBorders>
              <w:top w:val="nil"/>
              <w:left w:val="nil"/>
              <w:bottom w:val="nil"/>
              <w:right w:val="nil"/>
            </w:tcBorders>
            <w:shd w:val="clear" w:color="auto" w:fill="auto"/>
            <w:noWrap/>
            <w:hideMark/>
          </w:tcPr>
          <w:p w14:paraId="6756BCAA"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05</w:t>
            </w:r>
          </w:p>
        </w:tc>
        <w:tc>
          <w:tcPr>
            <w:tcW w:w="3599" w:type="dxa"/>
            <w:tcBorders>
              <w:top w:val="nil"/>
              <w:left w:val="nil"/>
              <w:bottom w:val="nil"/>
              <w:right w:val="nil"/>
            </w:tcBorders>
            <w:shd w:val="clear" w:color="auto" w:fill="auto"/>
            <w:vAlign w:val="bottom"/>
            <w:hideMark/>
          </w:tcPr>
          <w:p w14:paraId="0590B87A"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8" w:type="dxa"/>
            <w:tcBorders>
              <w:top w:val="nil"/>
              <w:left w:val="nil"/>
              <w:bottom w:val="nil"/>
              <w:right w:val="nil"/>
            </w:tcBorders>
            <w:shd w:val="clear" w:color="auto" w:fill="auto"/>
            <w:vAlign w:val="bottom"/>
            <w:hideMark/>
          </w:tcPr>
          <w:p w14:paraId="1C01D752"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5.753</w:t>
            </w:r>
          </w:p>
        </w:tc>
        <w:tc>
          <w:tcPr>
            <w:tcW w:w="1344" w:type="dxa"/>
            <w:tcBorders>
              <w:top w:val="nil"/>
              <w:left w:val="nil"/>
              <w:bottom w:val="nil"/>
              <w:right w:val="nil"/>
            </w:tcBorders>
            <w:shd w:val="clear" w:color="auto" w:fill="auto"/>
            <w:vAlign w:val="bottom"/>
            <w:hideMark/>
          </w:tcPr>
          <w:p w14:paraId="0DAE24B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99.8</w:t>
            </w:r>
          </w:p>
        </w:tc>
        <w:tc>
          <w:tcPr>
            <w:tcW w:w="1351" w:type="dxa"/>
            <w:tcBorders>
              <w:top w:val="nil"/>
              <w:left w:val="nil"/>
              <w:bottom w:val="nil"/>
              <w:right w:val="nil"/>
            </w:tcBorders>
            <w:shd w:val="clear" w:color="auto" w:fill="auto"/>
            <w:vAlign w:val="bottom"/>
            <w:hideMark/>
          </w:tcPr>
          <w:p w14:paraId="6CC2E4E8"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99.8</w:t>
            </w:r>
          </w:p>
        </w:tc>
        <w:tc>
          <w:tcPr>
            <w:tcW w:w="1352" w:type="dxa"/>
            <w:tcBorders>
              <w:top w:val="nil"/>
              <w:left w:val="nil"/>
              <w:bottom w:val="nil"/>
              <w:right w:val="nil"/>
            </w:tcBorders>
            <w:shd w:val="clear" w:color="auto" w:fill="auto"/>
            <w:vAlign w:val="bottom"/>
            <w:hideMark/>
          </w:tcPr>
          <w:p w14:paraId="0BD4781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100.4</w:t>
            </w:r>
          </w:p>
        </w:tc>
      </w:tr>
      <w:tr w:rsidR="00E20873" w:rsidRPr="003F700D" w14:paraId="059BB47D" w14:textId="77777777" w:rsidTr="00E20873">
        <w:trPr>
          <w:trHeight w:val="225"/>
          <w:jc w:val="center"/>
        </w:trPr>
        <w:tc>
          <w:tcPr>
            <w:tcW w:w="266" w:type="dxa"/>
            <w:tcBorders>
              <w:top w:val="nil"/>
              <w:left w:val="nil"/>
              <w:bottom w:val="nil"/>
              <w:right w:val="nil"/>
            </w:tcBorders>
            <w:shd w:val="clear" w:color="auto" w:fill="auto"/>
            <w:noWrap/>
            <w:vAlign w:val="center"/>
            <w:hideMark/>
          </w:tcPr>
          <w:p w14:paraId="2E080157"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06</w:t>
            </w:r>
          </w:p>
        </w:tc>
        <w:tc>
          <w:tcPr>
            <w:tcW w:w="3599" w:type="dxa"/>
            <w:tcBorders>
              <w:top w:val="nil"/>
              <w:left w:val="nil"/>
              <w:bottom w:val="nil"/>
              <w:right w:val="nil"/>
            </w:tcBorders>
            <w:shd w:val="clear" w:color="auto" w:fill="auto"/>
            <w:vAlign w:val="center"/>
            <w:hideMark/>
          </w:tcPr>
          <w:p w14:paraId="04282879"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Здравеопазване</w:t>
            </w:r>
          </w:p>
        </w:tc>
        <w:tc>
          <w:tcPr>
            <w:tcW w:w="1348" w:type="dxa"/>
            <w:tcBorders>
              <w:top w:val="nil"/>
              <w:left w:val="nil"/>
              <w:bottom w:val="nil"/>
              <w:right w:val="nil"/>
            </w:tcBorders>
            <w:shd w:val="clear" w:color="auto" w:fill="auto"/>
            <w:vAlign w:val="bottom"/>
            <w:hideMark/>
          </w:tcPr>
          <w:p w14:paraId="13A55079"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7.748</w:t>
            </w:r>
          </w:p>
        </w:tc>
        <w:tc>
          <w:tcPr>
            <w:tcW w:w="1344" w:type="dxa"/>
            <w:tcBorders>
              <w:top w:val="nil"/>
              <w:left w:val="nil"/>
              <w:bottom w:val="nil"/>
              <w:right w:val="nil"/>
            </w:tcBorders>
            <w:shd w:val="clear" w:color="auto" w:fill="auto"/>
            <w:vAlign w:val="bottom"/>
            <w:hideMark/>
          </w:tcPr>
          <w:p w14:paraId="480CF35F"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33E14CF1"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100.8</w:t>
            </w:r>
          </w:p>
        </w:tc>
        <w:tc>
          <w:tcPr>
            <w:tcW w:w="1352" w:type="dxa"/>
            <w:tcBorders>
              <w:top w:val="nil"/>
              <w:left w:val="nil"/>
              <w:bottom w:val="nil"/>
              <w:right w:val="nil"/>
            </w:tcBorders>
            <w:shd w:val="clear" w:color="auto" w:fill="auto"/>
            <w:vAlign w:val="bottom"/>
            <w:hideMark/>
          </w:tcPr>
          <w:p w14:paraId="655193B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102.3</w:t>
            </w:r>
          </w:p>
        </w:tc>
      </w:tr>
      <w:tr w:rsidR="00E20873" w:rsidRPr="003F700D" w14:paraId="35EC6D82" w14:textId="77777777" w:rsidTr="00E20873">
        <w:trPr>
          <w:trHeight w:val="225"/>
          <w:jc w:val="center"/>
        </w:trPr>
        <w:tc>
          <w:tcPr>
            <w:tcW w:w="266" w:type="dxa"/>
            <w:tcBorders>
              <w:top w:val="nil"/>
              <w:left w:val="nil"/>
              <w:bottom w:val="nil"/>
              <w:right w:val="nil"/>
            </w:tcBorders>
            <w:shd w:val="clear" w:color="auto" w:fill="auto"/>
            <w:noWrap/>
            <w:vAlign w:val="center"/>
            <w:hideMark/>
          </w:tcPr>
          <w:p w14:paraId="4167C1F4"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07</w:t>
            </w:r>
          </w:p>
        </w:tc>
        <w:tc>
          <w:tcPr>
            <w:tcW w:w="3599" w:type="dxa"/>
            <w:tcBorders>
              <w:top w:val="nil"/>
              <w:left w:val="nil"/>
              <w:bottom w:val="nil"/>
              <w:right w:val="nil"/>
            </w:tcBorders>
            <w:shd w:val="clear" w:color="auto" w:fill="auto"/>
            <w:vAlign w:val="center"/>
            <w:hideMark/>
          </w:tcPr>
          <w:p w14:paraId="44887D5D"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Транспорт</w:t>
            </w:r>
          </w:p>
        </w:tc>
        <w:tc>
          <w:tcPr>
            <w:tcW w:w="1348" w:type="dxa"/>
            <w:tcBorders>
              <w:top w:val="nil"/>
              <w:left w:val="nil"/>
              <w:bottom w:val="nil"/>
              <w:right w:val="nil"/>
            </w:tcBorders>
            <w:shd w:val="clear" w:color="auto" w:fill="auto"/>
            <w:vAlign w:val="bottom"/>
            <w:hideMark/>
          </w:tcPr>
          <w:p w14:paraId="433E3CD1"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9.278</w:t>
            </w:r>
          </w:p>
        </w:tc>
        <w:tc>
          <w:tcPr>
            <w:tcW w:w="1344" w:type="dxa"/>
            <w:tcBorders>
              <w:top w:val="nil"/>
              <w:left w:val="nil"/>
              <w:bottom w:val="nil"/>
              <w:right w:val="nil"/>
            </w:tcBorders>
            <w:shd w:val="clear" w:color="auto" w:fill="auto"/>
            <w:vAlign w:val="bottom"/>
            <w:hideMark/>
          </w:tcPr>
          <w:p w14:paraId="45AFE43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99.1</w:t>
            </w:r>
          </w:p>
        </w:tc>
        <w:tc>
          <w:tcPr>
            <w:tcW w:w="1351" w:type="dxa"/>
            <w:tcBorders>
              <w:top w:val="nil"/>
              <w:left w:val="nil"/>
              <w:bottom w:val="nil"/>
              <w:right w:val="nil"/>
            </w:tcBorders>
            <w:shd w:val="clear" w:color="auto" w:fill="auto"/>
            <w:vAlign w:val="bottom"/>
            <w:hideMark/>
          </w:tcPr>
          <w:p w14:paraId="07D2ADA2"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99.6</w:t>
            </w:r>
          </w:p>
        </w:tc>
        <w:tc>
          <w:tcPr>
            <w:tcW w:w="1352" w:type="dxa"/>
            <w:tcBorders>
              <w:top w:val="nil"/>
              <w:left w:val="nil"/>
              <w:bottom w:val="nil"/>
              <w:right w:val="nil"/>
            </w:tcBorders>
            <w:shd w:val="clear" w:color="auto" w:fill="auto"/>
            <w:vAlign w:val="bottom"/>
            <w:hideMark/>
          </w:tcPr>
          <w:p w14:paraId="385BD44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99.8</w:t>
            </w:r>
          </w:p>
        </w:tc>
      </w:tr>
      <w:tr w:rsidR="00E20873" w:rsidRPr="003F700D" w14:paraId="3B0537A0" w14:textId="77777777" w:rsidTr="00E20873">
        <w:trPr>
          <w:trHeight w:val="225"/>
          <w:jc w:val="center"/>
        </w:trPr>
        <w:tc>
          <w:tcPr>
            <w:tcW w:w="266" w:type="dxa"/>
            <w:tcBorders>
              <w:top w:val="nil"/>
              <w:left w:val="nil"/>
              <w:bottom w:val="nil"/>
              <w:right w:val="nil"/>
            </w:tcBorders>
            <w:shd w:val="clear" w:color="auto" w:fill="auto"/>
            <w:noWrap/>
            <w:vAlign w:val="center"/>
            <w:hideMark/>
          </w:tcPr>
          <w:p w14:paraId="4A31DE68"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08</w:t>
            </w:r>
          </w:p>
        </w:tc>
        <w:tc>
          <w:tcPr>
            <w:tcW w:w="3599" w:type="dxa"/>
            <w:tcBorders>
              <w:top w:val="nil"/>
              <w:left w:val="nil"/>
              <w:bottom w:val="nil"/>
              <w:right w:val="nil"/>
            </w:tcBorders>
            <w:shd w:val="clear" w:color="auto" w:fill="auto"/>
            <w:vAlign w:val="center"/>
            <w:hideMark/>
          </w:tcPr>
          <w:p w14:paraId="762E0EE0"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Съобщения</w:t>
            </w:r>
          </w:p>
        </w:tc>
        <w:tc>
          <w:tcPr>
            <w:tcW w:w="1348" w:type="dxa"/>
            <w:tcBorders>
              <w:top w:val="nil"/>
              <w:left w:val="nil"/>
              <w:bottom w:val="nil"/>
              <w:right w:val="nil"/>
            </w:tcBorders>
            <w:shd w:val="clear" w:color="auto" w:fill="auto"/>
            <w:vAlign w:val="bottom"/>
            <w:hideMark/>
          </w:tcPr>
          <w:p w14:paraId="5FFD9212"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5.028</w:t>
            </w:r>
          </w:p>
        </w:tc>
        <w:tc>
          <w:tcPr>
            <w:tcW w:w="1344" w:type="dxa"/>
            <w:tcBorders>
              <w:top w:val="nil"/>
              <w:left w:val="nil"/>
              <w:bottom w:val="nil"/>
              <w:right w:val="nil"/>
            </w:tcBorders>
            <w:shd w:val="clear" w:color="auto" w:fill="auto"/>
            <w:vAlign w:val="bottom"/>
            <w:hideMark/>
          </w:tcPr>
          <w:p w14:paraId="1DD9AF8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100.2</w:t>
            </w:r>
          </w:p>
        </w:tc>
        <w:tc>
          <w:tcPr>
            <w:tcW w:w="1351" w:type="dxa"/>
            <w:tcBorders>
              <w:top w:val="nil"/>
              <w:left w:val="nil"/>
              <w:bottom w:val="nil"/>
              <w:right w:val="nil"/>
            </w:tcBorders>
            <w:shd w:val="clear" w:color="auto" w:fill="auto"/>
            <w:vAlign w:val="bottom"/>
            <w:hideMark/>
          </w:tcPr>
          <w:p w14:paraId="4330AD7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96.0</w:t>
            </w:r>
          </w:p>
        </w:tc>
        <w:tc>
          <w:tcPr>
            <w:tcW w:w="1352" w:type="dxa"/>
            <w:tcBorders>
              <w:top w:val="nil"/>
              <w:left w:val="nil"/>
              <w:bottom w:val="nil"/>
              <w:right w:val="nil"/>
            </w:tcBorders>
            <w:shd w:val="clear" w:color="auto" w:fill="auto"/>
            <w:vAlign w:val="bottom"/>
            <w:hideMark/>
          </w:tcPr>
          <w:p w14:paraId="3D7B374C"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95.7</w:t>
            </w:r>
          </w:p>
        </w:tc>
      </w:tr>
      <w:tr w:rsidR="00E20873" w:rsidRPr="003F700D" w14:paraId="389CDDB0" w14:textId="77777777" w:rsidTr="00E20873">
        <w:trPr>
          <w:trHeight w:val="225"/>
          <w:jc w:val="center"/>
        </w:trPr>
        <w:tc>
          <w:tcPr>
            <w:tcW w:w="266" w:type="dxa"/>
            <w:tcBorders>
              <w:top w:val="nil"/>
              <w:left w:val="nil"/>
              <w:bottom w:val="nil"/>
              <w:right w:val="nil"/>
            </w:tcBorders>
            <w:shd w:val="clear" w:color="auto" w:fill="auto"/>
            <w:noWrap/>
            <w:vAlign w:val="center"/>
            <w:hideMark/>
          </w:tcPr>
          <w:p w14:paraId="5233C6DF"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09</w:t>
            </w:r>
          </w:p>
        </w:tc>
        <w:tc>
          <w:tcPr>
            <w:tcW w:w="3599" w:type="dxa"/>
            <w:tcBorders>
              <w:top w:val="nil"/>
              <w:left w:val="nil"/>
              <w:bottom w:val="nil"/>
              <w:right w:val="nil"/>
            </w:tcBorders>
            <w:shd w:val="clear" w:color="auto" w:fill="auto"/>
            <w:hideMark/>
          </w:tcPr>
          <w:p w14:paraId="2761395F"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Развлечения и култура</w:t>
            </w:r>
          </w:p>
        </w:tc>
        <w:tc>
          <w:tcPr>
            <w:tcW w:w="1348" w:type="dxa"/>
            <w:tcBorders>
              <w:top w:val="nil"/>
              <w:left w:val="nil"/>
              <w:bottom w:val="nil"/>
              <w:right w:val="nil"/>
            </w:tcBorders>
            <w:shd w:val="clear" w:color="auto" w:fill="auto"/>
            <w:vAlign w:val="bottom"/>
            <w:hideMark/>
          </w:tcPr>
          <w:p w14:paraId="57E2BB9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6.343</w:t>
            </w:r>
          </w:p>
        </w:tc>
        <w:tc>
          <w:tcPr>
            <w:tcW w:w="1344" w:type="dxa"/>
            <w:tcBorders>
              <w:top w:val="nil"/>
              <w:left w:val="nil"/>
              <w:bottom w:val="nil"/>
              <w:right w:val="nil"/>
            </w:tcBorders>
            <w:shd w:val="clear" w:color="auto" w:fill="auto"/>
            <w:vAlign w:val="bottom"/>
            <w:hideMark/>
          </w:tcPr>
          <w:p w14:paraId="3044688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100.5</w:t>
            </w:r>
          </w:p>
        </w:tc>
        <w:tc>
          <w:tcPr>
            <w:tcW w:w="1351" w:type="dxa"/>
            <w:tcBorders>
              <w:top w:val="nil"/>
              <w:left w:val="nil"/>
              <w:bottom w:val="nil"/>
              <w:right w:val="nil"/>
            </w:tcBorders>
            <w:shd w:val="clear" w:color="auto" w:fill="auto"/>
            <w:vAlign w:val="bottom"/>
            <w:hideMark/>
          </w:tcPr>
          <w:p w14:paraId="4B6ACB8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103.2</w:t>
            </w:r>
          </w:p>
        </w:tc>
        <w:tc>
          <w:tcPr>
            <w:tcW w:w="1352" w:type="dxa"/>
            <w:tcBorders>
              <w:top w:val="nil"/>
              <w:left w:val="nil"/>
              <w:bottom w:val="nil"/>
              <w:right w:val="nil"/>
            </w:tcBorders>
            <w:shd w:val="clear" w:color="auto" w:fill="auto"/>
            <w:vAlign w:val="bottom"/>
            <w:hideMark/>
          </w:tcPr>
          <w:p w14:paraId="5B0DB9C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102.7</w:t>
            </w:r>
          </w:p>
        </w:tc>
      </w:tr>
      <w:tr w:rsidR="00E20873" w:rsidRPr="003F700D" w14:paraId="7864384D" w14:textId="77777777" w:rsidTr="00E20873">
        <w:trPr>
          <w:trHeight w:val="225"/>
          <w:jc w:val="center"/>
        </w:trPr>
        <w:tc>
          <w:tcPr>
            <w:tcW w:w="266" w:type="dxa"/>
            <w:tcBorders>
              <w:top w:val="nil"/>
              <w:left w:val="nil"/>
              <w:bottom w:val="nil"/>
              <w:right w:val="nil"/>
            </w:tcBorders>
            <w:shd w:val="clear" w:color="auto" w:fill="auto"/>
            <w:noWrap/>
            <w:vAlign w:val="center"/>
            <w:hideMark/>
          </w:tcPr>
          <w:p w14:paraId="74F16CF8"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10</w:t>
            </w:r>
          </w:p>
        </w:tc>
        <w:tc>
          <w:tcPr>
            <w:tcW w:w="3599" w:type="dxa"/>
            <w:tcBorders>
              <w:top w:val="nil"/>
              <w:left w:val="nil"/>
              <w:bottom w:val="nil"/>
              <w:right w:val="nil"/>
            </w:tcBorders>
            <w:shd w:val="clear" w:color="auto" w:fill="auto"/>
            <w:vAlign w:val="center"/>
            <w:hideMark/>
          </w:tcPr>
          <w:p w14:paraId="6CEE6399"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Образование</w:t>
            </w:r>
          </w:p>
        </w:tc>
        <w:tc>
          <w:tcPr>
            <w:tcW w:w="1348" w:type="dxa"/>
            <w:tcBorders>
              <w:top w:val="nil"/>
              <w:left w:val="nil"/>
              <w:bottom w:val="nil"/>
              <w:right w:val="nil"/>
            </w:tcBorders>
            <w:shd w:val="clear" w:color="auto" w:fill="auto"/>
            <w:vAlign w:val="bottom"/>
            <w:hideMark/>
          </w:tcPr>
          <w:p w14:paraId="106FC804"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0.424</w:t>
            </w:r>
          </w:p>
        </w:tc>
        <w:tc>
          <w:tcPr>
            <w:tcW w:w="1344" w:type="dxa"/>
            <w:tcBorders>
              <w:top w:val="nil"/>
              <w:left w:val="nil"/>
              <w:bottom w:val="nil"/>
              <w:right w:val="nil"/>
            </w:tcBorders>
            <w:shd w:val="clear" w:color="auto" w:fill="auto"/>
            <w:vAlign w:val="bottom"/>
            <w:hideMark/>
          </w:tcPr>
          <w:p w14:paraId="2B58F66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0EF29D8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101.6</w:t>
            </w:r>
          </w:p>
        </w:tc>
        <w:tc>
          <w:tcPr>
            <w:tcW w:w="1352" w:type="dxa"/>
            <w:tcBorders>
              <w:top w:val="nil"/>
              <w:left w:val="nil"/>
              <w:bottom w:val="nil"/>
              <w:right w:val="nil"/>
            </w:tcBorders>
            <w:shd w:val="clear" w:color="auto" w:fill="auto"/>
            <w:vAlign w:val="bottom"/>
            <w:hideMark/>
          </w:tcPr>
          <w:p w14:paraId="0C92D78F"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106.7</w:t>
            </w:r>
          </w:p>
        </w:tc>
      </w:tr>
      <w:tr w:rsidR="00E20873" w:rsidRPr="003F700D" w14:paraId="7C56E17B" w14:textId="77777777" w:rsidTr="00E20873">
        <w:trPr>
          <w:trHeight w:val="225"/>
          <w:jc w:val="center"/>
        </w:trPr>
        <w:tc>
          <w:tcPr>
            <w:tcW w:w="266" w:type="dxa"/>
            <w:tcBorders>
              <w:top w:val="nil"/>
              <w:left w:val="nil"/>
              <w:bottom w:val="nil"/>
              <w:right w:val="nil"/>
            </w:tcBorders>
            <w:shd w:val="clear" w:color="auto" w:fill="auto"/>
            <w:noWrap/>
            <w:vAlign w:val="center"/>
            <w:hideMark/>
          </w:tcPr>
          <w:p w14:paraId="37D0DA62"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11</w:t>
            </w:r>
          </w:p>
        </w:tc>
        <w:tc>
          <w:tcPr>
            <w:tcW w:w="3599" w:type="dxa"/>
            <w:tcBorders>
              <w:top w:val="nil"/>
              <w:left w:val="nil"/>
              <w:bottom w:val="nil"/>
              <w:right w:val="nil"/>
            </w:tcBorders>
            <w:shd w:val="clear" w:color="auto" w:fill="auto"/>
            <w:vAlign w:val="center"/>
            <w:hideMark/>
          </w:tcPr>
          <w:p w14:paraId="6256B78B"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Ресторанти и хотели</w:t>
            </w:r>
          </w:p>
        </w:tc>
        <w:tc>
          <w:tcPr>
            <w:tcW w:w="1348" w:type="dxa"/>
            <w:tcBorders>
              <w:top w:val="nil"/>
              <w:left w:val="nil"/>
              <w:bottom w:val="nil"/>
              <w:right w:val="nil"/>
            </w:tcBorders>
            <w:shd w:val="clear" w:color="auto" w:fill="auto"/>
            <w:vAlign w:val="bottom"/>
            <w:hideMark/>
          </w:tcPr>
          <w:p w14:paraId="33CC367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5.344</w:t>
            </w:r>
          </w:p>
        </w:tc>
        <w:tc>
          <w:tcPr>
            <w:tcW w:w="1344" w:type="dxa"/>
            <w:tcBorders>
              <w:top w:val="nil"/>
              <w:left w:val="nil"/>
              <w:bottom w:val="nil"/>
              <w:right w:val="nil"/>
            </w:tcBorders>
            <w:shd w:val="clear" w:color="auto" w:fill="auto"/>
            <w:vAlign w:val="bottom"/>
            <w:hideMark/>
          </w:tcPr>
          <w:p w14:paraId="3C51A348"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99.9</w:t>
            </w:r>
          </w:p>
        </w:tc>
        <w:tc>
          <w:tcPr>
            <w:tcW w:w="1351" w:type="dxa"/>
            <w:tcBorders>
              <w:top w:val="nil"/>
              <w:left w:val="nil"/>
              <w:bottom w:val="nil"/>
              <w:right w:val="nil"/>
            </w:tcBorders>
            <w:shd w:val="clear" w:color="auto" w:fill="auto"/>
            <w:vAlign w:val="bottom"/>
            <w:hideMark/>
          </w:tcPr>
          <w:p w14:paraId="22F1E244"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108.4</w:t>
            </w:r>
          </w:p>
        </w:tc>
        <w:tc>
          <w:tcPr>
            <w:tcW w:w="1352" w:type="dxa"/>
            <w:tcBorders>
              <w:top w:val="nil"/>
              <w:left w:val="nil"/>
              <w:bottom w:val="nil"/>
              <w:right w:val="nil"/>
            </w:tcBorders>
            <w:shd w:val="clear" w:color="auto" w:fill="auto"/>
            <w:vAlign w:val="bottom"/>
            <w:hideMark/>
          </w:tcPr>
          <w:p w14:paraId="34820DC4"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107.9</w:t>
            </w:r>
          </w:p>
        </w:tc>
      </w:tr>
      <w:tr w:rsidR="00E20873" w:rsidRPr="003F700D" w14:paraId="26216836" w14:textId="77777777" w:rsidTr="00E20873">
        <w:trPr>
          <w:trHeight w:val="225"/>
          <w:jc w:val="center"/>
        </w:trPr>
        <w:tc>
          <w:tcPr>
            <w:tcW w:w="266" w:type="dxa"/>
            <w:tcBorders>
              <w:top w:val="nil"/>
              <w:left w:val="nil"/>
              <w:bottom w:val="single" w:sz="4" w:space="0" w:color="auto"/>
              <w:right w:val="nil"/>
            </w:tcBorders>
            <w:shd w:val="clear" w:color="auto" w:fill="auto"/>
            <w:noWrap/>
            <w:vAlign w:val="center"/>
            <w:hideMark/>
          </w:tcPr>
          <w:p w14:paraId="2C151E40"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12</w:t>
            </w:r>
          </w:p>
        </w:tc>
        <w:tc>
          <w:tcPr>
            <w:tcW w:w="3599" w:type="dxa"/>
            <w:tcBorders>
              <w:top w:val="nil"/>
              <w:left w:val="nil"/>
              <w:bottom w:val="single" w:sz="4" w:space="0" w:color="auto"/>
              <w:right w:val="nil"/>
            </w:tcBorders>
            <w:shd w:val="clear" w:color="auto" w:fill="auto"/>
            <w:vAlign w:val="center"/>
            <w:hideMark/>
          </w:tcPr>
          <w:p w14:paraId="41364CC0"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Разнообразни стоки и услуги</w:t>
            </w:r>
          </w:p>
        </w:tc>
        <w:tc>
          <w:tcPr>
            <w:tcW w:w="1348" w:type="dxa"/>
            <w:tcBorders>
              <w:top w:val="nil"/>
              <w:left w:val="nil"/>
              <w:bottom w:val="single" w:sz="4" w:space="0" w:color="auto"/>
              <w:right w:val="nil"/>
            </w:tcBorders>
            <w:shd w:val="clear" w:color="auto" w:fill="auto"/>
            <w:vAlign w:val="bottom"/>
            <w:hideMark/>
          </w:tcPr>
          <w:p w14:paraId="5B2B30DF"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4.819</w:t>
            </w:r>
          </w:p>
        </w:tc>
        <w:tc>
          <w:tcPr>
            <w:tcW w:w="1344" w:type="dxa"/>
            <w:tcBorders>
              <w:top w:val="nil"/>
              <w:left w:val="nil"/>
              <w:bottom w:val="single" w:sz="4" w:space="0" w:color="auto"/>
              <w:right w:val="nil"/>
            </w:tcBorders>
            <w:shd w:val="clear" w:color="auto" w:fill="auto"/>
            <w:vAlign w:val="bottom"/>
            <w:hideMark/>
          </w:tcPr>
          <w:p w14:paraId="22FED406"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100.2</w:t>
            </w:r>
          </w:p>
        </w:tc>
        <w:tc>
          <w:tcPr>
            <w:tcW w:w="1351" w:type="dxa"/>
            <w:tcBorders>
              <w:top w:val="nil"/>
              <w:left w:val="nil"/>
              <w:bottom w:val="single" w:sz="4" w:space="0" w:color="auto"/>
              <w:right w:val="nil"/>
            </w:tcBorders>
            <w:shd w:val="clear" w:color="auto" w:fill="auto"/>
            <w:vAlign w:val="bottom"/>
            <w:hideMark/>
          </w:tcPr>
          <w:p w14:paraId="2518AB12"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102.9</w:t>
            </w:r>
          </w:p>
        </w:tc>
        <w:tc>
          <w:tcPr>
            <w:tcW w:w="1352" w:type="dxa"/>
            <w:tcBorders>
              <w:top w:val="nil"/>
              <w:left w:val="nil"/>
              <w:bottom w:val="single" w:sz="4" w:space="0" w:color="auto"/>
              <w:right w:val="nil"/>
            </w:tcBorders>
            <w:shd w:val="clear" w:color="auto" w:fill="auto"/>
            <w:vAlign w:val="bottom"/>
            <w:hideMark/>
          </w:tcPr>
          <w:p w14:paraId="3E67908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104.0</w:t>
            </w:r>
          </w:p>
        </w:tc>
      </w:tr>
      <w:tr w:rsidR="00E20873" w:rsidRPr="003F700D" w14:paraId="37E858E5" w14:textId="77777777" w:rsidTr="00E20873">
        <w:trPr>
          <w:trHeight w:val="225"/>
          <w:jc w:val="center"/>
        </w:trPr>
        <w:tc>
          <w:tcPr>
            <w:tcW w:w="3865" w:type="dxa"/>
            <w:gridSpan w:val="2"/>
            <w:tcBorders>
              <w:top w:val="nil"/>
              <w:left w:val="nil"/>
              <w:bottom w:val="nil"/>
              <w:right w:val="nil"/>
            </w:tcBorders>
            <w:shd w:val="clear" w:color="auto" w:fill="auto"/>
            <w:noWrap/>
            <w:hideMark/>
          </w:tcPr>
          <w:p w14:paraId="6AA7A42D" w14:textId="77777777" w:rsidR="00E20873" w:rsidRPr="003F700D" w:rsidRDefault="00E20873" w:rsidP="00E20873">
            <w:pPr>
              <w:jc w:val="right"/>
              <w:rPr>
                <w:rFonts w:ascii="Verdana" w:eastAsia="Times New Roman" w:hAnsi="Verdana" w:cs="Arial"/>
                <w:sz w:val="16"/>
                <w:szCs w:val="16"/>
                <w:lang w:eastAsia="bg-BG"/>
              </w:rPr>
            </w:pPr>
          </w:p>
        </w:tc>
        <w:tc>
          <w:tcPr>
            <w:tcW w:w="1348" w:type="dxa"/>
            <w:tcBorders>
              <w:top w:val="nil"/>
              <w:left w:val="nil"/>
              <w:bottom w:val="nil"/>
              <w:right w:val="nil"/>
            </w:tcBorders>
            <w:shd w:val="clear" w:color="auto" w:fill="auto"/>
            <w:noWrap/>
            <w:vAlign w:val="bottom"/>
            <w:hideMark/>
          </w:tcPr>
          <w:p w14:paraId="3C5233E8" w14:textId="77777777" w:rsidR="00E20873" w:rsidRPr="003F700D" w:rsidRDefault="00E20873" w:rsidP="00E20873">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389E11CA" w14:textId="77777777" w:rsidR="00E20873" w:rsidRPr="003F700D" w:rsidRDefault="00E20873" w:rsidP="00E20873">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231D494D" w14:textId="77777777" w:rsidR="00E20873" w:rsidRPr="003F700D" w:rsidRDefault="00E20873" w:rsidP="00E20873">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3591DD6C" w14:textId="77777777" w:rsidR="00E20873" w:rsidRPr="003F700D" w:rsidRDefault="00E20873" w:rsidP="00E20873">
            <w:pPr>
              <w:rPr>
                <w:rFonts w:eastAsia="Times New Roman" w:cs="Times New Roman"/>
                <w:sz w:val="20"/>
                <w:szCs w:val="20"/>
                <w:lang w:eastAsia="bg-BG"/>
              </w:rPr>
            </w:pPr>
          </w:p>
        </w:tc>
      </w:tr>
      <w:tr w:rsidR="00E20873" w:rsidRPr="003F700D" w14:paraId="6C71CA27" w14:textId="77777777" w:rsidTr="00E20873">
        <w:trPr>
          <w:trHeight w:val="225"/>
          <w:jc w:val="center"/>
        </w:trPr>
        <w:tc>
          <w:tcPr>
            <w:tcW w:w="3865" w:type="dxa"/>
            <w:gridSpan w:val="2"/>
            <w:tcBorders>
              <w:top w:val="nil"/>
              <w:left w:val="nil"/>
              <w:bottom w:val="nil"/>
              <w:right w:val="nil"/>
            </w:tcBorders>
            <w:shd w:val="clear" w:color="auto" w:fill="auto"/>
            <w:noWrap/>
            <w:hideMark/>
          </w:tcPr>
          <w:p w14:paraId="67A708CE" w14:textId="77777777" w:rsidR="00E20873" w:rsidRPr="003F700D" w:rsidRDefault="00E20873" w:rsidP="00E20873">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8" w:type="dxa"/>
            <w:tcBorders>
              <w:top w:val="nil"/>
              <w:left w:val="nil"/>
              <w:bottom w:val="nil"/>
              <w:right w:val="nil"/>
            </w:tcBorders>
            <w:shd w:val="clear" w:color="auto" w:fill="auto"/>
            <w:noWrap/>
            <w:vAlign w:val="bottom"/>
            <w:hideMark/>
          </w:tcPr>
          <w:p w14:paraId="0E09A8D8"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32.646</w:t>
            </w:r>
          </w:p>
        </w:tc>
        <w:tc>
          <w:tcPr>
            <w:tcW w:w="1344" w:type="dxa"/>
            <w:tcBorders>
              <w:top w:val="nil"/>
              <w:left w:val="nil"/>
              <w:bottom w:val="nil"/>
              <w:right w:val="nil"/>
            </w:tcBorders>
            <w:shd w:val="clear" w:color="auto" w:fill="auto"/>
            <w:noWrap/>
            <w:vAlign w:val="bottom"/>
            <w:hideMark/>
          </w:tcPr>
          <w:p w14:paraId="239F306D"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100.9</w:t>
            </w:r>
          </w:p>
        </w:tc>
        <w:tc>
          <w:tcPr>
            <w:tcW w:w="1351" w:type="dxa"/>
            <w:tcBorders>
              <w:top w:val="nil"/>
              <w:left w:val="nil"/>
              <w:bottom w:val="nil"/>
              <w:right w:val="nil"/>
            </w:tcBorders>
            <w:shd w:val="clear" w:color="auto" w:fill="auto"/>
            <w:noWrap/>
            <w:vAlign w:val="bottom"/>
            <w:hideMark/>
          </w:tcPr>
          <w:p w14:paraId="2D1183CA"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101.3</w:t>
            </w:r>
          </w:p>
        </w:tc>
        <w:tc>
          <w:tcPr>
            <w:tcW w:w="1352" w:type="dxa"/>
            <w:tcBorders>
              <w:top w:val="nil"/>
              <w:left w:val="nil"/>
              <w:bottom w:val="nil"/>
              <w:right w:val="nil"/>
            </w:tcBorders>
            <w:shd w:val="clear" w:color="auto" w:fill="auto"/>
            <w:noWrap/>
            <w:vAlign w:val="bottom"/>
            <w:hideMark/>
          </w:tcPr>
          <w:p w14:paraId="13F9AD15"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102.3</w:t>
            </w:r>
          </w:p>
        </w:tc>
      </w:tr>
      <w:tr w:rsidR="00E20873" w:rsidRPr="003F700D" w14:paraId="0B5305C8" w14:textId="77777777" w:rsidTr="00E20873">
        <w:trPr>
          <w:trHeight w:val="225"/>
          <w:jc w:val="center"/>
        </w:trPr>
        <w:tc>
          <w:tcPr>
            <w:tcW w:w="3865" w:type="dxa"/>
            <w:gridSpan w:val="2"/>
            <w:tcBorders>
              <w:top w:val="nil"/>
              <w:left w:val="nil"/>
              <w:bottom w:val="nil"/>
              <w:right w:val="nil"/>
            </w:tcBorders>
            <w:shd w:val="clear" w:color="auto" w:fill="auto"/>
            <w:noWrap/>
            <w:hideMark/>
          </w:tcPr>
          <w:p w14:paraId="64653DF7" w14:textId="77777777" w:rsidR="00E20873" w:rsidRPr="003F700D" w:rsidRDefault="00E20873" w:rsidP="00E20873">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8" w:type="dxa"/>
            <w:tcBorders>
              <w:top w:val="nil"/>
              <w:left w:val="nil"/>
              <w:bottom w:val="nil"/>
              <w:right w:val="nil"/>
            </w:tcBorders>
            <w:shd w:val="clear" w:color="auto" w:fill="auto"/>
            <w:noWrap/>
            <w:vAlign w:val="bottom"/>
            <w:hideMark/>
          </w:tcPr>
          <w:p w14:paraId="1B071A0E"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35.089</w:t>
            </w:r>
          </w:p>
        </w:tc>
        <w:tc>
          <w:tcPr>
            <w:tcW w:w="1344" w:type="dxa"/>
            <w:tcBorders>
              <w:top w:val="nil"/>
              <w:left w:val="nil"/>
              <w:bottom w:val="nil"/>
              <w:right w:val="nil"/>
            </w:tcBorders>
            <w:shd w:val="clear" w:color="auto" w:fill="auto"/>
            <w:noWrap/>
            <w:vAlign w:val="bottom"/>
            <w:hideMark/>
          </w:tcPr>
          <w:p w14:paraId="7A7F3F15"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99.3</w:t>
            </w:r>
          </w:p>
        </w:tc>
        <w:tc>
          <w:tcPr>
            <w:tcW w:w="1351" w:type="dxa"/>
            <w:tcBorders>
              <w:top w:val="nil"/>
              <w:left w:val="nil"/>
              <w:bottom w:val="nil"/>
              <w:right w:val="nil"/>
            </w:tcBorders>
            <w:shd w:val="clear" w:color="auto" w:fill="auto"/>
            <w:noWrap/>
            <w:vAlign w:val="bottom"/>
            <w:hideMark/>
          </w:tcPr>
          <w:p w14:paraId="7EA40B13"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98.6</w:t>
            </w:r>
          </w:p>
        </w:tc>
        <w:tc>
          <w:tcPr>
            <w:tcW w:w="1352" w:type="dxa"/>
            <w:tcBorders>
              <w:top w:val="nil"/>
              <w:left w:val="nil"/>
              <w:bottom w:val="nil"/>
              <w:right w:val="nil"/>
            </w:tcBorders>
            <w:shd w:val="clear" w:color="auto" w:fill="auto"/>
            <w:noWrap/>
            <w:vAlign w:val="bottom"/>
            <w:hideMark/>
          </w:tcPr>
          <w:p w14:paraId="7649E13E"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99.7</w:t>
            </w:r>
          </w:p>
        </w:tc>
      </w:tr>
      <w:tr w:rsidR="00E20873" w:rsidRPr="003F700D" w14:paraId="4122A84D" w14:textId="77777777" w:rsidTr="00E20873">
        <w:trPr>
          <w:trHeight w:val="225"/>
          <w:jc w:val="center"/>
        </w:trPr>
        <w:tc>
          <w:tcPr>
            <w:tcW w:w="3865" w:type="dxa"/>
            <w:gridSpan w:val="2"/>
            <w:tcBorders>
              <w:top w:val="nil"/>
              <w:left w:val="nil"/>
              <w:bottom w:val="nil"/>
              <w:right w:val="nil"/>
            </w:tcBorders>
            <w:shd w:val="clear" w:color="auto" w:fill="auto"/>
            <w:noWrap/>
            <w:hideMark/>
          </w:tcPr>
          <w:p w14:paraId="0B117FAF" w14:textId="77777777" w:rsidR="00E20873" w:rsidRPr="003F700D" w:rsidRDefault="00E20873" w:rsidP="00E20873">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8" w:type="dxa"/>
            <w:tcBorders>
              <w:top w:val="nil"/>
              <w:left w:val="nil"/>
              <w:bottom w:val="nil"/>
              <w:right w:val="nil"/>
            </w:tcBorders>
            <w:shd w:val="clear" w:color="auto" w:fill="auto"/>
            <w:noWrap/>
            <w:vAlign w:val="bottom"/>
            <w:hideMark/>
          </w:tcPr>
          <w:p w14:paraId="395C0EA1"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4.461</w:t>
            </w:r>
          </w:p>
        </w:tc>
        <w:tc>
          <w:tcPr>
            <w:tcW w:w="1344" w:type="dxa"/>
            <w:tcBorders>
              <w:top w:val="nil"/>
              <w:left w:val="nil"/>
              <w:bottom w:val="nil"/>
              <w:right w:val="nil"/>
            </w:tcBorders>
            <w:shd w:val="clear" w:color="auto" w:fill="auto"/>
            <w:noWrap/>
            <w:vAlign w:val="bottom"/>
            <w:hideMark/>
          </w:tcPr>
          <w:p w14:paraId="1BA9F6DB"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100.5</w:t>
            </w:r>
          </w:p>
        </w:tc>
        <w:tc>
          <w:tcPr>
            <w:tcW w:w="1351" w:type="dxa"/>
            <w:tcBorders>
              <w:top w:val="nil"/>
              <w:left w:val="nil"/>
              <w:bottom w:val="nil"/>
              <w:right w:val="nil"/>
            </w:tcBorders>
            <w:shd w:val="clear" w:color="auto" w:fill="auto"/>
            <w:noWrap/>
            <w:vAlign w:val="bottom"/>
            <w:hideMark/>
          </w:tcPr>
          <w:p w14:paraId="626FE428"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104.4</w:t>
            </w:r>
          </w:p>
        </w:tc>
        <w:tc>
          <w:tcPr>
            <w:tcW w:w="1352" w:type="dxa"/>
            <w:tcBorders>
              <w:top w:val="nil"/>
              <w:left w:val="nil"/>
              <w:bottom w:val="nil"/>
              <w:right w:val="nil"/>
            </w:tcBorders>
            <w:shd w:val="clear" w:color="auto" w:fill="auto"/>
            <w:noWrap/>
            <w:vAlign w:val="bottom"/>
            <w:hideMark/>
          </w:tcPr>
          <w:p w14:paraId="7990C000"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106.7</w:t>
            </w:r>
          </w:p>
        </w:tc>
      </w:tr>
      <w:tr w:rsidR="00E20873" w:rsidRPr="003F700D" w14:paraId="308AA78E" w14:textId="77777777" w:rsidTr="00E20873">
        <w:trPr>
          <w:trHeight w:val="225"/>
          <w:jc w:val="center"/>
        </w:trPr>
        <w:tc>
          <w:tcPr>
            <w:tcW w:w="3865" w:type="dxa"/>
            <w:gridSpan w:val="2"/>
            <w:tcBorders>
              <w:top w:val="nil"/>
              <w:left w:val="nil"/>
              <w:bottom w:val="single" w:sz="4" w:space="0" w:color="auto"/>
              <w:right w:val="nil"/>
            </w:tcBorders>
            <w:shd w:val="clear" w:color="auto" w:fill="auto"/>
            <w:noWrap/>
            <w:hideMark/>
          </w:tcPr>
          <w:p w14:paraId="699F65D1" w14:textId="77777777" w:rsidR="00E20873" w:rsidRPr="003F700D" w:rsidRDefault="00E20873" w:rsidP="00E20873">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8" w:type="dxa"/>
            <w:tcBorders>
              <w:top w:val="nil"/>
              <w:left w:val="nil"/>
              <w:bottom w:val="single" w:sz="4" w:space="0" w:color="auto"/>
              <w:right w:val="nil"/>
            </w:tcBorders>
            <w:shd w:val="clear" w:color="auto" w:fill="auto"/>
            <w:noWrap/>
            <w:vAlign w:val="bottom"/>
            <w:hideMark/>
          </w:tcPr>
          <w:p w14:paraId="2311E695"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27.804</w:t>
            </w:r>
          </w:p>
        </w:tc>
        <w:tc>
          <w:tcPr>
            <w:tcW w:w="1344" w:type="dxa"/>
            <w:tcBorders>
              <w:top w:val="nil"/>
              <w:left w:val="nil"/>
              <w:bottom w:val="single" w:sz="4" w:space="0" w:color="auto"/>
              <w:right w:val="nil"/>
            </w:tcBorders>
            <w:shd w:val="clear" w:color="auto" w:fill="auto"/>
            <w:noWrap/>
            <w:vAlign w:val="bottom"/>
            <w:hideMark/>
          </w:tcPr>
          <w:p w14:paraId="00C7ABF0"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100.2</w:t>
            </w:r>
          </w:p>
        </w:tc>
        <w:tc>
          <w:tcPr>
            <w:tcW w:w="1351" w:type="dxa"/>
            <w:tcBorders>
              <w:top w:val="nil"/>
              <w:left w:val="nil"/>
              <w:bottom w:val="single" w:sz="4" w:space="0" w:color="auto"/>
              <w:right w:val="nil"/>
            </w:tcBorders>
            <w:shd w:val="clear" w:color="auto" w:fill="auto"/>
            <w:noWrap/>
            <w:vAlign w:val="bottom"/>
            <w:hideMark/>
          </w:tcPr>
          <w:p w14:paraId="071BC672"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103.8</w:t>
            </w:r>
          </w:p>
        </w:tc>
        <w:tc>
          <w:tcPr>
            <w:tcW w:w="1352" w:type="dxa"/>
            <w:tcBorders>
              <w:top w:val="nil"/>
              <w:left w:val="nil"/>
              <w:bottom w:val="single" w:sz="4" w:space="0" w:color="auto"/>
              <w:right w:val="nil"/>
            </w:tcBorders>
            <w:shd w:val="clear" w:color="auto" w:fill="auto"/>
            <w:noWrap/>
            <w:vAlign w:val="bottom"/>
            <w:hideMark/>
          </w:tcPr>
          <w:p w14:paraId="4F98B5FE" w14:textId="77777777" w:rsidR="00E20873" w:rsidRPr="003F700D" w:rsidRDefault="00E20873" w:rsidP="00E20873">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104.2</w:t>
            </w:r>
          </w:p>
        </w:tc>
      </w:tr>
    </w:tbl>
    <w:p w14:paraId="57CEE22A" w14:textId="77777777" w:rsidR="002D0367" w:rsidRPr="003F700D" w:rsidRDefault="002D0367" w:rsidP="00E21163">
      <w:pPr>
        <w:tabs>
          <w:tab w:val="left" w:pos="3123"/>
        </w:tabs>
        <w:spacing w:line="360" w:lineRule="auto"/>
        <w:ind w:firstLine="567"/>
        <w:jc w:val="center"/>
        <w:rPr>
          <w:rFonts w:ascii="Verdana" w:eastAsia="Μοντέρνα" w:hAnsi="Verdana" w:cs="Times New Roman"/>
          <w:sz w:val="20"/>
          <w:szCs w:val="20"/>
          <w:lang w:eastAsia="bg-BG"/>
        </w:rPr>
      </w:pPr>
    </w:p>
    <w:p w14:paraId="36C741CC" w14:textId="77777777" w:rsidR="004760D3" w:rsidRPr="003F700D" w:rsidRDefault="004760D3" w:rsidP="003D5F6D">
      <w:pPr>
        <w:spacing w:line="360" w:lineRule="auto"/>
        <w:ind w:firstLine="567"/>
        <w:rPr>
          <w:rFonts w:ascii="Verdana" w:eastAsia="Μοντέρνα" w:hAnsi="Verdana" w:cs="Times New Roman"/>
          <w:sz w:val="20"/>
          <w:szCs w:val="20"/>
          <w:lang w:eastAsia="bg-BG"/>
        </w:rPr>
      </w:pPr>
    </w:p>
    <w:p w14:paraId="1533EF1A" w14:textId="77777777" w:rsidR="00B6138F" w:rsidRPr="003F700D" w:rsidRDefault="00B6138F">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br w:type="page"/>
      </w:r>
    </w:p>
    <w:p w14:paraId="35B34664" w14:textId="7166B378" w:rsidR="002D0367" w:rsidRPr="003F700D"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Таблица 2</w:t>
      </w:r>
    </w:p>
    <w:tbl>
      <w:tblPr>
        <w:tblW w:w="10180" w:type="dxa"/>
        <w:jc w:val="center"/>
        <w:tblCellMar>
          <w:left w:w="70" w:type="dxa"/>
          <w:right w:w="70" w:type="dxa"/>
        </w:tblCellMar>
        <w:tblLook w:val="04A0" w:firstRow="1" w:lastRow="0" w:firstColumn="1" w:lastColumn="0" w:noHBand="0" w:noVBand="1"/>
      </w:tblPr>
      <w:tblGrid>
        <w:gridCol w:w="368"/>
        <w:gridCol w:w="3181"/>
        <w:gridCol w:w="1351"/>
        <w:gridCol w:w="1347"/>
        <w:gridCol w:w="1345"/>
        <w:gridCol w:w="1352"/>
        <w:gridCol w:w="1346"/>
      </w:tblGrid>
      <w:tr w:rsidR="00E20873" w:rsidRPr="003F700D" w14:paraId="2552A6DD" w14:textId="77777777" w:rsidTr="00E20873">
        <w:trPr>
          <w:trHeight w:val="600"/>
          <w:jc w:val="center"/>
        </w:trPr>
        <w:tc>
          <w:tcPr>
            <w:tcW w:w="10180" w:type="dxa"/>
            <w:gridSpan w:val="7"/>
            <w:tcBorders>
              <w:top w:val="nil"/>
              <w:left w:val="nil"/>
              <w:bottom w:val="nil"/>
              <w:right w:val="nil"/>
            </w:tcBorders>
            <w:shd w:val="clear" w:color="auto" w:fill="auto"/>
            <w:vAlign w:val="center"/>
            <w:hideMark/>
          </w:tcPr>
          <w:p w14:paraId="0E0D0A59" w14:textId="77777777" w:rsidR="00E20873" w:rsidRPr="003F700D" w:rsidRDefault="00E20873" w:rsidP="00E20873">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август 2024 година</w:t>
            </w:r>
          </w:p>
        </w:tc>
      </w:tr>
      <w:tr w:rsidR="00E20873" w:rsidRPr="003F700D" w14:paraId="57972902" w14:textId="77777777" w:rsidTr="00E20873">
        <w:trPr>
          <w:trHeight w:val="210"/>
          <w:jc w:val="center"/>
        </w:trPr>
        <w:tc>
          <w:tcPr>
            <w:tcW w:w="258" w:type="dxa"/>
            <w:tcBorders>
              <w:top w:val="nil"/>
              <w:left w:val="nil"/>
              <w:bottom w:val="nil"/>
              <w:right w:val="nil"/>
            </w:tcBorders>
            <w:shd w:val="clear" w:color="auto" w:fill="auto"/>
            <w:noWrap/>
            <w:vAlign w:val="bottom"/>
            <w:hideMark/>
          </w:tcPr>
          <w:p w14:paraId="6ED83E67" w14:textId="77777777" w:rsidR="00E20873" w:rsidRPr="003F700D" w:rsidRDefault="00E20873" w:rsidP="00E20873">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81" w:type="dxa"/>
            <w:tcBorders>
              <w:top w:val="nil"/>
              <w:left w:val="nil"/>
              <w:bottom w:val="nil"/>
              <w:right w:val="nil"/>
            </w:tcBorders>
            <w:shd w:val="clear" w:color="auto" w:fill="auto"/>
            <w:noWrap/>
            <w:vAlign w:val="bottom"/>
            <w:hideMark/>
          </w:tcPr>
          <w:p w14:paraId="78DEF89D" w14:textId="77777777" w:rsidR="00E20873" w:rsidRPr="003F700D" w:rsidRDefault="00E20873" w:rsidP="00E20873">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1CF4A157" w14:textId="77777777" w:rsidR="00E20873" w:rsidRPr="003F700D" w:rsidRDefault="00E20873" w:rsidP="00E20873">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6FDE3549" w14:textId="77777777" w:rsidR="00E20873" w:rsidRPr="003F700D" w:rsidRDefault="00E20873" w:rsidP="00E20873">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3AAF1194" w14:textId="77777777" w:rsidR="00E20873" w:rsidRPr="003F700D" w:rsidRDefault="00E20873" w:rsidP="00E20873">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69422F82" w14:textId="77777777" w:rsidR="00E20873" w:rsidRPr="003F700D" w:rsidRDefault="00E20873" w:rsidP="00E20873">
            <w:pPr>
              <w:rPr>
                <w:rFonts w:eastAsia="Times New Roman" w:cs="Times New Roman"/>
                <w:sz w:val="20"/>
                <w:szCs w:val="20"/>
                <w:lang w:eastAsia="bg-BG"/>
              </w:rPr>
            </w:pPr>
          </w:p>
        </w:tc>
        <w:tc>
          <w:tcPr>
            <w:tcW w:w="1346" w:type="dxa"/>
            <w:tcBorders>
              <w:top w:val="nil"/>
              <w:left w:val="nil"/>
              <w:bottom w:val="nil"/>
              <w:right w:val="nil"/>
            </w:tcBorders>
            <w:shd w:val="clear" w:color="auto" w:fill="auto"/>
            <w:noWrap/>
            <w:vAlign w:val="bottom"/>
            <w:hideMark/>
          </w:tcPr>
          <w:p w14:paraId="2B2578C7" w14:textId="77777777" w:rsidR="00E20873" w:rsidRPr="003F700D" w:rsidRDefault="00E20873" w:rsidP="00E20873">
            <w:pPr>
              <w:jc w:val="right"/>
              <w:rPr>
                <w:rFonts w:eastAsia="Times New Roman" w:cs="Times New Roman"/>
                <w:sz w:val="20"/>
                <w:szCs w:val="20"/>
                <w:lang w:eastAsia="bg-BG"/>
              </w:rPr>
            </w:pPr>
          </w:p>
        </w:tc>
      </w:tr>
      <w:tr w:rsidR="00E20873" w:rsidRPr="003F700D" w14:paraId="650C10E1" w14:textId="77777777" w:rsidTr="00E20873">
        <w:trPr>
          <w:trHeight w:val="270"/>
          <w:jc w:val="center"/>
        </w:trPr>
        <w:tc>
          <w:tcPr>
            <w:tcW w:w="3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0D0CD7" w14:textId="77777777" w:rsidR="00E20873" w:rsidRPr="003F700D" w:rsidRDefault="00E20873" w:rsidP="00E20873">
            <w:pP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Потребителски групи</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B26926" w14:textId="77777777" w:rsidR="00E20873" w:rsidRPr="003F700D" w:rsidRDefault="00E20873" w:rsidP="00E20873">
            <w:pPr>
              <w:jc w:val="cente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 xml:space="preserve">Тегла   </w:t>
            </w:r>
          </w:p>
        </w:tc>
        <w:tc>
          <w:tcPr>
            <w:tcW w:w="5390" w:type="dxa"/>
            <w:gridSpan w:val="4"/>
            <w:tcBorders>
              <w:top w:val="single" w:sz="4" w:space="0" w:color="auto"/>
              <w:left w:val="nil"/>
              <w:bottom w:val="single" w:sz="4" w:space="0" w:color="auto"/>
              <w:right w:val="single" w:sz="4" w:space="0" w:color="auto"/>
            </w:tcBorders>
            <w:shd w:val="clear" w:color="auto" w:fill="auto"/>
            <w:vAlign w:val="center"/>
            <w:hideMark/>
          </w:tcPr>
          <w:p w14:paraId="4F78B6DD" w14:textId="77777777" w:rsidR="00E20873" w:rsidRPr="003F700D" w:rsidRDefault="00E20873" w:rsidP="00E20873">
            <w:pPr>
              <w:jc w:val="cente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VIII.2024</w:t>
            </w:r>
          </w:p>
        </w:tc>
      </w:tr>
      <w:tr w:rsidR="00E20873" w:rsidRPr="003F700D" w14:paraId="0878A3CE" w14:textId="77777777" w:rsidTr="00E20873">
        <w:trPr>
          <w:trHeight w:val="585"/>
          <w:jc w:val="center"/>
        </w:trPr>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14:paraId="1AF0645A" w14:textId="77777777" w:rsidR="00E20873" w:rsidRPr="003F700D" w:rsidRDefault="00E20873" w:rsidP="00E20873">
            <w:pPr>
              <w:rPr>
                <w:rFonts w:ascii="Verdana" w:eastAsia="Times New Roman" w:hAnsi="Verdana" w:cs="Arial"/>
                <w:b/>
                <w:bCs/>
                <w:sz w:val="16"/>
                <w:szCs w:val="16"/>
                <w:lang w:eastAsia="bg-BG"/>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134697A8" w14:textId="77777777" w:rsidR="00E20873" w:rsidRPr="003F700D" w:rsidRDefault="00E20873" w:rsidP="00E20873">
            <w:pPr>
              <w:rPr>
                <w:rFonts w:ascii="Verdana" w:eastAsia="Times New Roman" w:hAnsi="Verdana" w:cs="Arial"/>
                <w:b/>
                <w:bCs/>
                <w:sz w:val="16"/>
                <w:szCs w:val="16"/>
                <w:lang w:eastAsia="bg-BG"/>
              </w:rPr>
            </w:pPr>
          </w:p>
        </w:tc>
        <w:tc>
          <w:tcPr>
            <w:tcW w:w="1347" w:type="dxa"/>
            <w:tcBorders>
              <w:top w:val="nil"/>
              <w:left w:val="nil"/>
              <w:bottom w:val="single" w:sz="4" w:space="0" w:color="auto"/>
              <w:right w:val="single" w:sz="4" w:space="0" w:color="auto"/>
            </w:tcBorders>
            <w:shd w:val="clear" w:color="auto" w:fill="auto"/>
            <w:hideMark/>
          </w:tcPr>
          <w:p w14:paraId="1634BC09"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2015 = 100</w:t>
            </w:r>
          </w:p>
        </w:tc>
        <w:tc>
          <w:tcPr>
            <w:tcW w:w="1345" w:type="dxa"/>
            <w:tcBorders>
              <w:top w:val="nil"/>
              <w:left w:val="nil"/>
              <w:bottom w:val="single" w:sz="4" w:space="0" w:color="auto"/>
              <w:right w:val="single" w:sz="4" w:space="0" w:color="auto"/>
            </w:tcBorders>
            <w:shd w:val="clear" w:color="auto" w:fill="auto"/>
            <w:hideMark/>
          </w:tcPr>
          <w:p w14:paraId="001E5AFF"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юли 2024 = 100</w:t>
            </w:r>
          </w:p>
        </w:tc>
        <w:tc>
          <w:tcPr>
            <w:tcW w:w="1352" w:type="dxa"/>
            <w:tcBorders>
              <w:top w:val="nil"/>
              <w:left w:val="nil"/>
              <w:bottom w:val="single" w:sz="4" w:space="0" w:color="auto"/>
              <w:right w:val="single" w:sz="4" w:space="0" w:color="auto"/>
            </w:tcBorders>
            <w:shd w:val="clear" w:color="auto" w:fill="auto"/>
            <w:hideMark/>
          </w:tcPr>
          <w:p w14:paraId="2795A52E"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декември 2023 = 100</w:t>
            </w:r>
          </w:p>
        </w:tc>
        <w:tc>
          <w:tcPr>
            <w:tcW w:w="1346" w:type="dxa"/>
            <w:tcBorders>
              <w:top w:val="nil"/>
              <w:left w:val="nil"/>
              <w:bottom w:val="single" w:sz="4" w:space="0" w:color="auto"/>
              <w:right w:val="single" w:sz="4" w:space="0" w:color="auto"/>
            </w:tcBorders>
            <w:shd w:val="clear" w:color="auto" w:fill="auto"/>
            <w:hideMark/>
          </w:tcPr>
          <w:p w14:paraId="32EEA690"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август 2023 = 100</w:t>
            </w:r>
          </w:p>
        </w:tc>
      </w:tr>
      <w:tr w:rsidR="00E20873" w:rsidRPr="003F700D" w14:paraId="74C8309C" w14:textId="77777777" w:rsidTr="00E20873">
        <w:trPr>
          <w:trHeight w:val="255"/>
          <w:jc w:val="center"/>
        </w:trPr>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14:paraId="1730BFE0" w14:textId="77777777" w:rsidR="00E20873" w:rsidRPr="003F700D" w:rsidRDefault="00E20873" w:rsidP="00E20873">
            <w:pPr>
              <w:rPr>
                <w:rFonts w:ascii="Verdana" w:eastAsia="Times New Roman" w:hAnsi="Verdana" w:cs="Arial"/>
                <w:b/>
                <w:bCs/>
                <w:sz w:val="16"/>
                <w:szCs w:val="16"/>
                <w:lang w:eastAsia="bg-BG"/>
              </w:rPr>
            </w:pPr>
          </w:p>
        </w:tc>
        <w:tc>
          <w:tcPr>
            <w:tcW w:w="1351" w:type="dxa"/>
            <w:tcBorders>
              <w:top w:val="nil"/>
              <w:left w:val="nil"/>
              <w:bottom w:val="single" w:sz="4" w:space="0" w:color="auto"/>
              <w:right w:val="single" w:sz="4" w:space="0" w:color="auto"/>
            </w:tcBorders>
            <w:shd w:val="clear" w:color="auto" w:fill="auto"/>
            <w:vAlign w:val="center"/>
            <w:hideMark/>
          </w:tcPr>
          <w:p w14:paraId="443DA408" w14:textId="77777777" w:rsidR="00E20873" w:rsidRPr="003F700D" w:rsidRDefault="00E20873" w:rsidP="00E20873">
            <w:pPr>
              <w:jc w:val="cente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 xml:space="preserve">‰   </w:t>
            </w:r>
          </w:p>
        </w:tc>
        <w:tc>
          <w:tcPr>
            <w:tcW w:w="5390" w:type="dxa"/>
            <w:gridSpan w:val="4"/>
            <w:tcBorders>
              <w:top w:val="single" w:sz="4" w:space="0" w:color="auto"/>
              <w:left w:val="nil"/>
              <w:bottom w:val="single" w:sz="4" w:space="0" w:color="auto"/>
              <w:right w:val="single" w:sz="4" w:space="0" w:color="000000"/>
            </w:tcBorders>
            <w:shd w:val="clear" w:color="auto" w:fill="auto"/>
            <w:hideMark/>
          </w:tcPr>
          <w:p w14:paraId="0BCA8E77" w14:textId="77777777" w:rsidR="00E20873" w:rsidRPr="003F700D" w:rsidRDefault="00E20873" w:rsidP="00E20873">
            <w:pPr>
              <w:jc w:val="cente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w:t>
            </w:r>
          </w:p>
        </w:tc>
      </w:tr>
      <w:tr w:rsidR="00E20873" w:rsidRPr="003F700D" w14:paraId="0B8B1618" w14:textId="77777777" w:rsidTr="00E20873">
        <w:trPr>
          <w:trHeight w:val="225"/>
          <w:jc w:val="center"/>
        </w:trPr>
        <w:tc>
          <w:tcPr>
            <w:tcW w:w="258" w:type="dxa"/>
            <w:tcBorders>
              <w:top w:val="nil"/>
              <w:left w:val="nil"/>
              <w:bottom w:val="nil"/>
              <w:right w:val="nil"/>
            </w:tcBorders>
            <w:shd w:val="clear" w:color="auto" w:fill="auto"/>
            <w:noWrap/>
            <w:hideMark/>
          </w:tcPr>
          <w:p w14:paraId="3EFDD884" w14:textId="77777777" w:rsidR="00E20873" w:rsidRPr="003F700D" w:rsidRDefault="00E20873" w:rsidP="00E20873">
            <w:pP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00</w:t>
            </w:r>
          </w:p>
        </w:tc>
        <w:tc>
          <w:tcPr>
            <w:tcW w:w="3181" w:type="dxa"/>
            <w:tcBorders>
              <w:top w:val="nil"/>
              <w:left w:val="nil"/>
              <w:bottom w:val="nil"/>
              <w:right w:val="nil"/>
            </w:tcBorders>
            <w:shd w:val="clear" w:color="auto" w:fill="auto"/>
            <w:noWrap/>
            <w:hideMark/>
          </w:tcPr>
          <w:p w14:paraId="2B6825EF" w14:textId="77777777" w:rsidR="00E20873" w:rsidRPr="003F700D" w:rsidRDefault="00E20873" w:rsidP="00E20873">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1" w:type="dxa"/>
            <w:tcBorders>
              <w:top w:val="nil"/>
              <w:left w:val="nil"/>
              <w:bottom w:val="nil"/>
              <w:right w:val="nil"/>
            </w:tcBorders>
            <w:shd w:val="clear" w:color="auto" w:fill="auto"/>
            <w:noWrap/>
            <w:vAlign w:val="bottom"/>
            <w:hideMark/>
          </w:tcPr>
          <w:p w14:paraId="5583FD77" w14:textId="77777777" w:rsidR="00E20873" w:rsidRPr="003F700D" w:rsidRDefault="00E20873" w:rsidP="00E20873">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7" w:type="dxa"/>
            <w:tcBorders>
              <w:top w:val="nil"/>
              <w:left w:val="nil"/>
              <w:bottom w:val="nil"/>
              <w:right w:val="nil"/>
            </w:tcBorders>
            <w:shd w:val="clear" w:color="auto" w:fill="auto"/>
            <w:noWrap/>
            <w:vAlign w:val="bottom"/>
            <w:hideMark/>
          </w:tcPr>
          <w:p w14:paraId="439FAE8C" w14:textId="77777777" w:rsidR="00E20873" w:rsidRPr="003F700D" w:rsidRDefault="00E20873" w:rsidP="00E20873">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138.83</w:t>
            </w:r>
          </w:p>
        </w:tc>
        <w:tc>
          <w:tcPr>
            <w:tcW w:w="1345" w:type="dxa"/>
            <w:tcBorders>
              <w:top w:val="nil"/>
              <w:left w:val="nil"/>
              <w:bottom w:val="nil"/>
              <w:right w:val="nil"/>
            </w:tcBorders>
            <w:shd w:val="clear" w:color="auto" w:fill="auto"/>
            <w:noWrap/>
            <w:vAlign w:val="bottom"/>
            <w:hideMark/>
          </w:tcPr>
          <w:p w14:paraId="5FF81569" w14:textId="77777777" w:rsidR="00E20873" w:rsidRPr="003F700D" w:rsidRDefault="00E20873" w:rsidP="00E20873">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100.1</w:t>
            </w:r>
          </w:p>
        </w:tc>
        <w:tc>
          <w:tcPr>
            <w:tcW w:w="1352" w:type="dxa"/>
            <w:tcBorders>
              <w:top w:val="nil"/>
              <w:left w:val="nil"/>
              <w:bottom w:val="nil"/>
              <w:right w:val="nil"/>
            </w:tcBorders>
            <w:shd w:val="clear" w:color="auto" w:fill="auto"/>
            <w:noWrap/>
            <w:vAlign w:val="bottom"/>
            <w:hideMark/>
          </w:tcPr>
          <w:p w14:paraId="4B5A5435" w14:textId="77777777" w:rsidR="00E20873" w:rsidRPr="003F700D" w:rsidRDefault="00E20873" w:rsidP="00E20873">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102.0</w:t>
            </w:r>
          </w:p>
        </w:tc>
        <w:tc>
          <w:tcPr>
            <w:tcW w:w="1346" w:type="dxa"/>
            <w:tcBorders>
              <w:top w:val="nil"/>
              <w:left w:val="nil"/>
              <w:bottom w:val="nil"/>
              <w:right w:val="nil"/>
            </w:tcBorders>
            <w:shd w:val="clear" w:color="auto" w:fill="auto"/>
            <w:noWrap/>
            <w:vAlign w:val="bottom"/>
            <w:hideMark/>
          </w:tcPr>
          <w:p w14:paraId="635D40C8" w14:textId="77777777" w:rsidR="00E20873" w:rsidRPr="003F700D" w:rsidRDefault="00E20873" w:rsidP="00E20873">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102.4</w:t>
            </w:r>
          </w:p>
        </w:tc>
      </w:tr>
      <w:tr w:rsidR="00E20873" w:rsidRPr="003F700D" w14:paraId="3114F300" w14:textId="77777777" w:rsidTr="00E20873">
        <w:trPr>
          <w:trHeight w:val="420"/>
          <w:jc w:val="center"/>
        </w:trPr>
        <w:tc>
          <w:tcPr>
            <w:tcW w:w="258" w:type="dxa"/>
            <w:tcBorders>
              <w:top w:val="nil"/>
              <w:left w:val="nil"/>
              <w:bottom w:val="nil"/>
              <w:right w:val="nil"/>
            </w:tcBorders>
            <w:shd w:val="clear" w:color="auto" w:fill="auto"/>
            <w:noWrap/>
            <w:hideMark/>
          </w:tcPr>
          <w:p w14:paraId="71DB5D99"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01</w:t>
            </w:r>
          </w:p>
        </w:tc>
        <w:tc>
          <w:tcPr>
            <w:tcW w:w="3181" w:type="dxa"/>
            <w:tcBorders>
              <w:top w:val="nil"/>
              <w:left w:val="nil"/>
              <w:bottom w:val="nil"/>
              <w:right w:val="nil"/>
            </w:tcBorders>
            <w:shd w:val="clear" w:color="auto" w:fill="auto"/>
            <w:vAlign w:val="center"/>
            <w:hideMark/>
          </w:tcPr>
          <w:p w14:paraId="07A2B058"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Хранителни продукти и безалкохолни напитки</w:t>
            </w:r>
          </w:p>
        </w:tc>
        <w:tc>
          <w:tcPr>
            <w:tcW w:w="1351" w:type="dxa"/>
            <w:tcBorders>
              <w:top w:val="nil"/>
              <w:left w:val="nil"/>
              <w:bottom w:val="nil"/>
              <w:right w:val="nil"/>
            </w:tcBorders>
            <w:shd w:val="clear" w:color="auto" w:fill="auto"/>
            <w:vAlign w:val="bottom"/>
            <w:hideMark/>
          </w:tcPr>
          <w:p w14:paraId="0753D9E4"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233.022</w:t>
            </w:r>
          </w:p>
        </w:tc>
        <w:tc>
          <w:tcPr>
            <w:tcW w:w="1347" w:type="dxa"/>
            <w:tcBorders>
              <w:top w:val="nil"/>
              <w:left w:val="nil"/>
              <w:bottom w:val="nil"/>
              <w:right w:val="nil"/>
            </w:tcBorders>
            <w:shd w:val="clear" w:color="auto" w:fill="auto"/>
            <w:vAlign w:val="bottom"/>
            <w:hideMark/>
          </w:tcPr>
          <w:p w14:paraId="36DAC2F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170.50</w:t>
            </w:r>
          </w:p>
        </w:tc>
        <w:tc>
          <w:tcPr>
            <w:tcW w:w="1345" w:type="dxa"/>
            <w:tcBorders>
              <w:top w:val="nil"/>
              <w:left w:val="nil"/>
              <w:bottom w:val="nil"/>
              <w:right w:val="nil"/>
            </w:tcBorders>
            <w:shd w:val="clear" w:color="auto" w:fill="auto"/>
            <w:vAlign w:val="bottom"/>
            <w:hideMark/>
          </w:tcPr>
          <w:p w14:paraId="01764DFC"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101.0</w:t>
            </w:r>
          </w:p>
        </w:tc>
        <w:tc>
          <w:tcPr>
            <w:tcW w:w="1352" w:type="dxa"/>
            <w:tcBorders>
              <w:top w:val="nil"/>
              <w:left w:val="nil"/>
              <w:bottom w:val="nil"/>
              <w:right w:val="nil"/>
            </w:tcBorders>
            <w:shd w:val="clear" w:color="auto" w:fill="auto"/>
            <w:vAlign w:val="bottom"/>
            <w:hideMark/>
          </w:tcPr>
          <w:p w14:paraId="329A5E44"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101.9</w:t>
            </w:r>
          </w:p>
        </w:tc>
        <w:tc>
          <w:tcPr>
            <w:tcW w:w="1346" w:type="dxa"/>
            <w:tcBorders>
              <w:top w:val="nil"/>
              <w:left w:val="nil"/>
              <w:bottom w:val="nil"/>
              <w:right w:val="nil"/>
            </w:tcBorders>
            <w:shd w:val="clear" w:color="auto" w:fill="auto"/>
            <w:vAlign w:val="bottom"/>
            <w:hideMark/>
          </w:tcPr>
          <w:p w14:paraId="671F268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102.7</w:t>
            </w:r>
          </w:p>
        </w:tc>
      </w:tr>
      <w:tr w:rsidR="00E20873" w:rsidRPr="003F700D" w14:paraId="6F837C58" w14:textId="77777777" w:rsidTr="00E20873">
        <w:trPr>
          <w:trHeight w:val="420"/>
          <w:jc w:val="center"/>
        </w:trPr>
        <w:tc>
          <w:tcPr>
            <w:tcW w:w="258" w:type="dxa"/>
            <w:tcBorders>
              <w:top w:val="nil"/>
              <w:left w:val="nil"/>
              <w:bottom w:val="nil"/>
              <w:right w:val="nil"/>
            </w:tcBorders>
            <w:shd w:val="clear" w:color="auto" w:fill="auto"/>
            <w:noWrap/>
            <w:hideMark/>
          </w:tcPr>
          <w:p w14:paraId="0BBB17C7"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02</w:t>
            </w:r>
          </w:p>
        </w:tc>
        <w:tc>
          <w:tcPr>
            <w:tcW w:w="3181" w:type="dxa"/>
            <w:tcBorders>
              <w:top w:val="nil"/>
              <w:left w:val="nil"/>
              <w:bottom w:val="nil"/>
              <w:right w:val="nil"/>
            </w:tcBorders>
            <w:shd w:val="clear" w:color="auto" w:fill="auto"/>
            <w:vAlign w:val="center"/>
            <w:hideMark/>
          </w:tcPr>
          <w:p w14:paraId="238BD96E"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Алкохолни напитки и тютюневи изделия</w:t>
            </w:r>
          </w:p>
        </w:tc>
        <w:tc>
          <w:tcPr>
            <w:tcW w:w="1351" w:type="dxa"/>
            <w:tcBorders>
              <w:top w:val="nil"/>
              <w:left w:val="nil"/>
              <w:bottom w:val="nil"/>
              <w:right w:val="nil"/>
            </w:tcBorders>
            <w:shd w:val="clear" w:color="auto" w:fill="auto"/>
            <w:vAlign w:val="bottom"/>
            <w:hideMark/>
          </w:tcPr>
          <w:p w14:paraId="472103E9"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54.937</w:t>
            </w:r>
          </w:p>
        </w:tc>
        <w:tc>
          <w:tcPr>
            <w:tcW w:w="1347" w:type="dxa"/>
            <w:tcBorders>
              <w:top w:val="nil"/>
              <w:left w:val="nil"/>
              <w:bottom w:val="nil"/>
              <w:right w:val="nil"/>
            </w:tcBorders>
            <w:shd w:val="clear" w:color="auto" w:fill="auto"/>
            <w:vAlign w:val="bottom"/>
            <w:hideMark/>
          </w:tcPr>
          <w:p w14:paraId="589FEF4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130.32</w:t>
            </w:r>
          </w:p>
        </w:tc>
        <w:tc>
          <w:tcPr>
            <w:tcW w:w="1345" w:type="dxa"/>
            <w:tcBorders>
              <w:top w:val="nil"/>
              <w:left w:val="nil"/>
              <w:bottom w:val="nil"/>
              <w:right w:val="nil"/>
            </w:tcBorders>
            <w:shd w:val="clear" w:color="auto" w:fill="auto"/>
            <w:vAlign w:val="bottom"/>
            <w:hideMark/>
          </w:tcPr>
          <w:p w14:paraId="0AAAD39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100.3</w:t>
            </w:r>
          </w:p>
        </w:tc>
        <w:tc>
          <w:tcPr>
            <w:tcW w:w="1352" w:type="dxa"/>
            <w:tcBorders>
              <w:top w:val="nil"/>
              <w:left w:val="nil"/>
              <w:bottom w:val="nil"/>
              <w:right w:val="nil"/>
            </w:tcBorders>
            <w:shd w:val="clear" w:color="auto" w:fill="auto"/>
            <w:vAlign w:val="bottom"/>
            <w:hideMark/>
          </w:tcPr>
          <w:p w14:paraId="5683A05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104.2</w:t>
            </w:r>
          </w:p>
        </w:tc>
        <w:tc>
          <w:tcPr>
            <w:tcW w:w="1346" w:type="dxa"/>
            <w:tcBorders>
              <w:top w:val="nil"/>
              <w:left w:val="nil"/>
              <w:bottom w:val="nil"/>
              <w:right w:val="nil"/>
            </w:tcBorders>
            <w:shd w:val="clear" w:color="auto" w:fill="auto"/>
            <w:vAlign w:val="bottom"/>
            <w:hideMark/>
          </w:tcPr>
          <w:p w14:paraId="12AC1A8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105.4</w:t>
            </w:r>
          </w:p>
        </w:tc>
      </w:tr>
      <w:tr w:rsidR="00E20873" w:rsidRPr="003F700D" w14:paraId="3F06797E" w14:textId="77777777" w:rsidTr="00E20873">
        <w:trPr>
          <w:trHeight w:val="225"/>
          <w:jc w:val="center"/>
        </w:trPr>
        <w:tc>
          <w:tcPr>
            <w:tcW w:w="258" w:type="dxa"/>
            <w:tcBorders>
              <w:top w:val="nil"/>
              <w:left w:val="nil"/>
              <w:bottom w:val="nil"/>
              <w:right w:val="nil"/>
            </w:tcBorders>
            <w:shd w:val="clear" w:color="auto" w:fill="auto"/>
            <w:noWrap/>
            <w:vAlign w:val="center"/>
            <w:hideMark/>
          </w:tcPr>
          <w:p w14:paraId="2246361B"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03</w:t>
            </w:r>
          </w:p>
        </w:tc>
        <w:tc>
          <w:tcPr>
            <w:tcW w:w="3181" w:type="dxa"/>
            <w:tcBorders>
              <w:top w:val="nil"/>
              <w:left w:val="nil"/>
              <w:bottom w:val="nil"/>
              <w:right w:val="nil"/>
            </w:tcBorders>
            <w:shd w:val="clear" w:color="auto" w:fill="auto"/>
            <w:vAlign w:val="center"/>
            <w:hideMark/>
          </w:tcPr>
          <w:p w14:paraId="7A966047"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Облекло и обувки</w:t>
            </w:r>
          </w:p>
        </w:tc>
        <w:tc>
          <w:tcPr>
            <w:tcW w:w="1351" w:type="dxa"/>
            <w:tcBorders>
              <w:top w:val="nil"/>
              <w:left w:val="nil"/>
              <w:bottom w:val="nil"/>
              <w:right w:val="nil"/>
            </w:tcBorders>
            <w:shd w:val="clear" w:color="auto" w:fill="auto"/>
            <w:vAlign w:val="center"/>
            <w:hideMark/>
          </w:tcPr>
          <w:p w14:paraId="75F88604"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40.058</w:t>
            </w:r>
          </w:p>
        </w:tc>
        <w:tc>
          <w:tcPr>
            <w:tcW w:w="1347" w:type="dxa"/>
            <w:tcBorders>
              <w:top w:val="nil"/>
              <w:left w:val="nil"/>
              <w:bottom w:val="nil"/>
              <w:right w:val="nil"/>
            </w:tcBorders>
            <w:shd w:val="clear" w:color="auto" w:fill="auto"/>
            <w:vAlign w:val="center"/>
            <w:hideMark/>
          </w:tcPr>
          <w:p w14:paraId="5A3A3BF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102.57</w:t>
            </w:r>
          </w:p>
        </w:tc>
        <w:tc>
          <w:tcPr>
            <w:tcW w:w="1345" w:type="dxa"/>
            <w:tcBorders>
              <w:top w:val="nil"/>
              <w:left w:val="nil"/>
              <w:bottom w:val="nil"/>
              <w:right w:val="nil"/>
            </w:tcBorders>
            <w:shd w:val="clear" w:color="auto" w:fill="auto"/>
            <w:vAlign w:val="center"/>
            <w:hideMark/>
          </w:tcPr>
          <w:p w14:paraId="071B5DF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96.9</w:t>
            </w:r>
          </w:p>
        </w:tc>
        <w:tc>
          <w:tcPr>
            <w:tcW w:w="1352" w:type="dxa"/>
            <w:tcBorders>
              <w:top w:val="nil"/>
              <w:left w:val="nil"/>
              <w:bottom w:val="nil"/>
              <w:right w:val="nil"/>
            </w:tcBorders>
            <w:shd w:val="clear" w:color="auto" w:fill="auto"/>
            <w:vAlign w:val="center"/>
            <w:hideMark/>
          </w:tcPr>
          <w:p w14:paraId="3FF030B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92.9</w:t>
            </w:r>
          </w:p>
        </w:tc>
        <w:tc>
          <w:tcPr>
            <w:tcW w:w="1346" w:type="dxa"/>
            <w:tcBorders>
              <w:top w:val="nil"/>
              <w:left w:val="nil"/>
              <w:bottom w:val="nil"/>
              <w:right w:val="nil"/>
            </w:tcBorders>
            <w:shd w:val="clear" w:color="auto" w:fill="auto"/>
            <w:vAlign w:val="center"/>
            <w:hideMark/>
          </w:tcPr>
          <w:p w14:paraId="7C896C2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97.4</w:t>
            </w:r>
          </w:p>
        </w:tc>
      </w:tr>
      <w:tr w:rsidR="00E20873" w:rsidRPr="003F700D" w14:paraId="7B6ED1DE" w14:textId="77777777" w:rsidTr="00E20873">
        <w:trPr>
          <w:trHeight w:val="450"/>
          <w:jc w:val="center"/>
        </w:trPr>
        <w:tc>
          <w:tcPr>
            <w:tcW w:w="258" w:type="dxa"/>
            <w:tcBorders>
              <w:top w:val="nil"/>
              <w:left w:val="nil"/>
              <w:bottom w:val="nil"/>
              <w:right w:val="nil"/>
            </w:tcBorders>
            <w:shd w:val="clear" w:color="auto" w:fill="auto"/>
            <w:noWrap/>
            <w:hideMark/>
          </w:tcPr>
          <w:p w14:paraId="766FBD7F"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04</w:t>
            </w:r>
          </w:p>
        </w:tc>
        <w:tc>
          <w:tcPr>
            <w:tcW w:w="3181" w:type="dxa"/>
            <w:tcBorders>
              <w:top w:val="nil"/>
              <w:left w:val="nil"/>
              <w:bottom w:val="nil"/>
              <w:right w:val="nil"/>
            </w:tcBorders>
            <w:shd w:val="clear" w:color="auto" w:fill="auto"/>
            <w:vAlign w:val="center"/>
            <w:hideMark/>
          </w:tcPr>
          <w:p w14:paraId="37C5B277"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Жилища, вода, електроенергия, газ и други горива</w:t>
            </w:r>
          </w:p>
        </w:tc>
        <w:tc>
          <w:tcPr>
            <w:tcW w:w="1351" w:type="dxa"/>
            <w:tcBorders>
              <w:top w:val="nil"/>
              <w:left w:val="nil"/>
              <w:bottom w:val="nil"/>
              <w:right w:val="nil"/>
            </w:tcBorders>
            <w:shd w:val="clear" w:color="auto" w:fill="auto"/>
            <w:vAlign w:val="bottom"/>
            <w:hideMark/>
          </w:tcPr>
          <w:p w14:paraId="365C467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119.313</w:t>
            </w:r>
          </w:p>
        </w:tc>
        <w:tc>
          <w:tcPr>
            <w:tcW w:w="1347" w:type="dxa"/>
            <w:tcBorders>
              <w:top w:val="nil"/>
              <w:left w:val="nil"/>
              <w:bottom w:val="nil"/>
              <w:right w:val="nil"/>
            </w:tcBorders>
            <w:shd w:val="clear" w:color="auto" w:fill="auto"/>
            <w:vAlign w:val="bottom"/>
            <w:hideMark/>
          </w:tcPr>
          <w:p w14:paraId="0D08F94A"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150.29</w:t>
            </w:r>
          </w:p>
        </w:tc>
        <w:tc>
          <w:tcPr>
            <w:tcW w:w="1345" w:type="dxa"/>
            <w:tcBorders>
              <w:top w:val="nil"/>
              <w:left w:val="nil"/>
              <w:bottom w:val="nil"/>
              <w:right w:val="nil"/>
            </w:tcBorders>
            <w:shd w:val="clear" w:color="auto" w:fill="auto"/>
            <w:vAlign w:val="bottom"/>
            <w:hideMark/>
          </w:tcPr>
          <w:p w14:paraId="2C50312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bottom"/>
            <w:hideMark/>
          </w:tcPr>
          <w:p w14:paraId="1B7956AB"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101.5</w:t>
            </w:r>
          </w:p>
        </w:tc>
        <w:tc>
          <w:tcPr>
            <w:tcW w:w="1346" w:type="dxa"/>
            <w:tcBorders>
              <w:top w:val="nil"/>
              <w:left w:val="nil"/>
              <w:bottom w:val="nil"/>
              <w:right w:val="nil"/>
            </w:tcBorders>
            <w:shd w:val="clear" w:color="auto" w:fill="auto"/>
            <w:vAlign w:val="bottom"/>
            <w:hideMark/>
          </w:tcPr>
          <w:p w14:paraId="18FEA0E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102.6</w:t>
            </w:r>
          </w:p>
        </w:tc>
      </w:tr>
      <w:tr w:rsidR="00E20873" w:rsidRPr="003F700D" w14:paraId="10F123C6" w14:textId="77777777" w:rsidTr="00E20873">
        <w:trPr>
          <w:trHeight w:val="720"/>
          <w:jc w:val="center"/>
        </w:trPr>
        <w:tc>
          <w:tcPr>
            <w:tcW w:w="258" w:type="dxa"/>
            <w:tcBorders>
              <w:top w:val="nil"/>
              <w:left w:val="nil"/>
              <w:bottom w:val="nil"/>
              <w:right w:val="nil"/>
            </w:tcBorders>
            <w:shd w:val="clear" w:color="auto" w:fill="auto"/>
            <w:noWrap/>
            <w:hideMark/>
          </w:tcPr>
          <w:p w14:paraId="657634B2"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05</w:t>
            </w:r>
          </w:p>
        </w:tc>
        <w:tc>
          <w:tcPr>
            <w:tcW w:w="3181" w:type="dxa"/>
            <w:tcBorders>
              <w:top w:val="nil"/>
              <w:left w:val="nil"/>
              <w:bottom w:val="nil"/>
              <w:right w:val="nil"/>
            </w:tcBorders>
            <w:shd w:val="clear" w:color="auto" w:fill="auto"/>
            <w:vAlign w:val="center"/>
            <w:hideMark/>
          </w:tcPr>
          <w:p w14:paraId="02D08508"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1" w:type="dxa"/>
            <w:tcBorders>
              <w:top w:val="nil"/>
              <w:left w:val="nil"/>
              <w:bottom w:val="nil"/>
              <w:right w:val="nil"/>
            </w:tcBorders>
            <w:shd w:val="clear" w:color="auto" w:fill="auto"/>
            <w:vAlign w:val="bottom"/>
            <w:hideMark/>
          </w:tcPr>
          <w:p w14:paraId="148C3AC2"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69.103</w:t>
            </w:r>
          </w:p>
        </w:tc>
        <w:tc>
          <w:tcPr>
            <w:tcW w:w="1347" w:type="dxa"/>
            <w:tcBorders>
              <w:top w:val="nil"/>
              <w:left w:val="nil"/>
              <w:bottom w:val="nil"/>
              <w:right w:val="nil"/>
            </w:tcBorders>
            <w:shd w:val="clear" w:color="auto" w:fill="auto"/>
            <w:vAlign w:val="bottom"/>
            <w:hideMark/>
          </w:tcPr>
          <w:p w14:paraId="62B6D674"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125.96</w:t>
            </w:r>
          </w:p>
        </w:tc>
        <w:tc>
          <w:tcPr>
            <w:tcW w:w="1345" w:type="dxa"/>
            <w:tcBorders>
              <w:top w:val="nil"/>
              <w:left w:val="nil"/>
              <w:bottom w:val="nil"/>
              <w:right w:val="nil"/>
            </w:tcBorders>
            <w:shd w:val="clear" w:color="auto" w:fill="auto"/>
            <w:vAlign w:val="bottom"/>
            <w:hideMark/>
          </w:tcPr>
          <w:p w14:paraId="1B4E16E8"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bottom"/>
            <w:hideMark/>
          </w:tcPr>
          <w:p w14:paraId="1DD171F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100.1</w:t>
            </w:r>
          </w:p>
        </w:tc>
        <w:tc>
          <w:tcPr>
            <w:tcW w:w="1346" w:type="dxa"/>
            <w:tcBorders>
              <w:top w:val="nil"/>
              <w:left w:val="nil"/>
              <w:bottom w:val="nil"/>
              <w:right w:val="nil"/>
            </w:tcBorders>
            <w:shd w:val="clear" w:color="auto" w:fill="auto"/>
            <w:vAlign w:val="bottom"/>
            <w:hideMark/>
          </w:tcPr>
          <w:p w14:paraId="070CCBBF"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100.7</w:t>
            </w:r>
          </w:p>
        </w:tc>
      </w:tr>
      <w:tr w:rsidR="00E20873" w:rsidRPr="003F700D" w14:paraId="3449022B" w14:textId="77777777" w:rsidTr="00E20873">
        <w:trPr>
          <w:trHeight w:val="225"/>
          <w:jc w:val="center"/>
        </w:trPr>
        <w:tc>
          <w:tcPr>
            <w:tcW w:w="258" w:type="dxa"/>
            <w:tcBorders>
              <w:top w:val="nil"/>
              <w:left w:val="nil"/>
              <w:bottom w:val="nil"/>
              <w:right w:val="nil"/>
            </w:tcBorders>
            <w:shd w:val="clear" w:color="auto" w:fill="auto"/>
            <w:noWrap/>
            <w:vAlign w:val="center"/>
            <w:hideMark/>
          </w:tcPr>
          <w:p w14:paraId="0DF61E0D"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06</w:t>
            </w:r>
          </w:p>
        </w:tc>
        <w:tc>
          <w:tcPr>
            <w:tcW w:w="3181" w:type="dxa"/>
            <w:tcBorders>
              <w:top w:val="nil"/>
              <w:left w:val="nil"/>
              <w:bottom w:val="nil"/>
              <w:right w:val="nil"/>
            </w:tcBorders>
            <w:shd w:val="clear" w:color="auto" w:fill="auto"/>
            <w:vAlign w:val="center"/>
            <w:hideMark/>
          </w:tcPr>
          <w:p w14:paraId="35EB9843"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Здравеопазване</w:t>
            </w:r>
          </w:p>
        </w:tc>
        <w:tc>
          <w:tcPr>
            <w:tcW w:w="1351" w:type="dxa"/>
            <w:tcBorders>
              <w:top w:val="nil"/>
              <w:left w:val="nil"/>
              <w:bottom w:val="nil"/>
              <w:right w:val="nil"/>
            </w:tcBorders>
            <w:shd w:val="clear" w:color="auto" w:fill="auto"/>
            <w:vAlign w:val="center"/>
            <w:hideMark/>
          </w:tcPr>
          <w:p w14:paraId="2A3D1D61"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74.193</w:t>
            </w:r>
          </w:p>
        </w:tc>
        <w:tc>
          <w:tcPr>
            <w:tcW w:w="1347" w:type="dxa"/>
            <w:tcBorders>
              <w:top w:val="nil"/>
              <w:left w:val="nil"/>
              <w:bottom w:val="nil"/>
              <w:right w:val="nil"/>
            </w:tcBorders>
            <w:shd w:val="clear" w:color="auto" w:fill="auto"/>
            <w:vAlign w:val="center"/>
            <w:hideMark/>
          </w:tcPr>
          <w:p w14:paraId="059CE051"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124.93</w:t>
            </w:r>
          </w:p>
        </w:tc>
        <w:tc>
          <w:tcPr>
            <w:tcW w:w="1345" w:type="dxa"/>
            <w:tcBorders>
              <w:top w:val="nil"/>
              <w:left w:val="nil"/>
              <w:bottom w:val="nil"/>
              <w:right w:val="nil"/>
            </w:tcBorders>
            <w:shd w:val="clear" w:color="auto" w:fill="auto"/>
            <w:vAlign w:val="center"/>
            <w:hideMark/>
          </w:tcPr>
          <w:p w14:paraId="6E56413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center"/>
            <w:hideMark/>
          </w:tcPr>
          <w:p w14:paraId="7E11BBB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100.8</w:t>
            </w:r>
          </w:p>
        </w:tc>
        <w:tc>
          <w:tcPr>
            <w:tcW w:w="1346" w:type="dxa"/>
            <w:tcBorders>
              <w:top w:val="nil"/>
              <w:left w:val="nil"/>
              <w:bottom w:val="nil"/>
              <w:right w:val="nil"/>
            </w:tcBorders>
            <w:shd w:val="clear" w:color="auto" w:fill="auto"/>
            <w:vAlign w:val="center"/>
            <w:hideMark/>
          </w:tcPr>
          <w:p w14:paraId="095C4829"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102.2</w:t>
            </w:r>
          </w:p>
        </w:tc>
      </w:tr>
      <w:tr w:rsidR="00E20873" w:rsidRPr="003F700D" w14:paraId="09B03FFD" w14:textId="77777777" w:rsidTr="00E20873">
        <w:trPr>
          <w:trHeight w:val="225"/>
          <w:jc w:val="center"/>
        </w:trPr>
        <w:tc>
          <w:tcPr>
            <w:tcW w:w="258" w:type="dxa"/>
            <w:tcBorders>
              <w:top w:val="nil"/>
              <w:left w:val="nil"/>
              <w:bottom w:val="nil"/>
              <w:right w:val="nil"/>
            </w:tcBorders>
            <w:shd w:val="clear" w:color="auto" w:fill="auto"/>
            <w:noWrap/>
            <w:vAlign w:val="center"/>
            <w:hideMark/>
          </w:tcPr>
          <w:p w14:paraId="6FE50B14"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07</w:t>
            </w:r>
          </w:p>
        </w:tc>
        <w:tc>
          <w:tcPr>
            <w:tcW w:w="3181" w:type="dxa"/>
            <w:tcBorders>
              <w:top w:val="nil"/>
              <w:left w:val="nil"/>
              <w:bottom w:val="nil"/>
              <w:right w:val="nil"/>
            </w:tcBorders>
            <w:shd w:val="clear" w:color="auto" w:fill="auto"/>
            <w:vAlign w:val="center"/>
            <w:hideMark/>
          </w:tcPr>
          <w:p w14:paraId="40E6E7D7"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Транспорт</w:t>
            </w:r>
          </w:p>
        </w:tc>
        <w:tc>
          <w:tcPr>
            <w:tcW w:w="1351" w:type="dxa"/>
            <w:tcBorders>
              <w:top w:val="nil"/>
              <w:left w:val="nil"/>
              <w:bottom w:val="nil"/>
              <w:right w:val="nil"/>
            </w:tcBorders>
            <w:shd w:val="clear" w:color="auto" w:fill="auto"/>
            <w:vAlign w:val="center"/>
            <w:hideMark/>
          </w:tcPr>
          <w:p w14:paraId="7558FA6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139.919</w:t>
            </w:r>
          </w:p>
        </w:tc>
        <w:tc>
          <w:tcPr>
            <w:tcW w:w="1347" w:type="dxa"/>
            <w:tcBorders>
              <w:top w:val="nil"/>
              <w:left w:val="nil"/>
              <w:bottom w:val="nil"/>
              <w:right w:val="nil"/>
            </w:tcBorders>
            <w:shd w:val="clear" w:color="auto" w:fill="auto"/>
            <w:vAlign w:val="center"/>
            <w:hideMark/>
          </w:tcPr>
          <w:p w14:paraId="718AE5FB"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122.21</w:t>
            </w:r>
          </w:p>
        </w:tc>
        <w:tc>
          <w:tcPr>
            <w:tcW w:w="1345" w:type="dxa"/>
            <w:tcBorders>
              <w:top w:val="nil"/>
              <w:left w:val="nil"/>
              <w:bottom w:val="nil"/>
              <w:right w:val="nil"/>
            </w:tcBorders>
            <w:shd w:val="clear" w:color="auto" w:fill="auto"/>
            <w:vAlign w:val="center"/>
            <w:hideMark/>
          </w:tcPr>
          <w:p w14:paraId="78A5C099"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99.6</w:t>
            </w:r>
          </w:p>
        </w:tc>
        <w:tc>
          <w:tcPr>
            <w:tcW w:w="1352" w:type="dxa"/>
            <w:tcBorders>
              <w:top w:val="nil"/>
              <w:left w:val="nil"/>
              <w:bottom w:val="nil"/>
              <w:right w:val="nil"/>
            </w:tcBorders>
            <w:shd w:val="clear" w:color="auto" w:fill="auto"/>
            <w:vAlign w:val="center"/>
            <w:hideMark/>
          </w:tcPr>
          <w:p w14:paraId="09DA958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101.4</w:t>
            </w:r>
          </w:p>
        </w:tc>
        <w:tc>
          <w:tcPr>
            <w:tcW w:w="1346" w:type="dxa"/>
            <w:tcBorders>
              <w:top w:val="nil"/>
              <w:left w:val="nil"/>
              <w:bottom w:val="nil"/>
              <w:right w:val="nil"/>
            </w:tcBorders>
            <w:shd w:val="clear" w:color="auto" w:fill="auto"/>
            <w:vAlign w:val="center"/>
            <w:hideMark/>
          </w:tcPr>
          <w:p w14:paraId="21A673AC"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101.4</w:t>
            </w:r>
          </w:p>
        </w:tc>
      </w:tr>
      <w:tr w:rsidR="00E20873" w:rsidRPr="003F700D" w14:paraId="5F8183C3" w14:textId="77777777" w:rsidTr="00E20873">
        <w:trPr>
          <w:trHeight w:val="225"/>
          <w:jc w:val="center"/>
        </w:trPr>
        <w:tc>
          <w:tcPr>
            <w:tcW w:w="258" w:type="dxa"/>
            <w:tcBorders>
              <w:top w:val="nil"/>
              <w:left w:val="nil"/>
              <w:bottom w:val="nil"/>
              <w:right w:val="nil"/>
            </w:tcBorders>
            <w:shd w:val="clear" w:color="auto" w:fill="auto"/>
            <w:noWrap/>
            <w:vAlign w:val="center"/>
            <w:hideMark/>
          </w:tcPr>
          <w:p w14:paraId="499390B8"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08</w:t>
            </w:r>
          </w:p>
        </w:tc>
        <w:tc>
          <w:tcPr>
            <w:tcW w:w="3181" w:type="dxa"/>
            <w:tcBorders>
              <w:top w:val="nil"/>
              <w:left w:val="nil"/>
              <w:bottom w:val="nil"/>
              <w:right w:val="nil"/>
            </w:tcBorders>
            <w:shd w:val="clear" w:color="auto" w:fill="auto"/>
            <w:vAlign w:val="center"/>
            <w:hideMark/>
          </w:tcPr>
          <w:p w14:paraId="3D23CB72"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Съобщения</w:t>
            </w:r>
          </w:p>
        </w:tc>
        <w:tc>
          <w:tcPr>
            <w:tcW w:w="1351" w:type="dxa"/>
            <w:tcBorders>
              <w:top w:val="nil"/>
              <w:left w:val="nil"/>
              <w:bottom w:val="nil"/>
              <w:right w:val="nil"/>
            </w:tcBorders>
            <w:shd w:val="clear" w:color="auto" w:fill="auto"/>
            <w:vAlign w:val="center"/>
            <w:hideMark/>
          </w:tcPr>
          <w:p w14:paraId="21409DC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49.875</w:t>
            </w:r>
          </w:p>
        </w:tc>
        <w:tc>
          <w:tcPr>
            <w:tcW w:w="1347" w:type="dxa"/>
            <w:tcBorders>
              <w:top w:val="nil"/>
              <w:left w:val="nil"/>
              <w:bottom w:val="nil"/>
              <w:right w:val="nil"/>
            </w:tcBorders>
            <w:shd w:val="clear" w:color="auto" w:fill="auto"/>
            <w:vAlign w:val="center"/>
            <w:hideMark/>
          </w:tcPr>
          <w:p w14:paraId="46F161B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90.21</w:t>
            </w:r>
          </w:p>
        </w:tc>
        <w:tc>
          <w:tcPr>
            <w:tcW w:w="1345" w:type="dxa"/>
            <w:tcBorders>
              <w:top w:val="nil"/>
              <w:left w:val="nil"/>
              <w:bottom w:val="nil"/>
              <w:right w:val="nil"/>
            </w:tcBorders>
            <w:shd w:val="clear" w:color="auto" w:fill="auto"/>
            <w:vAlign w:val="center"/>
            <w:hideMark/>
          </w:tcPr>
          <w:p w14:paraId="353F5AF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100.2</w:t>
            </w:r>
          </w:p>
        </w:tc>
        <w:tc>
          <w:tcPr>
            <w:tcW w:w="1352" w:type="dxa"/>
            <w:tcBorders>
              <w:top w:val="nil"/>
              <w:left w:val="nil"/>
              <w:bottom w:val="nil"/>
              <w:right w:val="nil"/>
            </w:tcBorders>
            <w:shd w:val="clear" w:color="auto" w:fill="auto"/>
            <w:vAlign w:val="center"/>
            <w:hideMark/>
          </w:tcPr>
          <w:p w14:paraId="5A917E42"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96.0</w:t>
            </w:r>
          </w:p>
        </w:tc>
        <w:tc>
          <w:tcPr>
            <w:tcW w:w="1346" w:type="dxa"/>
            <w:tcBorders>
              <w:top w:val="nil"/>
              <w:left w:val="nil"/>
              <w:bottom w:val="nil"/>
              <w:right w:val="nil"/>
            </w:tcBorders>
            <w:shd w:val="clear" w:color="auto" w:fill="auto"/>
            <w:vAlign w:val="center"/>
            <w:hideMark/>
          </w:tcPr>
          <w:p w14:paraId="1AA5A396"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95.7</w:t>
            </w:r>
          </w:p>
        </w:tc>
      </w:tr>
      <w:tr w:rsidR="00E20873" w:rsidRPr="003F700D" w14:paraId="719213B4" w14:textId="77777777" w:rsidTr="00E20873">
        <w:trPr>
          <w:trHeight w:val="225"/>
          <w:jc w:val="center"/>
        </w:trPr>
        <w:tc>
          <w:tcPr>
            <w:tcW w:w="258" w:type="dxa"/>
            <w:tcBorders>
              <w:top w:val="nil"/>
              <w:left w:val="nil"/>
              <w:bottom w:val="nil"/>
              <w:right w:val="nil"/>
            </w:tcBorders>
            <w:shd w:val="clear" w:color="auto" w:fill="auto"/>
            <w:noWrap/>
            <w:vAlign w:val="center"/>
            <w:hideMark/>
          </w:tcPr>
          <w:p w14:paraId="06A8BA9E"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09</w:t>
            </w:r>
          </w:p>
        </w:tc>
        <w:tc>
          <w:tcPr>
            <w:tcW w:w="3181" w:type="dxa"/>
            <w:tcBorders>
              <w:top w:val="nil"/>
              <w:left w:val="nil"/>
              <w:bottom w:val="nil"/>
              <w:right w:val="nil"/>
            </w:tcBorders>
            <w:shd w:val="clear" w:color="auto" w:fill="auto"/>
            <w:vAlign w:val="center"/>
            <w:hideMark/>
          </w:tcPr>
          <w:p w14:paraId="120BECA9"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Развлечения и култура</w:t>
            </w:r>
          </w:p>
        </w:tc>
        <w:tc>
          <w:tcPr>
            <w:tcW w:w="1351" w:type="dxa"/>
            <w:tcBorders>
              <w:top w:val="nil"/>
              <w:left w:val="nil"/>
              <w:bottom w:val="nil"/>
              <w:right w:val="nil"/>
            </w:tcBorders>
            <w:shd w:val="clear" w:color="auto" w:fill="auto"/>
            <w:vAlign w:val="center"/>
            <w:hideMark/>
          </w:tcPr>
          <w:p w14:paraId="6E82B7C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64.537</w:t>
            </w:r>
          </w:p>
        </w:tc>
        <w:tc>
          <w:tcPr>
            <w:tcW w:w="1347" w:type="dxa"/>
            <w:tcBorders>
              <w:top w:val="nil"/>
              <w:left w:val="nil"/>
              <w:bottom w:val="nil"/>
              <w:right w:val="nil"/>
            </w:tcBorders>
            <w:shd w:val="clear" w:color="auto" w:fill="auto"/>
            <w:vAlign w:val="center"/>
            <w:hideMark/>
          </w:tcPr>
          <w:p w14:paraId="27D149D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123.02</w:t>
            </w:r>
          </w:p>
        </w:tc>
        <w:tc>
          <w:tcPr>
            <w:tcW w:w="1345" w:type="dxa"/>
            <w:tcBorders>
              <w:top w:val="nil"/>
              <w:left w:val="nil"/>
              <w:bottom w:val="nil"/>
              <w:right w:val="nil"/>
            </w:tcBorders>
            <w:shd w:val="clear" w:color="auto" w:fill="auto"/>
            <w:vAlign w:val="center"/>
            <w:hideMark/>
          </w:tcPr>
          <w:p w14:paraId="2309F94C"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100.2</w:t>
            </w:r>
          </w:p>
        </w:tc>
        <w:tc>
          <w:tcPr>
            <w:tcW w:w="1352" w:type="dxa"/>
            <w:tcBorders>
              <w:top w:val="nil"/>
              <w:left w:val="nil"/>
              <w:bottom w:val="nil"/>
              <w:right w:val="nil"/>
            </w:tcBorders>
            <w:shd w:val="clear" w:color="auto" w:fill="auto"/>
            <w:vAlign w:val="center"/>
            <w:hideMark/>
          </w:tcPr>
          <w:p w14:paraId="50ADA3B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100.4</w:t>
            </w:r>
          </w:p>
        </w:tc>
        <w:tc>
          <w:tcPr>
            <w:tcW w:w="1346" w:type="dxa"/>
            <w:tcBorders>
              <w:top w:val="nil"/>
              <w:left w:val="nil"/>
              <w:bottom w:val="nil"/>
              <w:right w:val="nil"/>
            </w:tcBorders>
            <w:shd w:val="clear" w:color="auto" w:fill="auto"/>
            <w:vAlign w:val="center"/>
            <w:hideMark/>
          </w:tcPr>
          <w:p w14:paraId="306D70E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100.3</w:t>
            </w:r>
          </w:p>
        </w:tc>
      </w:tr>
      <w:tr w:rsidR="00E20873" w:rsidRPr="003F700D" w14:paraId="4E20C6E5" w14:textId="77777777" w:rsidTr="00E20873">
        <w:trPr>
          <w:trHeight w:val="225"/>
          <w:jc w:val="center"/>
        </w:trPr>
        <w:tc>
          <w:tcPr>
            <w:tcW w:w="258" w:type="dxa"/>
            <w:tcBorders>
              <w:top w:val="nil"/>
              <w:left w:val="nil"/>
              <w:bottom w:val="nil"/>
              <w:right w:val="nil"/>
            </w:tcBorders>
            <w:shd w:val="clear" w:color="auto" w:fill="auto"/>
            <w:noWrap/>
            <w:vAlign w:val="center"/>
            <w:hideMark/>
          </w:tcPr>
          <w:p w14:paraId="0C0AD7E8"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10</w:t>
            </w:r>
          </w:p>
        </w:tc>
        <w:tc>
          <w:tcPr>
            <w:tcW w:w="3181" w:type="dxa"/>
            <w:tcBorders>
              <w:top w:val="nil"/>
              <w:left w:val="nil"/>
              <w:bottom w:val="nil"/>
              <w:right w:val="nil"/>
            </w:tcBorders>
            <w:shd w:val="clear" w:color="auto" w:fill="auto"/>
            <w:vAlign w:val="center"/>
            <w:hideMark/>
          </w:tcPr>
          <w:p w14:paraId="170987F8"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Образование</w:t>
            </w:r>
          </w:p>
        </w:tc>
        <w:tc>
          <w:tcPr>
            <w:tcW w:w="1351" w:type="dxa"/>
            <w:tcBorders>
              <w:top w:val="nil"/>
              <w:left w:val="nil"/>
              <w:bottom w:val="nil"/>
              <w:right w:val="nil"/>
            </w:tcBorders>
            <w:shd w:val="clear" w:color="auto" w:fill="auto"/>
            <w:vAlign w:val="center"/>
            <w:hideMark/>
          </w:tcPr>
          <w:p w14:paraId="63B200C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16.929</w:t>
            </w:r>
          </w:p>
        </w:tc>
        <w:tc>
          <w:tcPr>
            <w:tcW w:w="1347" w:type="dxa"/>
            <w:tcBorders>
              <w:top w:val="nil"/>
              <w:left w:val="nil"/>
              <w:bottom w:val="nil"/>
              <w:right w:val="nil"/>
            </w:tcBorders>
            <w:shd w:val="clear" w:color="auto" w:fill="auto"/>
            <w:vAlign w:val="center"/>
            <w:hideMark/>
          </w:tcPr>
          <w:p w14:paraId="3ED470F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152.05</w:t>
            </w:r>
          </w:p>
        </w:tc>
        <w:tc>
          <w:tcPr>
            <w:tcW w:w="1345" w:type="dxa"/>
            <w:tcBorders>
              <w:top w:val="nil"/>
              <w:left w:val="nil"/>
              <w:bottom w:val="nil"/>
              <w:right w:val="nil"/>
            </w:tcBorders>
            <w:shd w:val="clear" w:color="auto" w:fill="auto"/>
            <w:vAlign w:val="center"/>
            <w:hideMark/>
          </w:tcPr>
          <w:p w14:paraId="76FD8C3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center"/>
            <w:hideMark/>
          </w:tcPr>
          <w:p w14:paraId="77F807F1"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101.4</w:t>
            </w:r>
          </w:p>
        </w:tc>
        <w:tc>
          <w:tcPr>
            <w:tcW w:w="1346" w:type="dxa"/>
            <w:tcBorders>
              <w:top w:val="nil"/>
              <w:left w:val="nil"/>
              <w:bottom w:val="nil"/>
              <w:right w:val="nil"/>
            </w:tcBorders>
            <w:shd w:val="clear" w:color="auto" w:fill="auto"/>
            <w:vAlign w:val="center"/>
            <w:hideMark/>
          </w:tcPr>
          <w:p w14:paraId="0155A828"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106.6</w:t>
            </w:r>
          </w:p>
        </w:tc>
      </w:tr>
      <w:tr w:rsidR="00E20873" w:rsidRPr="003F700D" w14:paraId="0414AC8B" w14:textId="77777777" w:rsidTr="00E20873">
        <w:trPr>
          <w:trHeight w:val="225"/>
          <w:jc w:val="center"/>
        </w:trPr>
        <w:tc>
          <w:tcPr>
            <w:tcW w:w="258" w:type="dxa"/>
            <w:tcBorders>
              <w:top w:val="nil"/>
              <w:left w:val="nil"/>
              <w:bottom w:val="nil"/>
              <w:right w:val="nil"/>
            </w:tcBorders>
            <w:shd w:val="clear" w:color="auto" w:fill="auto"/>
            <w:noWrap/>
            <w:vAlign w:val="center"/>
            <w:hideMark/>
          </w:tcPr>
          <w:p w14:paraId="5A7B1A27"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11</w:t>
            </w:r>
          </w:p>
        </w:tc>
        <w:tc>
          <w:tcPr>
            <w:tcW w:w="3181" w:type="dxa"/>
            <w:tcBorders>
              <w:top w:val="nil"/>
              <w:left w:val="nil"/>
              <w:bottom w:val="nil"/>
              <w:right w:val="nil"/>
            </w:tcBorders>
            <w:shd w:val="clear" w:color="auto" w:fill="auto"/>
            <w:vAlign w:val="center"/>
            <w:hideMark/>
          </w:tcPr>
          <w:p w14:paraId="3FA7431A"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Ресторанти и хотели</w:t>
            </w:r>
          </w:p>
        </w:tc>
        <w:tc>
          <w:tcPr>
            <w:tcW w:w="1351" w:type="dxa"/>
            <w:tcBorders>
              <w:top w:val="nil"/>
              <w:left w:val="nil"/>
              <w:bottom w:val="nil"/>
              <w:right w:val="nil"/>
            </w:tcBorders>
            <w:shd w:val="clear" w:color="auto" w:fill="auto"/>
            <w:vAlign w:val="center"/>
            <w:hideMark/>
          </w:tcPr>
          <w:p w14:paraId="0EC61CBB"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80.188</w:t>
            </w:r>
          </w:p>
        </w:tc>
        <w:tc>
          <w:tcPr>
            <w:tcW w:w="1347" w:type="dxa"/>
            <w:tcBorders>
              <w:top w:val="nil"/>
              <w:left w:val="nil"/>
              <w:bottom w:val="nil"/>
              <w:right w:val="nil"/>
            </w:tcBorders>
            <w:shd w:val="clear" w:color="auto" w:fill="auto"/>
            <w:vAlign w:val="center"/>
            <w:hideMark/>
          </w:tcPr>
          <w:p w14:paraId="6148F511"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182.65</w:t>
            </w:r>
          </w:p>
        </w:tc>
        <w:tc>
          <w:tcPr>
            <w:tcW w:w="1345" w:type="dxa"/>
            <w:tcBorders>
              <w:top w:val="nil"/>
              <w:left w:val="nil"/>
              <w:bottom w:val="nil"/>
              <w:right w:val="nil"/>
            </w:tcBorders>
            <w:shd w:val="clear" w:color="auto" w:fill="auto"/>
            <w:vAlign w:val="center"/>
            <w:hideMark/>
          </w:tcPr>
          <w:p w14:paraId="46EE83CA"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99.2</w:t>
            </w:r>
          </w:p>
        </w:tc>
        <w:tc>
          <w:tcPr>
            <w:tcW w:w="1352" w:type="dxa"/>
            <w:tcBorders>
              <w:top w:val="nil"/>
              <w:left w:val="nil"/>
              <w:bottom w:val="nil"/>
              <w:right w:val="nil"/>
            </w:tcBorders>
            <w:shd w:val="clear" w:color="auto" w:fill="auto"/>
            <w:vAlign w:val="center"/>
            <w:hideMark/>
          </w:tcPr>
          <w:p w14:paraId="4742A47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114.1</w:t>
            </w:r>
          </w:p>
        </w:tc>
        <w:tc>
          <w:tcPr>
            <w:tcW w:w="1346" w:type="dxa"/>
            <w:tcBorders>
              <w:top w:val="nil"/>
              <w:left w:val="nil"/>
              <w:bottom w:val="nil"/>
              <w:right w:val="nil"/>
            </w:tcBorders>
            <w:shd w:val="clear" w:color="auto" w:fill="auto"/>
            <w:vAlign w:val="center"/>
            <w:hideMark/>
          </w:tcPr>
          <w:p w14:paraId="62AC390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107.8</w:t>
            </w:r>
          </w:p>
        </w:tc>
      </w:tr>
      <w:tr w:rsidR="00E20873" w:rsidRPr="003F700D" w14:paraId="7E8D26A6" w14:textId="77777777" w:rsidTr="00E20873">
        <w:trPr>
          <w:trHeight w:val="225"/>
          <w:jc w:val="center"/>
        </w:trPr>
        <w:tc>
          <w:tcPr>
            <w:tcW w:w="258" w:type="dxa"/>
            <w:tcBorders>
              <w:top w:val="nil"/>
              <w:left w:val="nil"/>
              <w:bottom w:val="single" w:sz="4" w:space="0" w:color="auto"/>
              <w:right w:val="nil"/>
            </w:tcBorders>
            <w:shd w:val="clear" w:color="auto" w:fill="auto"/>
            <w:noWrap/>
            <w:vAlign w:val="center"/>
            <w:hideMark/>
          </w:tcPr>
          <w:p w14:paraId="282C12A9"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12</w:t>
            </w:r>
          </w:p>
        </w:tc>
        <w:tc>
          <w:tcPr>
            <w:tcW w:w="3181" w:type="dxa"/>
            <w:tcBorders>
              <w:top w:val="nil"/>
              <w:left w:val="nil"/>
              <w:bottom w:val="single" w:sz="4" w:space="0" w:color="auto"/>
              <w:right w:val="nil"/>
            </w:tcBorders>
            <w:shd w:val="clear" w:color="auto" w:fill="auto"/>
            <w:vAlign w:val="center"/>
            <w:hideMark/>
          </w:tcPr>
          <w:p w14:paraId="3DD49FC8"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Разнообразни стоки и услуги</w:t>
            </w:r>
          </w:p>
        </w:tc>
        <w:tc>
          <w:tcPr>
            <w:tcW w:w="1351" w:type="dxa"/>
            <w:tcBorders>
              <w:top w:val="nil"/>
              <w:left w:val="nil"/>
              <w:bottom w:val="single" w:sz="4" w:space="0" w:color="auto"/>
              <w:right w:val="nil"/>
            </w:tcBorders>
            <w:shd w:val="clear" w:color="auto" w:fill="auto"/>
            <w:vAlign w:val="center"/>
            <w:hideMark/>
          </w:tcPr>
          <w:p w14:paraId="210292F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57.926</w:t>
            </w:r>
          </w:p>
        </w:tc>
        <w:tc>
          <w:tcPr>
            <w:tcW w:w="1347" w:type="dxa"/>
            <w:tcBorders>
              <w:top w:val="nil"/>
              <w:left w:val="nil"/>
              <w:bottom w:val="single" w:sz="4" w:space="0" w:color="auto"/>
              <w:right w:val="nil"/>
            </w:tcBorders>
            <w:shd w:val="clear" w:color="auto" w:fill="auto"/>
            <w:vAlign w:val="center"/>
            <w:hideMark/>
          </w:tcPr>
          <w:p w14:paraId="7ACC3F34"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142.97</w:t>
            </w:r>
          </w:p>
        </w:tc>
        <w:tc>
          <w:tcPr>
            <w:tcW w:w="1345" w:type="dxa"/>
            <w:tcBorders>
              <w:top w:val="nil"/>
              <w:left w:val="nil"/>
              <w:bottom w:val="single" w:sz="4" w:space="0" w:color="auto"/>
              <w:right w:val="nil"/>
            </w:tcBorders>
            <w:shd w:val="clear" w:color="auto" w:fill="auto"/>
            <w:vAlign w:val="center"/>
            <w:hideMark/>
          </w:tcPr>
          <w:p w14:paraId="08A1A04F"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100.2</w:t>
            </w:r>
          </w:p>
        </w:tc>
        <w:tc>
          <w:tcPr>
            <w:tcW w:w="1352" w:type="dxa"/>
            <w:tcBorders>
              <w:top w:val="nil"/>
              <w:left w:val="nil"/>
              <w:bottom w:val="single" w:sz="4" w:space="0" w:color="auto"/>
              <w:right w:val="nil"/>
            </w:tcBorders>
            <w:shd w:val="clear" w:color="auto" w:fill="auto"/>
            <w:vAlign w:val="center"/>
            <w:hideMark/>
          </w:tcPr>
          <w:p w14:paraId="3B8FB84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102.8</w:t>
            </w:r>
          </w:p>
        </w:tc>
        <w:tc>
          <w:tcPr>
            <w:tcW w:w="1346" w:type="dxa"/>
            <w:tcBorders>
              <w:top w:val="nil"/>
              <w:left w:val="nil"/>
              <w:bottom w:val="single" w:sz="4" w:space="0" w:color="auto"/>
              <w:right w:val="nil"/>
            </w:tcBorders>
            <w:shd w:val="clear" w:color="auto" w:fill="auto"/>
            <w:vAlign w:val="center"/>
            <w:hideMark/>
          </w:tcPr>
          <w:p w14:paraId="139CB9B6"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104.0</w:t>
            </w:r>
          </w:p>
        </w:tc>
      </w:tr>
    </w:tbl>
    <w:p w14:paraId="07BB97F2" w14:textId="77777777" w:rsidR="0020048B" w:rsidRPr="003F700D" w:rsidRDefault="0020048B" w:rsidP="00E21163">
      <w:pPr>
        <w:tabs>
          <w:tab w:val="left" w:pos="3123"/>
        </w:tabs>
        <w:spacing w:before="160" w:after="160" w:line="360" w:lineRule="auto"/>
        <w:jc w:val="center"/>
        <w:rPr>
          <w:rFonts w:ascii="Verdana" w:eastAsia="Μοντέρνα" w:hAnsi="Verdana" w:cs="Times New Roman"/>
          <w:b/>
          <w:sz w:val="20"/>
          <w:szCs w:val="20"/>
          <w:lang w:eastAsia="bg-BG"/>
        </w:rPr>
      </w:pPr>
    </w:p>
    <w:p w14:paraId="6723954C" w14:textId="050C4B89" w:rsidR="002D0367" w:rsidRPr="003F700D" w:rsidRDefault="00304900" w:rsidP="009E1C99">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 </w:t>
      </w:r>
      <w:r w:rsidR="00B6138F" w:rsidRPr="003F700D">
        <w:rPr>
          <w:rFonts w:ascii="Verdana" w:eastAsia="Μοντέρνα" w:hAnsi="Verdana" w:cs="Times New Roman"/>
          <w:sz w:val="20"/>
          <w:szCs w:val="20"/>
          <w:lang w:eastAsia="bg-BG"/>
        </w:rPr>
        <w:br w:type="page"/>
      </w:r>
    </w:p>
    <w:p w14:paraId="5B2372E7" w14:textId="77777777" w:rsidR="002D0367" w:rsidRPr="003F700D"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Таблица 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E20873" w:rsidRPr="003F700D" w14:paraId="3B2CD126" w14:textId="77777777" w:rsidTr="00E20873">
        <w:trPr>
          <w:trHeight w:val="1620"/>
          <w:jc w:val="center"/>
        </w:trPr>
        <w:tc>
          <w:tcPr>
            <w:tcW w:w="6000" w:type="dxa"/>
            <w:gridSpan w:val="3"/>
            <w:tcBorders>
              <w:top w:val="nil"/>
              <w:left w:val="nil"/>
              <w:bottom w:val="nil"/>
              <w:right w:val="nil"/>
            </w:tcBorders>
            <w:shd w:val="clear" w:color="auto" w:fill="auto"/>
            <w:vAlign w:val="center"/>
            <w:hideMark/>
          </w:tcPr>
          <w:p w14:paraId="3CE869BA" w14:textId="77777777" w:rsidR="00E20873" w:rsidRPr="003F700D" w:rsidRDefault="00E20873" w:rsidP="00E20873">
            <w:pPr>
              <w:jc w:val="center"/>
              <w:rPr>
                <w:rFonts w:ascii="Verdana" w:eastAsia="Times New Roman" w:hAnsi="Verdana" w:cs="Arial"/>
                <w:b/>
                <w:bCs/>
                <w:sz w:val="20"/>
                <w:szCs w:val="20"/>
                <w:lang w:eastAsia="bg-BG"/>
              </w:rPr>
            </w:pPr>
            <w:r w:rsidRPr="003F700D">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август 2024 година</w:t>
            </w:r>
          </w:p>
        </w:tc>
      </w:tr>
      <w:tr w:rsidR="00E20873" w:rsidRPr="003F700D" w14:paraId="2AEA7BAB" w14:textId="77777777" w:rsidTr="00E20873">
        <w:trPr>
          <w:trHeight w:val="270"/>
          <w:jc w:val="center"/>
        </w:trPr>
        <w:tc>
          <w:tcPr>
            <w:tcW w:w="6000" w:type="dxa"/>
            <w:gridSpan w:val="3"/>
            <w:tcBorders>
              <w:top w:val="nil"/>
              <w:left w:val="nil"/>
              <w:bottom w:val="nil"/>
              <w:right w:val="nil"/>
            </w:tcBorders>
            <w:shd w:val="clear" w:color="auto" w:fill="auto"/>
            <w:noWrap/>
            <w:vAlign w:val="bottom"/>
            <w:hideMark/>
          </w:tcPr>
          <w:p w14:paraId="41606AB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(Проценти)</w:t>
            </w:r>
          </w:p>
        </w:tc>
      </w:tr>
      <w:tr w:rsidR="00E20873" w:rsidRPr="003F700D" w14:paraId="071E40A1" w14:textId="77777777" w:rsidTr="00E20873">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727C4" w14:textId="77777777" w:rsidR="00E20873" w:rsidRPr="003F700D" w:rsidRDefault="00E20873" w:rsidP="00E20873">
            <w:pP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D391C" w14:textId="77777777" w:rsidR="00E20873" w:rsidRPr="003F700D" w:rsidRDefault="00E20873" w:rsidP="00E20873">
            <w:pPr>
              <w:jc w:val="cente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EE4B5C5" w14:textId="77777777" w:rsidR="00E20873" w:rsidRPr="003F700D" w:rsidRDefault="00E20873" w:rsidP="00E20873">
            <w:pPr>
              <w:jc w:val="center"/>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VIII.2024</w:t>
            </w:r>
          </w:p>
        </w:tc>
      </w:tr>
      <w:tr w:rsidR="00E20873" w:rsidRPr="003F700D" w14:paraId="32205C46" w14:textId="77777777" w:rsidTr="00E20873">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2EA20FD8" w14:textId="77777777" w:rsidR="00E20873" w:rsidRPr="003F700D" w:rsidRDefault="00E20873" w:rsidP="00E20873">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1A46A385" w14:textId="77777777" w:rsidR="00E20873" w:rsidRPr="003F700D" w:rsidRDefault="00E20873" w:rsidP="00E20873">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22FBD4D3"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юли 2024 = 100</w:t>
            </w:r>
          </w:p>
        </w:tc>
      </w:tr>
      <w:tr w:rsidR="00E20873" w:rsidRPr="003F700D" w14:paraId="1B86E2E6" w14:textId="77777777" w:rsidTr="00E20873">
        <w:trPr>
          <w:trHeight w:val="225"/>
          <w:jc w:val="center"/>
        </w:trPr>
        <w:tc>
          <w:tcPr>
            <w:tcW w:w="3320" w:type="dxa"/>
            <w:tcBorders>
              <w:top w:val="nil"/>
              <w:left w:val="nil"/>
              <w:bottom w:val="nil"/>
              <w:right w:val="nil"/>
            </w:tcBorders>
            <w:shd w:val="clear" w:color="auto" w:fill="auto"/>
            <w:noWrap/>
            <w:vAlign w:val="bottom"/>
            <w:hideMark/>
          </w:tcPr>
          <w:p w14:paraId="1E80B70F" w14:textId="77777777" w:rsidR="00E20873" w:rsidRPr="003F700D" w:rsidRDefault="00E20873" w:rsidP="00E20873">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F700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4AFB74D1"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2BBD62E0" w14:textId="77777777" w:rsidR="00E20873" w:rsidRPr="003F700D" w:rsidRDefault="00E20873" w:rsidP="00E20873">
            <w:pPr>
              <w:jc w:val="right"/>
              <w:rPr>
                <w:rFonts w:ascii="Verdana" w:eastAsia="Times New Roman" w:hAnsi="Verdana" w:cs="Arial"/>
                <w:b/>
                <w:bCs/>
                <w:sz w:val="16"/>
                <w:szCs w:val="16"/>
                <w:lang w:eastAsia="bg-BG"/>
              </w:rPr>
            </w:pPr>
            <w:r w:rsidRPr="003F700D">
              <w:rPr>
                <w:rFonts w:ascii="Verdana" w:eastAsia="Times New Roman" w:hAnsi="Verdana" w:cs="Arial"/>
                <w:b/>
                <w:bCs/>
                <w:sz w:val="16"/>
                <w:szCs w:val="16"/>
                <w:lang w:eastAsia="bg-BG"/>
              </w:rPr>
              <w:t>100.2</w:t>
            </w:r>
          </w:p>
        </w:tc>
      </w:tr>
      <w:tr w:rsidR="00E20873" w:rsidRPr="003F700D" w14:paraId="7B476299" w14:textId="77777777" w:rsidTr="00E20873">
        <w:trPr>
          <w:trHeight w:val="420"/>
          <w:jc w:val="center"/>
        </w:trPr>
        <w:tc>
          <w:tcPr>
            <w:tcW w:w="3320" w:type="dxa"/>
            <w:tcBorders>
              <w:top w:val="nil"/>
              <w:left w:val="nil"/>
              <w:bottom w:val="nil"/>
              <w:right w:val="nil"/>
            </w:tcBorders>
            <w:shd w:val="clear" w:color="auto" w:fill="auto"/>
            <w:hideMark/>
          </w:tcPr>
          <w:p w14:paraId="20BB5BE3"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4EC0CE22"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55B0D0C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100.7</w:t>
            </w:r>
          </w:p>
        </w:tc>
      </w:tr>
      <w:tr w:rsidR="00E20873" w:rsidRPr="003F700D" w14:paraId="0D4A347C" w14:textId="77777777" w:rsidTr="00E20873">
        <w:trPr>
          <w:trHeight w:val="225"/>
          <w:jc w:val="center"/>
        </w:trPr>
        <w:tc>
          <w:tcPr>
            <w:tcW w:w="3320" w:type="dxa"/>
            <w:tcBorders>
              <w:top w:val="nil"/>
              <w:left w:val="nil"/>
              <w:bottom w:val="nil"/>
              <w:right w:val="nil"/>
            </w:tcBorders>
            <w:shd w:val="clear" w:color="auto" w:fill="auto"/>
            <w:vAlign w:val="center"/>
            <w:hideMark/>
          </w:tcPr>
          <w:p w14:paraId="7C9E79C5"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66B273E0"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4.172</w:t>
            </w:r>
          </w:p>
        </w:tc>
        <w:tc>
          <w:tcPr>
            <w:tcW w:w="1340" w:type="dxa"/>
            <w:tcBorders>
              <w:top w:val="nil"/>
              <w:left w:val="nil"/>
              <w:bottom w:val="nil"/>
              <w:right w:val="nil"/>
            </w:tcBorders>
            <w:shd w:val="clear" w:color="auto" w:fill="auto"/>
            <w:noWrap/>
            <w:vAlign w:val="bottom"/>
            <w:hideMark/>
          </w:tcPr>
          <w:p w14:paraId="67143536"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96.9</w:t>
            </w:r>
          </w:p>
        </w:tc>
      </w:tr>
      <w:tr w:rsidR="00E20873" w:rsidRPr="003F700D" w14:paraId="084B4A2F" w14:textId="77777777" w:rsidTr="00E20873">
        <w:trPr>
          <w:trHeight w:val="420"/>
          <w:jc w:val="center"/>
        </w:trPr>
        <w:tc>
          <w:tcPr>
            <w:tcW w:w="3320" w:type="dxa"/>
            <w:tcBorders>
              <w:top w:val="nil"/>
              <w:left w:val="nil"/>
              <w:bottom w:val="nil"/>
              <w:right w:val="nil"/>
            </w:tcBorders>
            <w:shd w:val="clear" w:color="auto" w:fill="auto"/>
            <w:hideMark/>
          </w:tcPr>
          <w:p w14:paraId="72CC20AE"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1C0EB6CA"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23.645</w:t>
            </w:r>
          </w:p>
        </w:tc>
        <w:tc>
          <w:tcPr>
            <w:tcW w:w="1340" w:type="dxa"/>
            <w:tcBorders>
              <w:top w:val="nil"/>
              <w:left w:val="nil"/>
              <w:bottom w:val="nil"/>
              <w:right w:val="nil"/>
            </w:tcBorders>
            <w:shd w:val="clear" w:color="auto" w:fill="auto"/>
            <w:noWrap/>
            <w:vAlign w:val="bottom"/>
            <w:hideMark/>
          </w:tcPr>
          <w:p w14:paraId="7B87155B"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100.1</w:t>
            </w:r>
          </w:p>
        </w:tc>
      </w:tr>
      <w:tr w:rsidR="00E20873" w:rsidRPr="003F700D" w14:paraId="325914F4" w14:textId="77777777" w:rsidTr="00E20873">
        <w:trPr>
          <w:trHeight w:val="630"/>
          <w:jc w:val="center"/>
        </w:trPr>
        <w:tc>
          <w:tcPr>
            <w:tcW w:w="3320" w:type="dxa"/>
            <w:tcBorders>
              <w:top w:val="nil"/>
              <w:left w:val="nil"/>
              <w:bottom w:val="nil"/>
              <w:right w:val="nil"/>
            </w:tcBorders>
            <w:shd w:val="clear" w:color="auto" w:fill="auto"/>
            <w:hideMark/>
          </w:tcPr>
          <w:p w14:paraId="4B69A5F2"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2F100996"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2.703</w:t>
            </w:r>
          </w:p>
        </w:tc>
        <w:tc>
          <w:tcPr>
            <w:tcW w:w="1340" w:type="dxa"/>
            <w:tcBorders>
              <w:top w:val="nil"/>
              <w:left w:val="nil"/>
              <w:bottom w:val="nil"/>
              <w:right w:val="nil"/>
            </w:tcBorders>
            <w:shd w:val="clear" w:color="auto" w:fill="auto"/>
            <w:noWrap/>
            <w:vAlign w:val="bottom"/>
            <w:hideMark/>
          </w:tcPr>
          <w:p w14:paraId="154C7CB6"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97.7</w:t>
            </w:r>
          </w:p>
        </w:tc>
      </w:tr>
      <w:tr w:rsidR="00E20873" w:rsidRPr="003F700D" w14:paraId="1A0E7E70" w14:textId="77777777" w:rsidTr="00E20873">
        <w:trPr>
          <w:trHeight w:val="225"/>
          <w:jc w:val="center"/>
        </w:trPr>
        <w:tc>
          <w:tcPr>
            <w:tcW w:w="3320" w:type="dxa"/>
            <w:tcBorders>
              <w:top w:val="nil"/>
              <w:left w:val="nil"/>
              <w:bottom w:val="nil"/>
              <w:right w:val="nil"/>
            </w:tcBorders>
            <w:shd w:val="clear" w:color="auto" w:fill="auto"/>
            <w:vAlign w:val="center"/>
            <w:hideMark/>
          </w:tcPr>
          <w:p w14:paraId="1E85AF62"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09A5F4CF"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11.882</w:t>
            </w:r>
          </w:p>
        </w:tc>
        <w:tc>
          <w:tcPr>
            <w:tcW w:w="1340" w:type="dxa"/>
            <w:tcBorders>
              <w:top w:val="nil"/>
              <w:left w:val="nil"/>
              <w:bottom w:val="nil"/>
              <w:right w:val="nil"/>
            </w:tcBorders>
            <w:shd w:val="clear" w:color="auto" w:fill="auto"/>
            <w:noWrap/>
            <w:vAlign w:val="bottom"/>
            <w:hideMark/>
          </w:tcPr>
          <w:p w14:paraId="3EAD5123"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99.9</w:t>
            </w:r>
          </w:p>
        </w:tc>
      </w:tr>
      <w:tr w:rsidR="00E20873" w:rsidRPr="003F700D" w14:paraId="10FB8D94" w14:textId="77777777" w:rsidTr="00E20873">
        <w:trPr>
          <w:trHeight w:val="225"/>
          <w:jc w:val="center"/>
        </w:trPr>
        <w:tc>
          <w:tcPr>
            <w:tcW w:w="3320" w:type="dxa"/>
            <w:tcBorders>
              <w:top w:val="nil"/>
              <w:left w:val="nil"/>
              <w:bottom w:val="nil"/>
              <w:right w:val="nil"/>
            </w:tcBorders>
            <w:shd w:val="clear" w:color="auto" w:fill="auto"/>
            <w:vAlign w:val="center"/>
            <w:hideMark/>
          </w:tcPr>
          <w:p w14:paraId="3915568B"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02A5F3C2"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0.758</w:t>
            </w:r>
          </w:p>
        </w:tc>
        <w:tc>
          <w:tcPr>
            <w:tcW w:w="1340" w:type="dxa"/>
            <w:tcBorders>
              <w:top w:val="nil"/>
              <w:left w:val="nil"/>
              <w:bottom w:val="nil"/>
              <w:right w:val="nil"/>
            </w:tcBorders>
            <w:shd w:val="clear" w:color="auto" w:fill="auto"/>
            <w:noWrap/>
            <w:vAlign w:val="bottom"/>
            <w:hideMark/>
          </w:tcPr>
          <w:p w14:paraId="3385041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100.1</w:t>
            </w:r>
          </w:p>
        </w:tc>
      </w:tr>
      <w:tr w:rsidR="00E20873" w:rsidRPr="003F700D" w14:paraId="1C457A30" w14:textId="77777777" w:rsidTr="00E20873">
        <w:trPr>
          <w:trHeight w:val="225"/>
          <w:jc w:val="center"/>
        </w:trPr>
        <w:tc>
          <w:tcPr>
            <w:tcW w:w="3320" w:type="dxa"/>
            <w:tcBorders>
              <w:top w:val="nil"/>
              <w:left w:val="nil"/>
              <w:bottom w:val="nil"/>
              <w:right w:val="nil"/>
            </w:tcBorders>
            <w:shd w:val="clear" w:color="auto" w:fill="auto"/>
            <w:vAlign w:val="center"/>
            <w:hideMark/>
          </w:tcPr>
          <w:p w14:paraId="1D73245C"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65469CBC"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0.092</w:t>
            </w:r>
          </w:p>
        </w:tc>
        <w:tc>
          <w:tcPr>
            <w:tcW w:w="1340" w:type="dxa"/>
            <w:tcBorders>
              <w:top w:val="nil"/>
              <w:left w:val="nil"/>
              <w:bottom w:val="nil"/>
              <w:right w:val="nil"/>
            </w:tcBorders>
            <w:shd w:val="clear" w:color="auto" w:fill="auto"/>
            <w:noWrap/>
            <w:vAlign w:val="bottom"/>
            <w:hideMark/>
          </w:tcPr>
          <w:p w14:paraId="60F7C4CB"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100.1</w:t>
            </w:r>
          </w:p>
        </w:tc>
      </w:tr>
      <w:tr w:rsidR="00E20873" w:rsidRPr="003F700D" w14:paraId="6BBEA71C" w14:textId="77777777" w:rsidTr="00E20873">
        <w:trPr>
          <w:trHeight w:val="225"/>
          <w:jc w:val="center"/>
        </w:trPr>
        <w:tc>
          <w:tcPr>
            <w:tcW w:w="3320" w:type="dxa"/>
            <w:tcBorders>
              <w:top w:val="nil"/>
              <w:left w:val="nil"/>
              <w:bottom w:val="nil"/>
              <w:right w:val="nil"/>
            </w:tcBorders>
            <w:shd w:val="clear" w:color="auto" w:fill="auto"/>
            <w:hideMark/>
          </w:tcPr>
          <w:p w14:paraId="306D4021"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6A4210C5"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0.606</w:t>
            </w:r>
          </w:p>
        </w:tc>
        <w:tc>
          <w:tcPr>
            <w:tcW w:w="1340" w:type="dxa"/>
            <w:tcBorders>
              <w:top w:val="nil"/>
              <w:left w:val="nil"/>
              <w:bottom w:val="nil"/>
              <w:right w:val="nil"/>
            </w:tcBorders>
            <w:shd w:val="clear" w:color="auto" w:fill="auto"/>
            <w:noWrap/>
            <w:vAlign w:val="bottom"/>
            <w:hideMark/>
          </w:tcPr>
          <w:p w14:paraId="038A4D28"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99.5</w:t>
            </w:r>
          </w:p>
        </w:tc>
      </w:tr>
      <w:tr w:rsidR="00E20873" w:rsidRPr="003F700D" w14:paraId="62ECCE12" w14:textId="77777777" w:rsidTr="00E20873">
        <w:trPr>
          <w:trHeight w:val="225"/>
          <w:jc w:val="center"/>
        </w:trPr>
        <w:tc>
          <w:tcPr>
            <w:tcW w:w="3320" w:type="dxa"/>
            <w:tcBorders>
              <w:top w:val="nil"/>
              <w:left w:val="nil"/>
              <w:bottom w:val="single" w:sz="4" w:space="0" w:color="auto"/>
              <w:right w:val="nil"/>
            </w:tcBorders>
            <w:shd w:val="clear" w:color="auto" w:fill="auto"/>
            <w:vAlign w:val="center"/>
            <w:hideMark/>
          </w:tcPr>
          <w:p w14:paraId="0C1DC420"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6CF9C947"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5.212</w:t>
            </w:r>
          </w:p>
        </w:tc>
        <w:tc>
          <w:tcPr>
            <w:tcW w:w="1340" w:type="dxa"/>
            <w:tcBorders>
              <w:top w:val="nil"/>
              <w:left w:val="nil"/>
              <w:bottom w:val="single" w:sz="4" w:space="0" w:color="auto"/>
              <w:right w:val="nil"/>
            </w:tcBorders>
            <w:shd w:val="clear" w:color="auto" w:fill="auto"/>
            <w:noWrap/>
            <w:vAlign w:val="bottom"/>
            <w:hideMark/>
          </w:tcPr>
          <w:p w14:paraId="45AB97D6"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101.0</w:t>
            </w:r>
          </w:p>
        </w:tc>
      </w:tr>
      <w:tr w:rsidR="00E20873" w:rsidRPr="003F700D" w14:paraId="537C823E" w14:textId="77777777" w:rsidTr="00E20873">
        <w:trPr>
          <w:trHeight w:val="225"/>
          <w:jc w:val="center"/>
        </w:trPr>
        <w:tc>
          <w:tcPr>
            <w:tcW w:w="3320" w:type="dxa"/>
            <w:tcBorders>
              <w:top w:val="nil"/>
              <w:left w:val="nil"/>
              <w:bottom w:val="nil"/>
              <w:right w:val="nil"/>
            </w:tcBorders>
            <w:shd w:val="clear" w:color="auto" w:fill="auto"/>
            <w:noWrap/>
            <w:hideMark/>
          </w:tcPr>
          <w:p w14:paraId="31AA86DF" w14:textId="77777777" w:rsidR="00E20873" w:rsidRPr="003F700D" w:rsidRDefault="00E20873" w:rsidP="00E20873">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7604D5ED" w14:textId="77777777" w:rsidR="00E20873" w:rsidRPr="003F700D" w:rsidRDefault="00E20873" w:rsidP="00E20873">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328FD8CA" w14:textId="77777777" w:rsidR="00E20873" w:rsidRPr="003F700D" w:rsidRDefault="00E20873" w:rsidP="00E20873">
            <w:pPr>
              <w:jc w:val="right"/>
              <w:rPr>
                <w:rFonts w:eastAsia="Times New Roman" w:cs="Times New Roman"/>
                <w:sz w:val="20"/>
                <w:szCs w:val="20"/>
                <w:lang w:eastAsia="bg-BG"/>
              </w:rPr>
            </w:pPr>
          </w:p>
        </w:tc>
      </w:tr>
      <w:tr w:rsidR="00E20873" w:rsidRPr="003F700D" w14:paraId="059823EB" w14:textId="77777777" w:rsidTr="00E20873">
        <w:trPr>
          <w:trHeight w:val="225"/>
          <w:jc w:val="center"/>
        </w:trPr>
        <w:tc>
          <w:tcPr>
            <w:tcW w:w="3320" w:type="dxa"/>
            <w:tcBorders>
              <w:top w:val="nil"/>
              <w:left w:val="nil"/>
              <w:bottom w:val="nil"/>
              <w:right w:val="nil"/>
            </w:tcBorders>
            <w:shd w:val="clear" w:color="auto" w:fill="auto"/>
            <w:noWrap/>
            <w:hideMark/>
          </w:tcPr>
          <w:p w14:paraId="6A9D5B96"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31CF8C3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0243FEF1"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100.7</w:t>
            </w:r>
          </w:p>
        </w:tc>
      </w:tr>
      <w:tr w:rsidR="00E20873" w:rsidRPr="003F700D" w14:paraId="13DABB34" w14:textId="77777777" w:rsidTr="00E20873">
        <w:trPr>
          <w:trHeight w:val="225"/>
          <w:jc w:val="center"/>
        </w:trPr>
        <w:tc>
          <w:tcPr>
            <w:tcW w:w="3320" w:type="dxa"/>
            <w:tcBorders>
              <w:top w:val="nil"/>
              <w:left w:val="nil"/>
              <w:bottom w:val="nil"/>
              <w:right w:val="nil"/>
            </w:tcBorders>
            <w:shd w:val="clear" w:color="auto" w:fill="auto"/>
            <w:noWrap/>
            <w:hideMark/>
          </w:tcPr>
          <w:p w14:paraId="38A6A2F9"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6BC7088E"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28.855</w:t>
            </w:r>
          </w:p>
        </w:tc>
        <w:tc>
          <w:tcPr>
            <w:tcW w:w="1340" w:type="dxa"/>
            <w:tcBorders>
              <w:top w:val="nil"/>
              <w:left w:val="nil"/>
              <w:bottom w:val="nil"/>
              <w:right w:val="nil"/>
            </w:tcBorders>
            <w:shd w:val="clear" w:color="auto" w:fill="auto"/>
            <w:noWrap/>
            <w:vAlign w:val="bottom"/>
            <w:hideMark/>
          </w:tcPr>
          <w:p w14:paraId="4DA025E6"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99.5</w:t>
            </w:r>
          </w:p>
        </w:tc>
      </w:tr>
      <w:tr w:rsidR="00E20873" w:rsidRPr="003F700D" w14:paraId="54F2E2BB" w14:textId="77777777" w:rsidTr="00E20873">
        <w:trPr>
          <w:trHeight w:val="225"/>
          <w:jc w:val="center"/>
        </w:trPr>
        <w:tc>
          <w:tcPr>
            <w:tcW w:w="3320" w:type="dxa"/>
            <w:tcBorders>
              <w:top w:val="nil"/>
              <w:left w:val="nil"/>
              <w:bottom w:val="single" w:sz="4" w:space="0" w:color="auto"/>
              <w:right w:val="nil"/>
            </w:tcBorders>
            <w:shd w:val="clear" w:color="auto" w:fill="auto"/>
            <w:noWrap/>
            <w:hideMark/>
          </w:tcPr>
          <w:p w14:paraId="494C7AC7" w14:textId="77777777" w:rsidR="00E20873" w:rsidRPr="003F700D" w:rsidRDefault="00E20873" w:rsidP="00E20873">
            <w:pPr>
              <w:rPr>
                <w:rFonts w:ascii="Verdana" w:eastAsia="Times New Roman" w:hAnsi="Verdana" w:cs="Arial"/>
                <w:sz w:val="16"/>
                <w:szCs w:val="16"/>
                <w:lang w:eastAsia="bg-BG"/>
              </w:rPr>
            </w:pPr>
            <w:r w:rsidRPr="003F700D">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160F09AD"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20.216</w:t>
            </w:r>
          </w:p>
        </w:tc>
        <w:tc>
          <w:tcPr>
            <w:tcW w:w="1340" w:type="dxa"/>
            <w:tcBorders>
              <w:top w:val="nil"/>
              <w:left w:val="nil"/>
              <w:bottom w:val="single" w:sz="4" w:space="0" w:color="auto"/>
              <w:right w:val="nil"/>
            </w:tcBorders>
            <w:shd w:val="clear" w:color="auto" w:fill="auto"/>
            <w:noWrap/>
            <w:vAlign w:val="bottom"/>
            <w:hideMark/>
          </w:tcPr>
          <w:p w14:paraId="59F2DC1B" w14:textId="77777777" w:rsidR="00E20873" w:rsidRPr="003F700D" w:rsidRDefault="00E20873" w:rsidP="00E20873">
            <w:pPr>
              <w:jc w:val="right"/>
              <w:rPr>
                <w:rFonts w:ascii="Verdana" w:eastAsia="Times New Roman" w:hAnsi="Verdana" w:cs="Arial"/>
                <w:sz w:val="16"/>
                <w:szCs w:val="16"/>
                <w:lang w:eastAsia="bg-BG"/>
              </w:rPr>
            </w:pPr>
            <w:r w:rsidRPr="003F700D">
              <w:rPr>
                <w:rFonts w:ascii="Verdana" w:eastAsia="Times New Roman" w:hAnsi="Verdana" w:cs="Arial"/>
                <w:sz w:val="16"/>
                <w:szCs w:val="16"/>
                <w:lang w:eastAsia="bg-BG"/>
              </w:rPr>
              <w:t>100.0</w:t>
            </w:r>
          </w:p>
        </w:tc>
      </w:tr>
    </w:tbl>
    <w:p w14:paraId="234867FA" w14:textId="77777777" w:rsidR="00E20873" w:rsidRPr="003F700D" w:rsidRDefault="00E20873" w:rsidP="00E21163">
      <w:pPr>
        <w:spacing w:line="360" w:lineRule="auto"/>
        <w:ind w:firstLine="567"/>
        <w:jc w:val="center"/>
        <w:rPr>
          <w:rFonts w:ascii="Verdana" w:eastAsia="Μοντέρνα" w:hAnsi="Verdana" w:cs="Times New Roman"/>
          <w:sz w:val="20"/>
          <w:szCs w:val="20"/>
          <w:lang w:eastAsia="bg-BG"/>
        </w:rPr>
      </w:pPr>
    </w:p>
    <w:p w14:paraId="466B2B06"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185E640B"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7830ABD2"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7E3C8F78" w14:textId="77777777" w:rsidR="004760D3" w:rsidRPr="003F700D" w:rsidRDefault="004760D3" w:rsidP="00C22E8B">
      <w:pPr>
        <w:spacing w:line="360" w:lineRule="auto"/>
        <w:rPr>
          <w:rFonts w:ascii="Verdana" w:eastAsia="Μοντέρνα" w:hAnsi="Verdana" w:cs="Times New Roman"/>
          <w:sz w:val="20"/>
          <w:szCs w:val="20"/>
          <w:lang w:eastAsia="bg-BG"/>
        </w:rPr>
      </w:pPr>
    </w:p>
    <w:p w14:paraId="7458FC48" w14:textId="77777777" w:rsidR="004760D3" w:rsidRPr="003F700D" w:rsidRDefault="004760D3" w:rsidP="004760D3">
      <w:pPr>
        <w:rPr>
          <w:rFonts w:eastAsia="Μοντέρνα" w:cs="Times New Roman"/>
          <w:szCs w:val="20"/>
          <w:lang w:eastAsia="bg-BG"/>
        </w:rPr>
      </w:pPr>
    </w:p>
    <w:p w14:paraId="14D34295" w14:textId="77777777" w:rsidR="004760D3" w:rsidRPr="003F700D" w:rsidRDefault="004760D3" w:rsidP="004760D3">
      <w:pPr>
        <w:rPr>
          <w:rFonts w:eastAsia="Μοντέρνα" w:cs="Times New Roman"/>
          <w:szCs w:val="20"/>
          <w:lang w:eastAsia="bg-BG"/>
        </w:rPr>
      </w:pPr>
    </w:p>
    <w:p w14:paraId="07ADFB50" w14:textId="77777777" w:rsidR="004760D3" w:rsidRPr="003F700D" w:rsidRDefault="004760D3" w:rsidP="004760D3">
      <w:pPr>
        <w:rPr>
          <w:rFonts w:eastAsia="Μοντέρνα" w:cs="Times New Roman"/>
          <w:szCs w:val="20"/>
          <w:lang w:eastAsia="bg-BG"/>
        </w:rPr>
      </w:pPr>
    </w:p>
    <w:p w14:paraId="388EF3D8" w14:textId="77777777" w:rsidR="004760D3" w:rsidRPr="003F700D" w:rsidRDefault="004760D3" w:rsidP="004760D3">
      <w:pPr>
        <w:rPr>
          <w:rFonts w:eastAsia="Μοντέρνα" w:cs="Times New Roman"/>
          <w:szCs w:val="20"/>
          <w:lang w:eastAsia="bg-BG"/>
        </w:rPr>
      </w:pPr>
    </w:p>
    <w:p w14:paraId="5F2D7FC1" w14:textId="77777777" w:rsidR="004760D3" w:rsidRPr="003F700D" w:rsidRDefault="004760D3" w:rsidP="004760D3">
      <w:pPr>
        <w:rPr>
          <w:rFonts w:eastAsia="Μοντέρνα" w:cs="Times New Roman"/>
          <w:szCs w:val="20"/>
          <w:lang w:eastAsia="bg-BG"/>
        </w:rPr>
      </w:pPr>
    </w:p>
    <w:p w14:paraId="6F8B0A98" w14:textId="77777777" w:rsidR="004760D3" w:rsidRPr="003F700D" w:rsidRDefault="004760D3" w:rsidP="004760D3">
      <w:pPr>
        <w:rPr>
          <w:rFonts w:eastAsia="Μοντέρνα" w:cs="Times New Roman"/>
          <w:szCs w:val="20"/>
          <w:lang w:eastAsia="bg-BG"/>
        </w:rPr>
      </w:pPr>
    </w:p>
    <w:p w14:paraId="4422503F" w14:textId="77777777" w:rsidR="004760D3" w:rsidRPr="003F700D" w:rsidRDefault="004760D3" w:rsidP="004760D3">
      <w:pPr>
        <w:rPr>
          <w:rFonts w:eastAsia="Μοντέρνα" w:cs="Times New Roman"/>
          <w:szCs w:val="20"/>
          <w:lang w:eastAsia="bg-BG"/>
        </w:rPr>
      </w:pPr>
    </w:p>
    <w:p w14:paraId="736D516F" w14:textId="77777777" w:rsidR="004760D3" w:rsidRPr="003F700D" w:rsidRDefault="004760D3" w:rsidP="004760D3">
      <w:pPr>
        <w:rPr>
          <w:rFonts w:eastAsia="Μοντέρνα" w:cs="Times New Roman"/>
          <w:szCs w:val="20"/>
          <w:lang w:eastAsia="bg-BG"/>
        </w:rPr>
      </w:pPr>
    </w:p>
    <w:p w14:paraId="43D9F347" w14:textId="77777777" w:rsidR="00171C36" w:rsidRPr="003F700D" w:rsidRDefault="00171C36" w:rsidP="00336556">
      <w:pPr>
        <w:spacing w:line="360" w:lineRule="auto"/>
        <w:ind w:firstLine="567"/>
        <w:jc w:val="both"/>
      </w:pPr>
    </w:p>
    <w:p w14:paraId="1B56D0A0" w14:textId="77777777" w:rsidR="00171C36" w:rsidRPr="003F700D" w:rsidRDefault="00171C36" w:rsidP="00336556">
      <w:pPr>
        <w:spacing w:line="360" w:lineRule="auto"/>
        <w:ind w:firstLine="567"/>
        <w:jc w:val="both"/>
      </w:pPr>
    </w:p>
    <w:p w14:paraId="6C8E37D4" w14:textId="77777777" w:rsidR="00171C36" w:rsidRPr="003F700D" w:rsidRDefault="00171C36" w:rsidP="004760D3">
      <w:pPr>
        <w:spacing w:line="360" w:lineRule="auto"/>
        <w:jc w:val="both"/>
      </w:pPr>
    </w:p>
    <w:sectPr w:rsidR="00171C36" w:rsidRPr="003F700D" w:rsidSect="008748F1">
      <w:headerReference w:type="first" r:id="rId19"/>
      <w:footerReference w:type="first" r:id="rId20"/>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49754" w14:textId="77777777" w:rsidR="005736E0" w:rsidRDefault="005736E0" w:rsidP="00214ACA">
      <w:r>
        <w:separator/>
      </w:r>
    </w:p>
  </w:endnote>
  <w:endnote w:type="continuationSeparator" w:id="0">
    <w:p w14:paraId="76D377CC" w14:textId="77777777" w:rsidR="005736E0" w:rsidRDefault="005736E0"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F7BA" w14:textId="77777777" w:rsidR="00214ACA" w:rsidRPr="00A7142A" w:rsidRDefault="00DD11CB"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58C6C649" wp14:editId="5CB1CB50">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6DAA10" w14:textId="6DF91620"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26C37">
                            <w:rPr>
                              <w:rFonts w:ascii="Verdana" w:hAnsi="Verdana"/>
                              <w:noProof/>
                              <w:color w:val="FFFFFF" w:themeColor="background1"/>
                              <w:sz w:val="20"/>
                              <w:szCs w:val="20"/>
                            </w:rPr>
                            <w:t>9</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C6C6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446DAA10" w14:textId="6DF91620"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26C37">
                      <w:rPr>
                        <w:rFonts w:ascii="Verdana" w:hAnsi="Verdana"/>
                        <w:noProof/>
                        <w:color w:val="FFFFFF" w:themeColor="background1"/>
                        <w:sz w:val="20"/>
                        <w:szCs w:val="20"/>
                      </w:rPr>
                      <w:t>9</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2BD1B260" wp14:editId="26B4DF73">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00171C36"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03ECF8B3" wp14:editId="350DAE2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214ACA" w:rsidRPr="00A7142A">
      <w:rPr>
        <w:rFonts w:ascii="Verdana" w:hAnsi="Verdana"/>
        <w:color w:val="31312F"/>
        <w:sz w:val="16"/>
        <w:szCs w:val="16"/>
      </w:rPr>
      <w:t>София</w:t>
    </w:r>
    <w:r w:rsidR="00214ACA" w:rsidRPr="00A7142A">
      <w:rPr>
        <w:rFonts w:ascii="Verdana" w:hAnsi="Verdana"/>
        <w:color w:val="31312F"/>
        <w:spacing w:val="-9"/>
        <w:sz w:val="16"/>
        <w:szCs w:val="16"/>
      </w:rPr>
      <w:t xml:space="preserve"> </w:t>
    </w:r>
    <w:r w:rsidR="00214ACA" w:rsidRPr="00A7142A">
      <w:rPr>
        <w:rFonts w:ascii="Verdana" w:hAnsi="Verdana"/>
        <w:color w:val="31312F"/>
        <w:sz w:val="16"/>
        <w:szCs w:val="16"/>
      </w:rPr>
      <w:t>1038,</w:t>
    </w:r>
    <w:r w:rsidR="00214ACA" w:rsidRPr="00A7142A">
      <w:rPr>
        <w:rFonts w:ascii="Verdana" w:hAnsi="Verdana"/>
        <w:color w:val="31312F"/>
        <w:spacing w:val="16"/>
        <w:sz w:val="16"/>
        <w:szCs w:val="16"/>
      </w:rPr>
      <w:t xml:space="preserve"> </w:t>
    </w:r>
    <w:r w:rsidR="00214ACA" w:rsidRPr="00A7142A">
      <w:rPr>
        <w:rFonts w:ascii="Verdana" w:hAnsi="Verdana"/>
        <w:color w:val="31312F"/>
        <w:sz w:val="16"/>
        <w:szCs w:val="16"/>
      </w:rPr>
      <w:t>Б</w:t>
    </w:r>
    <w:r w:rsidR="00214ACA" w:rsidRPr="00A7142A">
      <w:rPr>
        <w:rFonts w:ascii="Verdana" w:hAnsi="Verdana"/>
        <w:color w:val="4F4F4D"/>
        <w:sz w:val="16"/>
        <w:szCs w:val="16"/>
      </w:rPr>
      <w:t>ъл</w:t>
    </w:r>
    <w:r w:rsidR="00214ACA" w:rsidRPr="00A7142A">
      <w:rPr>
        <w:rFonts w:ascii="Verdana" w:hAnsi="Verdana"/>
        <w:color w:val="31312F"/>
        <w:sz w:val="16"/>
        <w:szCs w:val="16"/>
      </w:rPr>
      <w:t>гария,</w:t>
    </w:r>
    <w:r w:rsidR="00214ACA" w:rsidRPr="00A7142A">
      <w:rPr>
        <w:rFonts w:ascii="Verdana" w:hAnsi="Verdana"/>
        <w:color w:val="31312F"/>
        <w:spacing w:val="-6"/>
        <w:sz w:val="16"/>
        <w:szCs w:val="16"/>
      </w:rPr>
      <w:t xml:space="preserve"> </w:t>
    </w:r>
    <w:r w:rsidR="00214ACA" w:rsidRPr="00A7142A">
      <w:rPr>
        <w:rFonts w:ascii="Verdana" w:hAnsi="Verdana"/>
        <w:color w:val="31312F"/>
        <w:sz w:val="16"/>
        <w:szCs w:val="16"/>
      </w:rPr>
      <w:t>ул. ,,П</w:t>
    </w:r>
    <w:r w:rsidR="00214ACA" w:rsidRPr="00A7142A">
      <w:rPr>
        <w:rFonts w:ascii="Verdana" w:hAnsi="Verdana"/>
        <w:color w:val="4F4F4D"/>
        <w:sz w:val="16"/>
        <w:szCs w:val="16"/>
      </w:rPr>
      <w:t>.</w:t>
    </w:r>
    <w:r w:rsidR="00214ACA" w:rsidRPr="00A7142A">
      <w:rPr>
        <w:rFonts w:ascii="Verdana" w:hAnsi="Verdana"/>
        <w:color w:val="4F4F4D"/>
        <w:spacing w:val="1"/>
        <w:sz w:val="16"/>
        <w:szCs w:val="16"/>
      </w:rPr>
      <w:t xml:space="preserve"> </w:t>
    </w:r>
    <w:r w:rsidR="00214ACA" w:rsidRPr="00A7142A">
      <w:rPr>
        <w:rFonts w:ascii="Verdana" w:hAnsi="Verdana"/>
        <w:color w:val="31312F"/>
        <w:sz w:val="16"/>
        <w:szCs w:val="16"/>
      </w:rPr>
      <w:t>Волов</w:t>
    </w:r>
    <w:r w:rsidR="00364357" w:rsidRPr="00A7142A">
      <w:rPr>
        <w:rFonts w:ascii="Verdana" w:hAnsi="Verdana"/>
        <w:color w:val="31312F"/>
        <w:sz w:val="16"/>
        <w:szCs w:val="16"/>
      </w:rPr>
      <w:t>“</w:t>
    </w:r>
    <w:r w:rsidR="00214ACA" w:rsidRPr="00A7142A">
      <w:rPr>
        <w:rFonts w:ascii="Verdana" w:hAnsi="Verdana"/>
        <w:color w:val="31312F"/>
        <w:spacing w:val="11"/>
        <w:sz w:val="16"/>
        <w:szCs w:val="16"/>
      </w:rPr>
      <w:t xml:space="preserve"> </w:t>
    </w:r>
    <w:r w:rsidR="00214ACA" w:rsidRPr="00A7142A">
      <w:rPr>
        <w:rFonts w:ascii="Verdana" w:hAnsi="Verdana"/>
        <w:color w:val="31312F"/>
        <w:sz w:val="16"/>
        <w:szCs w:val="16"/>
      </w:rPr>
      <w:t>№</w:t>
    </w:r>
    <w:r w:rsidR="00214ACA" w:rsidRPr="00A7142A">
      <w:rPr>
        <w:rFonts w:ascii="Verdana" w:hAnsi="Verdana"/>
        <w:color w:val="31312F"/>
        <w:spacing w:val="36"/>
        <w:sz w:val="16"/>
        <w:szCs w:val="16"/>
      </w:rPr>
      <w:t xml:space="preserve"> </w:t>
    </w:r>
    <w:r w:rsidR="00214ACA" w:rsidRPr="00A7142A">
      <w:rPr>
        <w:rFonts w:ascii="Verdana" w:hAnsi="Verdana"/>
        <w:color w:val="31312F"/>
        <w:sz w:val="16"/>
        <w:szCs w:val="16"/>
      </w:rPr>
      <w:t>2,</w:t>
    </w:r>
    <w:r w:rsidR="00214ACA" w:rsidRPr="00A7142A">
      <w:rPr>
        <w:rFonts w:ascii="Verdana" w:hAnsi="Verdana"/>
        <w:color w:val="31312F"/>
        <w:spacing w:val="15"/>
        <w:sz w:val="16"/>
        <w:szCs w:val="16"/>
      </w:rPr>
      <w:t xml:space="preserve"> </w:t>
    </w:r>
    <w:r w:rsidR="00214ACA" w:rsidRPr="00A7142A">
      <w:rPr>
        <w:rFonts w:ascii="Verdana" w:hAnsi="Verdana"/>
        <w:color w:val="31312F"/>
        <w:sz w:val="16"/>
        <w:szCs w:val="16"/>
      </w:rPr>
      <w:t>тел.</w:t>
    </w:r>
    <w:r w:rsidR="00214ACA" w:rsidRPr="00A7142A">
      <w:rPr>
        <w:rFonts w:ascii="Verdana" w:hAnsi="Verdana"/>
        <w:color w:val="31312F"/>
        <w:spacing w:val="10"/>
        <w:sz w:val="16"/>
        <w:szCs w:val="16"/>
      </w:rPr>
      <w:t xml:space="preserve"> </w:t>
    </w:r>
    <w:r w:rsidR="006A212D" w:rsidRPr="00A7142A">
      <w:rPr>
        <w:rFonts w:ascii="Verdana" w:hAnsi="Verdana"/>
        <w:color w:val="31312F"/>
        <w:spacing w:val="10"/>
        <w:sz w:val="16"/>
        <w:szCs w:val="16"/>
        <w:lang w:val="en-US"/>
      </w:rPr>
      <w:t>(</w:t>
    </w:r>
    <w:r w:rsidR="00214ACA" w:rsidRPr="00A7142A">
      <w:rPr>
        <w:rFonts w:ascii="Verdana" w:hAnsi="Verdana"/>
        <w:color w:val="31312F"/>
        <w:sz w:val="16"/>
        <w:szCs w:val="16"/>
      </w:rPr>
      <w:t>02</w:t>
    </w:r>
    <w:r w:rsidR="006A212D" w:rsidRPr="00A7142A">
      <w:rPr>
        <w:rFonts w:ascii="Verdana" w:hAnsi="Verdana"/>
        <w:color w:val="4F4F4D"/>
        <w:sz w:val="16"/>
        <w:szCs w:val="16"/>
        <w:lang w:val="en-US"/>
      </w:rPr>
      <w:t>)</w:t>
    </w:r>
    <w:r w:rsidR="00214ACA" w:rsidRPr="00A7142A">
      <w:rPr>
        <w:rFonts w:ascii="Verdana" w:hAnsi="Verdana"/>
        <w:color w:val="4F4F4D"/>
        <w:spacing w:val="30"/>
        <w:sz w:val="16"/>
        <w:szCs w:val="16"/>
      </w:rPr>
      <w:t xml:space="preserve"> </w:t>
    </w:r>
    <w:r w:rsidR="00214ACA" w:rsidRPr="00A7142A">
      <w:rPr>
        <w:rFonts w:ascii="Verdana" w:hAnsi="Verdana"/>
        <w:color w:val="31312F"/>
        <w:sz w:val="16"/>
        <w:szCs w:val="16"/>
      </w:rPr>
      <w:t>9857</w:t>
    </w:r>
    <w:r w:rsidR="006A212D" w:rsidRPr="00A7142A">
      <w:rPr>
        <w:rFonts w:ascii="Verdana" w:hAnsi="Verdana"/>
        <w:color w:val="31312F"/>
        <w:sz w:val="16"/>
        <w:szCs w:val="16"/>
        <w:lang w:val="en-US"/>
      </w:rPr>
      <w:t xml:space="preserve"> </w:t>
    </w:r>
    <w:r w:rsidR="00214ACA" w:rsidRPr="00A7142A">
      <w:rPr>
        <w:rFonts w:ascii="Verdana" w:hAnsi="Verdana"/>
        <w:color w:val="31312F"/>
        <w:sz w:val="16"/>
        <w:szCs w:val="16"/>
      </w:rPr>
      <w:t>111,</w:t>
    </w:r>
    <w:r w:rsidR="00214ACA" w:rsidRPr="00A7142A">
      <w:rPr>
        <w:rFonts w:ascii="Verdana" w:hAnsi="Verdana"/>
        <w:color w:val="31312F"/>
        <w:spacing w:val="19"/>
        <w:sz w:val="16"/>
        <w:szCs w:val="16"/>
      </w:rPr>
      <w:t xml:space="preserve"> </w:t>
    </w:r>
    <w:r w:rsidR="00214ACA" w:rsidRPr="00A7142A">
      <w:rPr>
        <w:rFonts w:ascii="Verdana" w:hAnsi="Verdana"/>
        <w:color w:val="31312F"/>
        <w:sz w:val="16"/>
        <w:szCs w:val="16"/>
      </w:rPr>
      <w:t>e</w:t>
    </w:r>
    <w:r w:rsidR="00214ACA" w:rsidRPr="00A7142A">
      <w:rPr>
        <w:rFonts w:ascii="Verdana" w:hAnsi="Verdana"/>
        <w:color w:val="676766"/>
        <w:sz w:val="16"/>
        <w:szCs w:val="16"/>
      </w:rPr>
      <w:t>-</w:t>
    </w:r>
    <w:r w:rsidR="00214ACA" w:rsidRPr="00A7142A">
      <w:rPr>
        <w:rFonts w:ascii="Verdana" w:hAnsi="Verdana"/>
        <w:color w:val="31312F"/>
        <w:sz w:val="16"/>
        <w:szCs w:val="16"/>
      </w:rPr>
      <w:t>mail:</w:t>
    </w:r>
    <w:r w:rsidR="00214ACA" w:rsidRPr="00A7142A">
      <w:rPr>
        <w:rFonts w:ascii="Verdana" w:hAnsi="Verdana"/>
        <w:color w:val="31312F"/>
        <w:spacing w:val="40"/>
        <w:sz w:val="16"/>
        <w:szCs w:val="16"/>
      </w:rPr>
      <w:t xml:space="preserve"> </w:t>
    </w:r>
    <w:r w:rsidR="00214ACA" w:rsidRPr="00A7142A">
      <w:rPr>
        <w:rFonts w:ascii="Verdana" w:hAnsi="Verdana"/>
        <w:color w:val="31312F"/>
        <w:spacing w:val="-2"/>
        <w:sz w:val="16"/>
        <w:szCs w:val="16"/>
      </w:rPr>
      <w:t xml:space="preserve">info@nsi.bg, </w:t>
    </w:r>
    <w:hyperlink r:id="rId1">
      <w:r w:rsidR="00214ACA"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AB1F" w14:textId="77777777" w:rsidR="00654814" w:rsidRDefault="001E5B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084A2537" wp14:editId="1F826083">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67BD3789" wp14:editId="61087A94">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86CD51" w14:textId="016484C1"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26C37">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D3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5486CD51" w14:textId="016484C1"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26C37">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053" w14:textId="77777777"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03ECCC02" wp14:editId="2E5B1144">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76B21B71" wp14:editId="29D3B1AB">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292446" w14:textId="156C464F"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26C37">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6B21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03292446" w14:textId="156C464F"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26C37">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3953AB16" wp14:editId="59D74D26">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14:paraId="41601FA7" w14:textId="77777777"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388EA" w14:textId="77777777" w:rsidR="005736E0" w:rsidRDefault="005736E0" w:rsidP="00214ACA">
      <w:r>
        <w:separator/>
      </w:r>
    </w:p>
  </w:footnote>
  <w:footnote w:type="continuationSeparator" w:id="0">
    <w:p w14:paraId="609FD2CB" w14:textId="77777777" w:rsidR="005736E0" w:rsidRDefault="005736E0" w:rsidP="00214ACA">
      <w:r>
        <w:continuationSeparator/>
      </w:r>
    </w:p>
  </w:footnote>
  <w:footnote w:id="1">
    <w:p w14:paraId="33B782B2" w14:textId="5B714774" w:rsidR="004D4E21" w:rsidRPr="00CA73A8" w:rsidRDefault="004D4E21" w:rsidP="00CA73A8">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sidR="00225AD3">
        <w:rPr>
          <w:rFonts w:ascii="Verdana" w:hAnsi="Verdana"/>
          <w:sz w:val="16"/>
          <w:szCs w:val="16"/>
          <w:lang w:val="en-US"/>
        </w:rPr>
        <w:t>6</w:t>
      </w:r>
      <w:r w:rsidRPr="003219C4">
        <w:rPr>
          <w:rFonts w:ascii="Verdana" w:hAnsi="Verdana"/>
          <w:sz w:val="16"/>
          <w:szCs w:val="16"/>
          <w:lang w:val="bg-BG"/>
        </w:rPr>
        <w:t xml:space="preserve"> и </w:t>
      </w:r>
      <w:r w:rsidR="00225AD3">
        <w:rPr>
          <w:rFonts w:ascii="Verdana" w:hAnsi="Verdana"/>
          <w:sz w:val="16"/>
          <w:szCs w:val="16"/>
          <w:lang w:val="en-US"/>
        </w:rPr>
        <w:t>7</w:t>
      </w:r>
      <w:r w:rsidRPr="003219C4">
        <w:rPr>
          <w:rFonts w:ascii="Verdana" w:hAnsi="Verdana"/>
          <w:sz w:val="16"/>
          <w:szCs w:val="16"/>
          <w:lang w:val="bg-BG"/>
        </w:rPr>
        <w:t xml:space="preserve"> и </w:t>
      </w:r>
      <w:r w:rsidR="00D75020" w:rsidRPr="003219C4">
        <w:rPr>
          <w:rFonts w:ascii="Verdana" w:hAnsi="Verdana"/>
          <w:sz w:val="16"/>
          <w:szCs w:val="16"/>
          <w:lang w:val="bg-BG"/>
        </w:rPr>
        <w:t xml:space="preserve">виж </w:t>
      </w:r>
      <w:r w:rsidRPr="003219C4">
        <w:rPr>
          <w:rFonts w:ascii="Verdana" w:hAnsi="Verdana"/>
          <w:sz w:val="16"/>
          <w:szCs w:val="16"/>
          <w:lang w:val="bg-BG"/>
        </w:rPr>
        <w:t>табл. 1 от приложението.</w:t>
      </w:r>
    </w:p>
  </w:footnote>
  <w:footnote w:id="2">
    <w:p w14:paraId="221DC2FA" w14:textId="047D770C" w:rsidR="00AF4F13" w:rsidRPr="003219C4" w:rsidRDefault="00AF4F13" w:rsidP="00CA73A8">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sidR="00225AD3">
        <w:rPr>
          <w:rFonts w:ascii="Verdana" w:hAnsi="Verdana"/>
          <w:sz w:val="16"/>
          <w:szCs w:val="16"/>
          <w:lang w:val="en-US"/>
        </w:rPr>
        <w:t>6</w:t>
      </w:r>
      <w:r w:rsidRPr="003219C4">
        <w:rPr>
          <w:rFonts w:ascii="Verdana" w:hAnsi="Verdana"/>
          <w:sz w:val="16"/>
          <w:szCs w:val="16"/>
          <w:lang w:val="bg-BG"/>
        </w:rPr>
        <w:t xml:space="preserve"> и </w:t>
      </w:r>
      <w:r w:rsidR="00225AD3">
        <w:rPr>
          <w:rFonts w:ascii="Verdana" w:hAnsi="Verdana"/>
          <w:sz w:val="16"/>
          <w:szCs w:val="16"/>
          <w:lang w:val="en-US"/>
        </w:rPr>
        <w:t>7</w:t>
      </w:r>
      <w:r w:rsidRPr="003219C4">
        <w:rPr>
          <w:rFonts w:ascii="Verdana" w:hAnsi="Verdana"/>
          <w:sz w:val="16"/>
          <w:szCs w:val="16"/>
          <w:lang w:val="bg-BG"/>
        </w:rPr>
        <w:t xml:space="preserve"> и </w:t>
      </w:r>
      <w:r w:rsidR="00C565D7" w:rsidRPr="003219C4">
        <w:rPr>
          <w:rFonts w:ascii="Verdana" w:hAnsi="Verdana"/>
          <w:sz w:val="16"/>
          <w:szCs w:val="16"/>
          <w:lang w:val="bg-BG"/>
        </w:rPr>
        <w:t xml:space="preserve">виж </w:t>
      </w:r>
      <w:r w:rsidRPr="003219C4">
        <w:rPr>
          <w:rFonts w:ascii="Verdana" w:hAnsi="Verdana"/>
          <w:sz w:val="16"/>
          <w:szCs w:val="16"/>
          <w:lang w:val="bg-BG"/>
        </w:rPr>
        <w:t xml:space="preserve">табл. 2 от </w:t>
      </w:r>
      <w:r w:rsidR="00F31B11" w:rsidRPr="003219C4">
        <w:rPr>
          <w:rFonts w:ascii="Verdana" w:hAnsi="Verdana"/>
          <w:sz w:val="16"/>
          <w:szCs w:val="16"/>
          <w:lang w:val="bg-BG"/>
        </w:rPr>
        <w:t>п</w:t>
      </w:r>
      <w:r w:rsidRPr="003219C4">
        <w:rPr>
          <w:rFonts w:ascii="Verdana" w:hAnsi="Verdana"/>
          <w:sz w:val="16"/>
          <w:szCs w:val="16"/>
          <w:lang w:val="bg-BG"/>
        </w:rPr>
        <w:t>риложението.</w:t>
      </w:r>
    </w:p>
  </w:footnote>
  <w:footnote w:id="3">
    <w:p w14:paraId="6ACDC244" w14:textId="3A035C6E" w:rsidR="00AF4F13" w:rsidRPr="003219C4" w:rsidRDefault="00AF4F13" w:rsidP="009F2280">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sidR="00225AD3">
        <w:rPr>
          <w:rFonts w:ascii="Verdana" w:hAnsi="Verdana"/>
          <w:sz w:val="16"/>
          <w:szCs w:val="16"/>
          <w:lang w:val="en-US"/>
        </w:rPr>
        <w:t>6</w:t>
      </w:r>
      <w:r w:rsidRPr="003219C4">
        <w:rPr>
          <w:rFonts w:ascii="Verdana" w:hAnsi="Verdana"/>
          <w:sz w:val="16"/>
          <w:szCs w:val="16"/>
          <w:lang w:val="bg-BG"/>
        </w:rPr>
        <w:t xml:space="preserve"> и </w:t>
      </w:r>
      <w:r w:rsidR="00225AD3">
        <w:rPr>
          <w:rFonts w:ascii="Verdana" w:hAnsi="Verdana"/>
          <w:sz w:val="16"/>
          <w:szCs w:val="16"/>
          <w:lang w:val="en-US"/>
        </w:rPr>
        <w:t>7</w:t>
      </w:r>
      <w:r w:rsidRPr="003219C4">
        <w:rPr>
          <w:rFonts w:ascii="Verdana" w:hAnsi="Verdana"/>
          <w:sz w:val="16"/>
          <w:szCs w:val="16"/>
          <w:lang w:val="bg-BG"/>
        </w:rPr>
        <w:t xml:space="preserve"> и </w:t>
      </w:r>
      <w:r w:rsidR="0055469F" w:rsidRPr="003219C4">
        <w:rPr>
          <w:rFonts w:ascii="Verdana" w:hAnsi="Verdana"/>
          <w:sz w:val="16"/>
          <w:szCs w:val="16"/>
          <w:lang w:val="bg-BG"/>
        </w:rPr>
        <w:t xml:space="preserve">виж </w:t>
      </w:r>
      <w:r w:rsidRPr="003219C4">
        <w:rPr>
          <w:rFonts w:ascii="Verdana" w:hAnsi="Verdana"/>
          <w:sz w:val="16"/>
          <w:szCs w:val="16"/>
          <w:lang w:val="bg-BG"/>
        </w:rPr>
        <w:t xml:space="preserve">табл. 3 от </w:t>
      </w:r>
      <w:r w:rsidR="00F31B11" w:rsidRPr="003219C4">
        <w:rPr>
          <w:rFonts w:ascii="Verdana" w:hAnsi="Verdana"/>
          <w:sz w:val="16"/>
          <w:szCs w:val="16"/>
          <w:lang w:val="bg-BG"/>
        </w:rPr>
        <w:t>п</w:t>
      </w:r>
      <w:r w:rsidRPr="003219C4">
        <w:rPr>
          <w:rFonts w:ascii="Verdana" w:hAnsi="Verdana"/>
          <w:sz w:val="16"/>
          <w:szCs w:val="16"/>
          <w:lang w:val="bg-BG"/>
        </w:rPr>
        <w:t>риложението.</w:t>
      </w:r>
    </w:p>
  </w:footnote>
  <w:footnote w:id="4">
    <w:p w14:paraId="72A2958C" w14:textId="4800B17E" w:rsidR="009F2280" w:rsidRPr="00CA1104" w:rsidRDefault="002D0367" w:rsidP="00A96C6E">
      <w:pPr>
        <w:pStyle w:val="FootnoteText"/>
        <w:jc w:val="both"/>
        <w:rPr>
          <w:rFonts w:ascii="Verdana" w:hAnsi="Verdana"/>
          <w:sz w:val="16"/>
          <w:szCs w:val="16"/>
          <w:lang w:val="bg-BG"/>
        </w:rPr>
      </w:pPr>
      <w:r w:rsidRPr="00CA1104">
        <w:rPr>
          <w:rStyle w:val="FootnoteReference"/>
          <w:rFonts w:ascii="Verdana" w:hAnsi="Verdana"/>
          <w:sz w:val="16"/>
          <w:szCs w:val="16"/>
        </w:rPr>
        <w:footnoteRef/>
      </w:r>
      <w:r w:rsidRPr="00CA1104">
        <w:rPr>
          <w:rFonts w:ascii="Verdana" w:hAnsi="Verdana"/>
          <w:sz w:val="16"/>
          <w:szCs w:val="16"/>
        </w:rPr>
        <w:t xml:space="preserve"> </w:t>
      </w:r>
      <w:r w:rsidR="00A96C6E" w:rsidRPr="00CA1104">
        <w:rPr>
          <w:rFonts w:ascii="Verdana" w:hAnsi="Verdana" w:hint="cs"/>
          <w:sz w:val="16"/>
          <w:szCs w:val="16"/>
          <w:lang w:val="bg-BG"/>
        </w:rPr>
        <w:t>Насоки</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относно</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конструирането</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на</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тегла</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на</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ХИПЦ</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в</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случай</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на</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големи</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промени</w:t>
      </w:r>
      <w:r w:rsidR="00A96C6E" w:rsidRPr="00CA1104">
        <w:rPr>
          <w:rFonts w:ascii="Verdana" w:hAnsi="Verdana"/>
          <w:sz w:val="16"/>
          <w:szCs w:val="16"/>
          <w:lang w:val="bg-BG"/>
        </w:rPr>
        <w:t xml:space="preserve"> на разходите на </w:t>
      </w:r>
      <w:r w:rsidR="00A96C6E" w:rsidRPr="00CA1104">
        <w:rPr>
          <w:rFonts w:ascii="Verdana" w:hAnsi="Verdana" w:hint="cs"/>
          <w:sz w:val="16"/>
          <w:szCs w:val="16"/>
          <w:lang w:val="bg-BG"/>
        </w:rPr>
        <w:t>потребителите</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Евростат</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Дирекция</w:t>
      </w:r>
      <w:r w:rsidR="00A96C6E" w:rsidRPr="00CA1104">
        <w:rPr>
          <w:rFonts w:ascii="Verdana" w:hAnsi="Verdana"/>
          <w:sz w:val="16"/>
          <w:szCs w:val="16"/>
          <w:lang w:val="bg-BG"/>
        </w:rPr>
        <w:t xml:space="preserve"> C</w:t>
      </w:r>
      <w:r w:rsidR="00DC5458" w:rsidRPr="00CA1104">
        <w:rPr>
          <w:rFonts w:ascii="Verdana" w:hAnsi="Verdana"/>
          <w:sz w:val="16"/>
          <w:szCs w:val="16"/>
          <w:lang w:val="bg-BG"/>
        </w:rPr>
        <w:t xml:space="preserve"> „</w:t>
      </w:r>
      <w:r w:rsidR="00A96C6E" w:rsidRPr="00CA1104">
        <w:rPr>
          <w:rFonts w:ascii="Verdana" w:hAnsi="Verdana" w:hint="cs"/>
          <w:sz w:val="16"/>
          <w:szCs w:val="16"/>
          <w:lang w:val="bg-BG"/>
        </w:rPr>
        <w:t>Макроикономическа</w:t>
      </w:r>
      <w:r w:rsidR="00A96C6E" w:rsidRPr="00CA1104">
        <w:rPr>
          <w:rFonts w:ascii="Verdana" w:hAnsi="Verdana"/>
          <w:sz w:val="16"/>
          <w:szCs w:val="16"/>
          <w:lang w:val="bg-BG"/>
        </w:rPr>
        <w:t xml:space="preserve"> </w:t>
      </w:r>
      <w:r w:rsidR="00A96C6E" w:rsidRPr="00CA1104">
        <w:rPr>
          <w:rFonts w:ascii="Verdana" w:hAnsi="Verdana" w:hint="cs"/>
          <w:sz w:val="16"/>
          <w:szCs w:val="16"/>
          <w:lang w:val="bg-BG"/>
        </w:rPr>
        <w:t>статистика</w:t>
      </w:r>
      <w:r w:rsidR="00087722">
        <w:rPr>
          <w:rFonts w:ascii="Verdana" w:hAnsi="Verdana"/>
          <w:sz w:val="16"/>
          <w:szCs w:val="16"/>
          <w:lang w:val="bg-BG"/>
        </w:rPr>
        <w:t>“</w:t>
      </w:r>
      <w:r w:rsidR="00DC5458" w:rsidRPr="00CA1104">
        <w:rPr>
          <w:rFonts w:ascii="Verdana" w:hAnsi="Verdana"/>
          <w:sz w:val="16"/>
          <w:szCs w:val="16"/>
          <w:lang w:val="bg-BG"/>
        </w:rPr>
        <w:t xml:space="preserve">, 3.02.2020: </w:t>
      </w:r>
    </w:p>
    <w:p w14:paraId="62501CF6" w14:textId="77777777" w:rsidR="002D0367" w:rsidRPr="009F2280" w:rsidRDefault="00496BB1" w:rsidP="00B6138F">
      <w:pPr>
        <w:pStyle w:val="FootnoteText"/>
        <w:jc w:val="both"/>
        <w:rPr>
          <w:rFonts w:ascii="Verdana" w:hAnsi="Verdana"/>
          <w:sz w:val="16"/>
          <w:szCs w:val="16"/>
          <w:lang w:val="en-US"/>
        </w:rPr>
      </w:pPr>
      <w:hyperlink r:id="rId1" w:history="1">
        <w:r w:rsidR="002D0367" w:rsidRPr="00CA1104">
          <w:rPr>
            <w:rStyle w:val="Hyperlink"/>
            <w:rFonts w:ascii="Verdana" w:hAnsi="Verdana"/>
            <w:sz w:val="16"/>
            <w:szCs w:val="16"/>
            <w:lang w:val="en-US"/>
          </w:rPr>
          <w:t>https://ec.europa.eu/eurostat/documents/10186/10693286/Guidance-on-the-compilation-of-HICP-weights-in-case-of-large-changes-in-consumer-expenditures.pdf</w:t>
        </w:r>
      </w:hyperlink>
      <w:r w:rsidR="002D0367" w:rsidRPr="00CA110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D0A7" w14:textId="77777777" w:rsidR="00B77149" w:rsidRPr="00B77149" w:rsidRDefault="008748F1"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7B134193" wp14:editId="48B46BCF">
              <wp:simplePos x="0" y="0"/>
              <wp:positionH relativeFrom="margin">
                <wp:posOffset>-229870</wp:posOffset>
              </wp:positionH>
              <wp:positionV relativeFrom="paragraph">
                <wp:posOffset>-497840</wp:posOffset>
              </wp:positionV>
              <wp:extent cx="5819775" cy="4445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44500"/>
                      </a:xfrm>
                      <a:prstGeom prst="rect">
                        <a:avLst/>
                      </a:prstGeom>
                      <a:solidFill>
                        <a:srgbClr val="FFFFFF"/>
                      </a:solidFill>
                      <a:ln w="9525">
                        <a:noFill/>
                        <a:miter lim="800000"/>
                        <a:headEnd/>
                        <a:tailEnd/>
                      </a:ln>
                    </wps:spPr>
                    <wps:txbx>
                      <w:txbxContent>
                        <w:p w14:paraId="16B23BFF" w14:textId="77777777"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025696AA" w:rsidR="00101DE0" w:rsidRPr="00101DE0" w:rsidRDefault="00976A87"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АВГУСТ</w:t>
                          </w:r>
                          <w:r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34193" id="_x0000_t202" coordsize="21600,21600" o:spt="202" path="m,l,21600r21600,l21600,xe">
              <v:stroke joinstyle="miter"/>
              <v:path gradientshapeok="t" o:connecttype="rect"/>
            </v:shapetype>
            <v:shape id="Text Box 2" o:spid="_x0000_s1026" type="#_x0000_t202" style="position:absolute;margin-left:-18.1pt;margin-top:-39.2pt;width:458.25pt;height: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" stroked="f">
              <v:textbox>
                <w:txbxContent>
                  <w:p w14:paraId="16B23BFF" w14:textId="77777777"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025696AA" w:rsidR="00101DE0" w:rsidRPr="00101DE0" w:rsidRDefault="00976A87"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АВГУСТ</w:t>
                    </w:r>
                    <w:r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03BD6312" wp14:editId="138E6509">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641" w14:textId="77777777" w:rsidR="00B07D27" w:rsidRPr="009E4021" w:rsidRDefault="00E13DB4"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68DF5181" wp14:editId="5A46B04E">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sidR="00101DE0">
      <w:rPr>
        <w:noProof/>
        <w:lang w:eastAsia="bg-BG"/>
      </w:rPr>
      <w:drawing>
        <wp:anchor distT="0" distB="0" distL="114300" distR="114300" simplePos="0" relativeHeight="251668480" behindDoc="0" locked="0" layoutInCell="1" allowOverlap="1" wp14:anchorId="64E6967F" wp14:editId="7D287122">
          <wp:simplePos x="0" y="0"/>
          <wp:positionH relativeFrom="margin">
            <wp:posOffset>4979035</wp:posOffset>
          </wp:positionH>
          <wp:positionV relativeFrom="topMargin">
            <wp:posOffset>847725</wp:posOffset>
          </wp:positionV>
          <wp:extent cx="772795" cy="581025"/>
          <wp:effectExtent l="0" t="0" r="825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009E4021"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13890DE1" wp14:editId="0BE63334">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AFF25D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90DE1"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14:paraId="3AFF25D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009E4021"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194709CA" wp14:editId="554F513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009E4021" w:rsidRPr="00670E25">
      <w:rPr>
        <w:rFonts w:ascii="Viol" w:hAnsi="Viol"/>
        <w:noProof/>
        <w:lang w:eastAsia="bg-BG"/>
      </w:rPr>
      <w:drawing>
        <wp:anchor distT="0" distB="0" distL="0" distR="0" simplePos="0" relativeHeight="251667456" behindDoc="0" locked="0" layoutInCell="1" allowOverlap="1" wp14:anchorId="5EEA913A" wp14:editId="67D24266">
          <wp:simplePos x="0" y="0"/>
          <wp:positionH relativeFrom="margin">
            <wp:align>left</wp:align>
          </wp:positionH>
          <wp:positionV relativeFrom="paragraph">
            <wp:posOffset>-765175</wp:posOffset>
          </wp:positionV>
          <wp:extent cx="581025" cy="810000"/>
          <wp:effectExtent l="0" t="0" r="0"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011B1D98" w14:textId="77777777" w:rsidR="00B07D27" w:rsidRPr="004F064E" w:rsidRDefault="00B07D27"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5A36" w14:textId="77777777" w:rsidR="008748F1" w:rsidRPr="004F064E" w:rsidRDefault="002D0367"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1D536A9E" wp14:editId="242DE3A0">
              <wp:simplePos x="0" y="0"/>
              <wp:positionH relativeFrom="margin">
                <wp:posOffset>-32385</wp:posOffset>
              </wp:positionH>
              <wp:positionV relativeFrom="paragraph">
                <wp:posOffset>-442595</wp:posOffset>
              </wp:positionV>
              <wp:extent cx="5829300" cy="4476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7675"/>
                      </a:xfrm>
                      <a:prstGeom prst="rect">
                        <a:avLst/>
                      </a:prstGeom>
                      <a:solidFill>
                        <a:srgbClr val="FFFFFF"/>
                      </a:solidFill>
                      <a:ln w="9525">
                        <a:noFill/>
                        <a:miter lim="800000"/>
                        <a:headEnd/>
                        <a:tailEnd/>
                      </a:ln>
                    </wps:spPr>
                    <wps:txbx>
                      <w:txbxContent>
                        <w:p w14:paraId="7FF9F416" w14:textId="77777777"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7E6C239C" w:rsidR="008748F1" w:rsidRPr="00101DE0" w:rsidRDefault="0043281A"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АВГУСТ</w:t>
                          </w:r>
                          <w:r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36A9E" id="_x0000_t202" coordsize="21600,21600" o:spt="202" path="m,l,21600r21600,l21600,xe">
              <v:stroke joinstyle="miter"/>
              <v:path gradientshapeok="t" o:connecttype="rect"/>
            </v:shapetype>
            <v:shape id="_x0000_s1030" type="#_x0000_t202" style="position:absolute;margin-left:-2.55pt;margin-top:-34.85pt;width:459pt;height:35.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d5JAIAACM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" stroked="f">
              <v:textbox>
                <w:txbxContent>
                  <w:p w14:paraId="7FF9F416" w14:textId="77777777"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7E6C239C" w:rsidR="008748F1" w:rsidRPr="00101DE0" w:rsidRDefault="0043281A"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АВГУСТ</w:t>
                    </w:r>
                    <w:r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v:textbox>
              <w10:wrap type="square" anchorx="margin"/>
            </v:shape>
          </w:pict>
        </mc:Fallback>
      </mc:AlternateContent>
    </w:r>
    <w:r w:rsidR="008748F1"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0F823BC2" wp14:editId="123B31A9">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FDA66F"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6FD"/>
    <w:multiLevelType w:val="hybridMultilevel"/>
    <w:tmpl w:val="E074638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71E37492"/>
    <w:multiLevelType w:val="hybridMultilevel"/>
    <w:tmpl w:val="CB946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284"/>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17619"/>
    <w:rsid w:val="00030631"/>
    <w:rsid w:val="00036AD6"/>
    <w:rsid w:val="0004079A"/>
    <w:rsid w:val="0005007C"/>
    <w:rsid w:val="00055BF2"/>
    <w:rsid w:val="0006028D"/>
    <w:rsid w:val="0006051E"/>
    <w:rsid w:val="000607BC"/>
    <w:rsid w:val="000610FE"/>
    <w:rsid w:val="0007132A"/>
    <w:rsid w:val="000740D4"/>
    <w:rsid w:val="00077C97"/>
    <w:rsid w:val="00087722"/>
    <w:rsid w:val="000B17C2"/>
    <w:rsid w:val="000B2B10"/>
    <w:rsid w:val="000B4D12"/>
    <w:rsid w:val="000C0D56"/>
    <w:rsid w:val="000C7F80"/>
    <w:rsid w:val="000F0B88"/>
    <w:rsid w:val="000F0B89"/>
    <w:rsid w:val="000F4852"/>
    <w:rsid w:val="000F6F59"/>
    <w:rsid w:val="000F7642"/>
    <w:rsid w:val="00101DE0"/>
    <w:rsid w:val="00107F84"/>
    <w:rsid w:val="0012249C"/>
    <w:rsid w:val="00132776"/>
    <w:rsid w:val="00135547"/>
    <w:rsid w:val="00145929"/>
    <w:rsid w:val="00154B43"/>
    <w:rsid w:val="00164C03"/>
    <w:rsid w:val="00171C36"/>
    <w:rsid w:val="0017368C"/>
    <w:rsid w:val="001851E3"/>
    <w:rsid w:val="00185A6B"/>
    <w:rsid w:val="001901A0"/>
    <w:rsid w:val="001A67F2"/>
    <w:rsid w:val="001B03D8"/>
    <w:rsid w:val="001B0EEB"/>
    <w:rsid w:val="001D4A49"/>
    <w:rsid w:val="001D52EE"/>
    <w:rsid w:val="001E5BA2"/>
    <w:rsid w:val="001E7AC3"/>
    <w:rsid w:val="0020048B"/>
    <w:rsid w:val="002006B3"/>
    <w:rsid w:val="00214394"/>
    <w:rsid w:val="00214ACA"/>
    <w:rsid w:val="002152D3"/>
    <w:rsid w:val="00225AD3"/>
    <w:rsid w:val="00232030"/>
    <w:rsid w:val="00237B3D"/>
    <w:rsid w:val="00237F94"/>
    <w:rsid w:val="00243E84"/>
    <w:rsid w:val="00252433"/>
    <w:rsid w:val="00266C36"/>
    <w:rsid w:val="002747AF"/>
    <w:rsid w:val="0028599E"/>
    <w:rsid w:val="002A65A2"/>
    <w:rsid w:val="002B2436"/>
    <w:rsid w:val="002B2A4C"/>
    <w:rsid w:val="002C225E"/>
    <w:rsid w:val="002C30B9"/>
    <w:rsid w:val="002C72D4"/>
    <w:rsid w:val="002D0367"/>
    <w:rsid w:val="002E47FD"/>
    <w:rsid w:val="002F68FE"/>
    <w:rsid w:val="00304900"/>
    <w:rsid w:val="00314D13"/>
    <w:rsid w:val="00317411"/>
    <w:rsid w:val="003219C4"/>
    <w:rsid w:val="00322438"/>
    <w:rsid w:val="0032664B"/>
    <w:rsid w:val="00332C88"/>
    <w:rsid w:val="00336556"/>
    <w:rsid w:val="00337697"/>
    <w:rsid w:val="00343994"/>
    <w:rsid w:val="0034424B"/>
    <w:rsid w:val="00344854"/>
    <w:rsid w:val="0034514A"/>
    <w:rsid w:val="003462F3"/>
    <w:rsid w:val="00360952"/>
    <w:rsid w:val="00364357"/>
    <w:rsid w:val="003825B0"/>
    <w:rsid w:val="0038746A"/>
    <w:rsid w:val="003B0E18"/>
    <w:rsid w:val="003B2503"/>
    <w:rsid w:val="003B42F8"/>
    <w:rsid w:val="003B46BA"/>
    <w:rsid w:val="003B74BB"/>
    <w:rsid w:val="003C2111"/>
    <w:rsid w:val="003D5F6D"/>
    <w:rsid w:val="003E0FD9"/>
    <w:rsid w:val="003F4816"/>
    <w:rsid w:val="003F700D"/>
    <w:rsid w:val="004065E2"/>
    <w:rsid w:val="00413588"/>
    <w:rsid w:val="00415F30"/>
    <w:rsid w:val="0043281A"/>
    <w:rsid w:val="00444019"/>
    <w:rsid w:val="004456FE"/>
    <w:rsid w:val="00446CF4"/>
    <w:rsid w:val="00475750"/>
    <w:rsid w:val="004760D3"/>
    <w:rsid w:val="0047774D"/>
    <w:rsid w:val="00484B1C"/>
    <w:rsid w:val="00486232"/>
    <w:rsid w:val="00496BB1"/>
    <w:rsid w:val="004A4BD4"/>
    <w:rsid w:val="004B1C9B"/>
    <w:rsid w:val="004C29F6"/>
    <w:rsid w:val="004C3B19"/>
    <w:rsid w:val="004D37D8"/>
    <w:rsid w:val="004D4E21"/>
    <w:rsid w:val="004E69DD"/>
    <w:rsid w:val="004F064E"/>
    <w:rsid w:val="00520539"/>
    <w:rsid w:val="005346BB"/>
    <w:rsid w:val="005424B1"/>
    <w:rsid w:val="00553228"/>
    <w:rsid w:val="0055469F"/>
    <w:rsid w:val="005562AB"/>
    <w:rsid w:val="005623A7"/>
    <w:rsid w:val="00563744"/>
    <w:rsid w:val="00567710"/>
    <w:rsid w:val="005736E0"/>
    <w:rsid w:val="00582DD1"/>
    <w:rsid w:val="005A521C"/>
    <w:rsid w:val="005B19C9"/>
    <w:rsid w:val="005B34DE"/>
    <w:rsid w:val="005B4023"/>
    <w:rsid w:val="005D3384"/>
    <w:rsid w:val="005D6864"/>
    <w:rsid w:val="005F7394"/>
    <w:rsid w:val="00600941"/>
    <w:rsid w:val="00600F18"/>
    <w:rsid w:val="00603877"/>
    <w:rsid w:val="00603895"/>
    <w:rsid w:val="0061001D"/>
    <w:rsid w:val="006120F5"/>
    <w:rsid w:val="00643787"/>
    <w:rsid w:val="00644D53"/>
    <w:rsid w:val="00645D0B"/>
    <w:rsid w:val="00654814"/>
    <w:rsid w:val="00665729"/>
    <w:rsid w:val="00680D6E"/>
    <w:rsid w:val="00690C4F"/>
    <w:rsid w:val="006A212D"/>
    <w:rsid w:val="006B6662"/>
    <w:rsid w:val="006B7043"/>
    <w:rsid w:val="006B7A65"/>
    <w:rsid w:val="006C794E"/>
    <w:rsid w:val="006D1BE4"/>
    <w:rsid w:val="006D1FA3"/>
    <w:rsid w:val="006D5381"/>
    <w:rsid w:val="006E110E"/>
    <w:rsid w:val="006E299A"/>
    <w:rsid w:val="006F6351"/>
    <w:rsid w:val="00703094"/>
    <w:rsid w:val="00703CAC"/>
    <w:rsid w:val="00704539"/>
    <w:rsid w:val="00722041"/>
    <w:rsid w:val="00723A47"/>
    <w:rsid w:val="007557E9"/>
    <w:rsid w:val="0076239D"/>
    <w:rsid w:val="007627A5"/>
    <w:rsid w:val="00764226"/>
    <w:rsid w:val="00766AE7"/>
    <w:rsid w:val="00784D0E"/>
    <w:rsid w:val="007A18ED"/>
    <w:rsid w:val="007C33D1"/>
    <w:rsid w:val="007C400C"/>
    <w:rsid w:val="007C61E0"/>
    <w:rsid w:val="007C7A6A"/>
    <w:rsid w:val="007E0A9E"/>
    <w:rsid w:val="007E5880"/>
    <w:rsid w:val="007F116A"/>
    <w:rsid w:val="007F13BA"/>
    <w:rsid w:val="007F17B3"/>
    <w:rsid w:val="008016C8"/>
    <w:rsid w:val="00816660"/>
    <w:rsid w:val="00836F74"/>
    <w:rsid w:val="00846E6E"/>
    <w:rsid w:val="00852215"/>
    <w:rsid w:val="00861B41"/>
    <w:rsid w:val="00861FB4"/>
    <w:rsid w:val="00870559"/>
    <w:rsid w:val="00870EBF"/>
    <w:rsid w:val="008748F1"/>
    <w:rsid w:val="00877132"/>
    <w:rsid w:val="00881B14"/>
    <w:rsid w:val="00883238"/>
    <w:rsid w:val="00886E3F"/>
    <w:rsid w:val="00887479"/>
    <w:rsid w:val="008A00CC"/>
    <w:rsid w:val="008A31DB"/>
    <w:rsid w:val="008B6BDE"/>
    <w:rsid w:val="008C2A91"/>
    <w:rsid w:val="008C6150"/>
    <w:rsid w:val="008D10D4"/>
    <w:rsid w:val="008D2FA0"/>
    <w:rsid w:val="008D3797"/>
    <w:rsid w:val="008E35F8"/>
    <w:rsid w:val="008E71E8"/>
    <w:rsid w:val="008E73F8"/>
    <w:rsid w:val="00931B16"/>
    <w:rsid w:val="00932658"/>
    <w:rsid w:val="00935E0A"/>
    <w:rsid w:val="00936B97"/>
    <w:rsid w:val="0094060D"/>
    <w:rsid w:val="009413A5"/>
    <w:rsid w:val="00943548"/>
    <w:rsid w:val="009470EC"/>
    <w:rsid w:val="00947EBF"/>
    <w:rsid w:val="009554B2"/>
    <w:rsid w:val="0097356A"/>
    <w:rsid w:val="00976A87"/>
    <w:rsid w:val="00977464"/>
    <w:rsid w:val="00994046"/>
    <w:rsid w:val="00995362"/>
    <w:rsid w:val="00996C2A"/>
    <w:rsid w:val="009A0FD0"/>
    <w:rsid w:val="009B129B"/>
    <w:rsid w:val="009B75DB"/>
    <w:rsid w:val="009D4759"/>
    <w:rsid w:val="009D4E59"/>
    <w:rsid w:val="009E031B"/>
    <w:rsid w:val="009E1C99"/>
    <w:rsid w:val="009E4021"/>
    <w:rsid w:val="009F2280"/>
    <w:rsid w:val="009F38EA"/>
    <w:rsid w:val="009F41AF"/>
    <w:rsid w:val="009F6257"/>
    <w:rsid w:val="00A05966"/>
    <w:rsid w:val="00A14E83"/>
    <w:rsid w:val="00A16954"/>
    <w:rsid w:val="00A1725D"/>
    <w:rsid w:val="00A17878"/>
    <w:rsid w:val="00A375D9"/>
    <w:rsid w:val="00A420E1"/>
    <w:rsid w:val="00A46E6F"/>
    <w:rsid w:val="00A52749"/>
    <w:rsid w:val="00A53A63"/>
    <w:rsid w:val="00A53B48"/>
    <w:rsid w:val="00A56757"/>
    <w:rsid w:val="00A605F1"/>
    <w:rsid w:val="00A7142A"/>
    <w:rsid w:val="00A756EA"/>
    <w:rsid w:val="00A770F6"/>
    <w:rsid w:val="00A77152"/>
    <w:rsid w:val="00A869E9"/>
    <w:rsid w:val="00A96C6E"/>
    <w:rsid w:val="00AA2A27"/>
    <w:rsid w:val="00AA747F"/>
    <w:rsid w:val="00AB1F73"/>
    <w:rsid w:val="00AC3D78"/>
    <w:rsid w:val="00AE4196"/>
    <w:rsid w:val="00AE4E4C"/>
    <w:rsid w:val="00AF08D3"/>
    <w:rsid w:val="00AF2D94"/>
    <w:rsid w:val="00AF4F13"/>
    <w:rsid w:val="00B0333E"/>
    <w:rsid w:val="00B047C3"/>
    <w:rsid w:val="00B07D27"/>
    <w:rsid w:val="00B1177E"/>
    <w:rsid w:val="00B217FF"/>
    <w:rsid w:val="00B23FA0"/>
    <w:rsid w:val="00B27BA5"/>
    <w:rsid w:val="00B3484B"/>
    <w:rsid w:val="00B37C36"/>
    <w:rsid w:val="00B40725"/>
    <w:rsid w:val="00B44019"/>
    <w:rsid w:val="00B44C31"/>
    <w:rsid w:val="00B55B11"/>
    <w:rsid w:val="00B6138F"/>
    <w:rsid w:val="00B6306F"/>
    <w:rsid w:val="00B7067A"/>
    <w:rsid w:val="00B742B1"/>
    <w:rsid w:val="00B77149"/>
    <w:rsid w:val="00B7782D"/>
    <w:rsid w:val="00B80EFE"/>
    <w:rsid w:val="00B82F0A"/>
    <w:rsid w:val="00B83109"/>
    <w:rsid w:val="00B9367D"/>
    <w:rsid w:val="00BA402D"/>
    <w:rsid w:val="00BB4C42"/>
    <w:rsid w:val="00BD754F"/>
    <w:rsid w:val="00BE3686"/>
    <w:rsid w:val="00BE6FE5"/>
    <w:rsid w:val="00BF0E5C"/>
    <w:rsid w:val="00BF4FB5"/>
    <w:rsid w:val="00C10D97"/>
    <w:rsid w:val="00C14799"/>
    <w:rsid w:val="00C15C8E"/>
    <w:rsid w:val="00C22E8B"/>
    <w:rsid w:val="00C26C37"/>
    <w:rsid w:val="00C34507"/>
    <w:rsid w:val="00C56474"/>
    <w:rsid w:val="00C565D7"/>
    <w:rsid w:val="00C57BFA"/>
    <w:rsid w:val="00C616FD"/>
    <w:rsid w:val="00C64D9A"/>
    <w:rsid w:val="00C7405B"/>
    <w:rsid w:val="00C84C90"/>
    <w:rsid w:val="00C852C6"/>
    <w:rsid w:val="00C86579"/>
    <w:rsid w:val="00C906C8"/>
    <w:rsid w:val="00C90EA4"/>
    <w:rsid w:val="00C93974"/>
    <w:rsid w:val="00CA0766"/>
    <w:rsid w:val="00CA1104"/>
    <w:rsid w:val="00CA73A8"/>
    <w:rsid w:val="00CB4D72"/>
    <w:rsid w:val="00CB5F64"/>
    <w:rsid w:val="00CC0EF0"/>
    <w:rsid w:val="00CC3EFF"/>
    <w:rsid w:val="00CD2722"/>
    <w:rsid w:val="00CE19BE"/>
    <w:rsid w:val="00CF2D33"/>
    <w:rsid w:val="00CF7F55"/>
    <w:rsid w:val="00D05FDB"/>
    <w:rsid w:val="00D077B3"/>
    <w:rsid w:val="00D10E8F"/>
    <w:rsid w:val="00D121FC"/>
    <w:rsid w:val="00D12304"/>
    <w:rsid w:val="00D34616"/>
    <w:rsid w:val="00D41713"/>
    <w:rsid w:val="00D41906"/>
    <w:rsid w:val="00D43523"/>
    <w:rsid w:val="00D46AE3"/>
    <w:rsid w:val="00D50445"/>
    <w:rsid w:val="00D525B3"/>
    <w:rsid w:val="00D75020"/>
    <w:rsid w:val="00D82477"/>
    <w:rsid w:val="00D86A5E"/>
    <w:rsid w:val="00DA0EF5"/>
    <w:rsid w:val="00DA488C"/>
    <w:rsid w:val="00DC5458"/>
    <w:rsid w:val="00DD11CB"/>
    <w:rsid w:val="00DD1A92"/>
    <w:rsid w:val="00DD6086"/>
    <w:rsid w:val="00DE187F"/>
    <w:rsid w:val="00DE20CA"/>
    <w:rsid w:val="00DE4F56"/>
    <w:rsid w:val="00DF1E5C"/>
    <w:rsid w:val="00DF2D8A"/>
    <w:rsid w:val="00E1246D"/>
    <w:rsid w:val="00E13DB4"/>
    <w:rsid w:val="00E20873"/>
    <w:rsid w:val="00E21163"/>
    <w:rsid w:val="00E26BB4"/>
    <w:rsid w:val="00E563C3"/>
    <w:rsid w:val="00E606A6"/>
    <w:rsid w:val="00E67823"/>
    <w:rsid w:val="00E7502D"/>
    <w:rsid w:val="00E75B6E"/>
    <w:rsid w:val="00E853B9"/>
    <w:rsid w:val="00E85827"/>
    <w:rsid w:val="00EA707C"/>
    <w:rsid w:val="00EB5089"/>
    <w:rsid w:val="00EB6041"/>
    <w:rsid w:val="00F047BC"/>
    <w:rsid w:val="00F14AC0"/>
    <w:rsid w:val="00F3114F"/>
    <w:rsid w:val="00F31B11"/>
    <w:rsid w:val="00F42338"/>
    <w:rsid w:val="00F573F4"/>
    <w:rsid w:val="00F61221"/>
    <w:rsid w:val="00F64F87"/>
    <w:rsid w:val="00F672EC"/>
    <w:rsid w:val="00F76B16"/>
    <w:rsid w:val="00F7796A"/>
    <w:rsid w:val="00FA00EF"/>
    <w:rsid w:val="00FA1682"/>
    <w:rsid w:val="00FC227A"/>
    <w:rsid w:val="00FC3BB7"/>
    <w:rsid w:val="00FD04DA"/>
    <w:rsid w:val="00FD071D"/>
    <w:rsid w:val="00FD731D"/>
    <w:rsid w:val="00FE1B6B"/>
    <w:rsid w:val="00FE2CD9"/>
    <w:rsid w:val="00FE46C5"/>
    <w:rsid w:val="00FE7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4448"/>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4760D3"/>
    <w:rPr>
      <w:vertAlign w:val="superscript"/>
    </w:rPr>
  </w:style>
  <w:style w:type="paragraph" w:styleId="ListParagraph">
    <w:name w:val="List Paragraph"/>
    <w:basedOn w:val="Normal"/>
    <w:uiPriority w:val="34"/>
    <w:qFormat/>
    <w:rsid w:val="00AF4F13"/>
    <w:pPr>
      <w:ind w:left="720"/>
      <w:contextualSpacing/>
    </w:pPr>
  </w:style>
  <w:style w:type="character" w:styleId="Hyperlink">
    <w:name w:val="Hyperlink"/>
    <w:uiPriority w:val="99"/>
    <w:unhideWhenUsed/>
    <w:rsid w:val="002D0367"/>
    <w:rPr>
      <w:color w:val="0563C1"/>
      <w:u w:val="single"/>
    </w:rPr>
  </w:style>
  <w:style w:type="character" w:styleId="CommentReference">
    <w:name w:val="annotation reference"/>
    <w:basedOn w:val="DefaultParagraphFont"/>
    <w:uiPriority w:val="99"/>
    <w:semiHidden/>
    <w:unhideWhenUsed/>
    <w:rsid w:val="008A31DB"/>
    <w:rPr>
      <w:sz w:val="16"/>
      <w:szCs w:val="16"/>
    </w:rPr>
  </w:style>
  <w:style w:type="paragraph" w:styleId="CommentText">
    <w:name w:val="annotation text"/>
    <w:basedOn w:val="Normal"/>
    <w:link w:val="CommentTextChar"/>
    <w:uiPriority w:val="99"/>
    <w:semiHidden/>
    <w:unhideWhenUsed/>
    <w:rsid w:val="008A31DB"/>
    <w:rPr>
      <w:sz w:val="20"/>
      <w:szCs w:val="20"/>
    </w:rPr>
  </w:style>
  <w:style w:type="character" w:customStyle="1" w:styleId="CommentTextChar">
    <w:name w:val="Comment Text Char"/>
    <w:basedOn w:val="DefaultParagraphFont"/>
    <w:link w:val="CommentText"/>
    <w:uiPriority w:val="99"/>
    <w:semiHidden/>
    <w:rsid w:val="008A31DB"/>
    <w:rPr>
      <w:sz w:val="20"/>
      <w:szCs w:val="20"/>
    </w:rPr>
  </w:style>
  <w:style w:type="paragraph" w:styleId="CommentSubject">
    <w:name w:val="annotation subject"/>
    <w:basedOn w:val="CommentText"/>
    <w:next w:val="CommentText"/>
    <w:link w:val="CommentSubjectChar"/>
    <w:uiPriority w:val="99"/>
    <w:semiHidden/>
    <w:unhideWhenUsed/>
    <w:rsid w:val="008A31DB"/>
    <w:rPr>
      <w:b/>
      <w:bCs/>
    </w:rPr>
  </w:style>
  <w:style w:type="character" w:customStyle="1" w:styleId="CommentSubjectChar">
    <w:name w:val="Comment Subject Char"/>
    <w:basedOn w:val="CommentTextChar"/>
    <w:link w:val="CommentSubject"/>
    <w:uiPriority w:val="99"/>
    <w:semiHidden/>
    <w:rsid w:val="008A31DB"/>
    <w:rPr>
      <w:b/>
      <w:bCs/>
      <w:sz w:val="20"/>
      <w:szCs w:val="20"/>
    </w:rPr>
  </w:style>
  <w:style w:type="paragraph" w:styleId="HTMLPreformatted">
    <w:name w:val="HTML Preformatted"/>
    <w:basedOn w:val="Normal"/>
    <w:link w:val="HTMLPreformattedChar"/>
    <w:uiPriority w:val="99"/>
    <w:semiHidden/>
    <w:unhideWhenUsed/>
    <w:rsid w:val="00A96C6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C6E"/>
    <w:rPr>
      <w:rFonts w:ascii="Consolas" w:hAnsi="Consolas"/>
      <w:sz w:val="20"/>
      <w:szCs w:val="20"/>
    </w:rPr>
  </w:style>
  <w:style w:type="paragraph" w:styleId="Revision">
    <w:name w:val="Revision"/>
    <w:hidden/>
    <w:uiPriority w:val="99"/>
    <w:semiHidden/>
    <w:rsid w:val="0020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045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9687325">
      <w:bodyDiv w:val="1"/>
      <w:marLeft w:val="0"/>
      <w:marRight w:val="0"/>
      <w:marTop w:val="0"/>
      <w:marBottom w:val="0"/>
      <w:divBdr>
        <w:top w:val="none" w:sz="0" w:space="0" w:color="auto"/>
        <w:left w:val="none" w:sz="0" w:space="0" w:color="auto"/>
        <w:bottom w:val="none" w:sz="0" w:space="0" w:color="auto"/>
        <w:right w:val="none" w:sz="0" w:space="0" w:color="auto"/>
      </w:divBdr>
    </w:div>
    <w:div w:id="178202328">
      <w:bodyDiv w:val="1"/>
      <w:marLeft w:val="0"/>
      <w:marRight w:val="0"/>
      <w:marTop w:val="0"/>
      <w:marBottom w:val="0"/>
      <w:divBdr>
        <w:top w:val="none" w:sz="0" w:space="0" w:color="auto"/>
        <w:left w:val="none" w:sz="0" w:space="0" w:color="auto"/>
        <w:bottom w:val="none" w:sz="0" w:space="0" w:color="auto"/>
        <w:right w:val="none" w:sz="0" w:space="0" w:color="auto"/>
      </w:divBdr>
    </w:div>
    <w:div w:id="405885273">
      <w:bodyDiv w:val="1"/>
      <w:marLeft w:val="0"/>
      <w:marRight w:val="0"/>
      <w:marTop w:val="0"/>
      <w:marBottom w:val="0"/>
      <w:divBdr>
        <w:top w:val="none" w:sz="0" w:space="0" w:color="auto"/>
        <w:left w:val="none" w:sz="0" w:space="0" w:color="auto"/>
        <w:bottom w:val="none" w:sz="0" w:space="0" w:color="auto"/>
        <w:right w:val="none" w:sz="0" w:space="0" w:color="auto"/>
      </w:divBdr>
    </w:div>
    <w:div w:id="762605037">
      <w:bodyDiv w:val="1"/>
      <w:marLeft w:val="0"/>
      <w:marRight w:val="0"/>
      <w:marTop w:val="0"/>
      <w:marBottom w:val="0"/>
      <w:divBdr>
        <w:top w:val="none" w:sz="0" w:space="0" w:color="auto"/>
        <w:left w:val="none" w:sz="0" w:space="0" w:color="auto"/>
        <w:bottom w:val="none" w:sz="0" w:space="0" w:color="auto"/>
        <w:right w:val="none" w:sz="0" w:space="0" w:color="auto"/>
      </w:divBdr>
    </w:div>
    <w:div w:id="848373847">
      <w:bodyDiv w:val="1"/>
      <w:marLeft w:val="0"/>
      <w:marRight w:val="0"/>
      <w:marTop w:val="0"/>
      <w:marBottom w:val="0"/>
      <w:divBdr>
        <w:top w:val="none" w:sz="0" w:space="0" w:color="auto"/>
        <w:left w:val="none" w:sz="0" w:space="0" w:color="auto"/>
        <w:bottom w:val="none" w:sz="0" w:space="0" w:color="auto"/>
        <w:right w:val="none" w:sz="0" w:space="0" w:color="auto"/>
      </w:divBdr>
    </w:div>
    <w:div w:id="992293242">
      <w:bodyDiv w:val="1"/>
      <w:marLeft w:val="0"/>
      <w:marRight w:val="0"/>
      <w:marTop w:val="0"/>
      <w:marBottom w:val="0"/>
      <w:divBdr>
        <w:top w:val="none" w:sz="0" w:space="0" w:color="auto"/>
        <w:left w:val="none" w:sz="0" w:space="0" w:color="auto"/>
        <w:bottom w:val="none" w:sz="0" w:space="0" w:color="auto"/>
        <w:right w:val="none" w:sz="0" w:space="0" w:color="auto"/>
      </w:divBdr>
    </w:div>
    <w:div w:id="1130515394">
      <w:bodyDiv w:val="1"/>
      <w:marLeft w:val="0"/>
      <w:marRight w:val="0"/>
      <w:marTop w:val="0"/>
      <w:marBottom w:val="0"/>
      <w:divBdr>
        <w:top w:val="none" w:sz="0" w:space="0" w:color="auto"/>
        <w:left w:val="none" w:sz="0" w:space="0" w:color="auto"/>
        <w:bottom w:val="none" w:sz="0" w:space="0" w:color="auto"/>
        <w:right w:val="none" w:sz="0" w:space="0" w:color="auto"/>
      </w:divBdr>
    </w:div>
    <w:div w:id="1148472807">
      <w:bodyDiv w:val="1"/>
      <w:marLeft w:val="0"/>
      <w:marRight w:val="0"/>
      <w:marTop w:val="0"/>
      <w:marBottom w:val="0"/>
      <w:divBdr>
        <w:top w:val="none" w:sz="0" w:space="0" w:color="auto"/>
        <w:left w:val="none" w:sz="0" w:space="0" w:color="auto"/>
        <w:bottom w:val="none" w:sz="0" w:space="0" w:color="auto"/>
        <w:right w:val="none" w:sz="0" w:space="0" w:color="auto"/>
      </w:divBdr>
    </w:div>
    <w:div w:id="1289705190">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300962829">
      <w:bodyDiv w:val="1"/>
      <w:marLeft w:val="0"/>
      <w:marRight w:val="0"/>
      <w:marTop w:val="0"/>
      <w:marBottom w:val="0"/>
      <w:divBdr>
        <w:top w:val="none" w:sz="0" w:space="0" w:color="auto"/>
        <w:left w:val="none" w:sz="0" w:space="0" w:color="auto"/>
        <w:bottom w:val="none" w:sz="0" w:space="0" w:color="auto"/>
        <w:right w:val="none" w:sz="0" w:space="0" w:color="auto"/>
      </w:divBdr>
    </w:div>
    <w:div w:id="1344285798">
      <w:bodyDiv w:val="1"/>
      <w:marLeft w:val="0"/>
      <w:marRight w:val="0"/>
      <w:marTop w:val="0"/>
      <w:marBottom w:val="0"/>
      <w:divBdr>
        <w:top w:val="none" w:sz="0" w:space="0" w:color="auto"/>
        <w:left w:val="none" w:sz="0" w:space="0" w:color="auto"/>
        <w:bottom w:val="none" w:sz="0" w:space="0" w:color="auto"/>
        <w:right w:val="none" w:sz="0" w:space="0" w:color="auto"/>
      </w:divBdr>
    </w:div>
    <w:div w:id="1379016368">
      <w:bodyDiv w:val="1"/>
      <w:marLeft w:val="0"/>
      <w:marRight w:val="0"/>
      <w:marTop w:val="0"/>
      <w:marBottom w:val="0"/>
      <w:divBdr>
        <w:top w:val="none" w:sz="0" w:space="0" w:color="auto"/>
        <w:left w:val="none" w:sz="0" w:space="0" w:color="auto"/>
        <w:bottom w:val="none" w:sz="0" w:space="0" w:color="auto"/>
        <w:right w:val="none" w:sz="0" w:space="0" w:color="auto"/>
      </w:divBdr>
    </w:div>
    <w:div w:id="1520926283">
      <w:bodyDiv w:val="1"/>
      <w:marLeft w:val="0"/>
      <w:marRight w:val="0"/>
      <w:marTop w:val="0"/>
      <w:marBottom w:val="0"/>
      <w:divBdr>
        <w:top w:val="none" w:sz="0" w:space="0" w:color="auto"/>
        <w:left w:val="none" w:sz="0" w:space="0" w:color="auto"/>
        <w:bottom w:val="none" w:sz="0" w:space="0" w:color="auto"/>
        <w:right w:val="none" w:sz="0" w:space="0" w:color="auto"/>
      </w:divBdr>
    </w:div>
    <w:div w:id="1533835007">
      <w:bodyDiv w:val="1"/>
      <w:marLeft w:val="0"/>
      <w:marRight w:val="0"/>
      <w:marTop w:val="0"/>
      <w:marBottom w:val="0"/>
      <w:divBdr>
        <w:top w:val="none" w:sz="0" w:space="0" w:color="auto"/>
        <w:left w:val="none" w:sz="0" w:space="0" w:color="auto"/>
        <w:bottom w:val="none" w:sz="0" w:space="0" w:color="auto"/>
        <w:right w:val="none" w:sz="0" w:space="0" w:color="auto"/>
      </w:divBdr>
    </w:div>
    <w:div w:id="1565145202">
      <w:bodyDiv w:val="1"/>
      <w:marLeft w:val="0"/>
      <w:marRight w:val="0"/>
      <w:marTop w:val="0"/>
      <w:marBottom w:val="0"/>
      <w:divBdr>
        <w:top w:val="none" w:sz="0" w:space="0" w:color="auto"/>
        <w:left w:val="none" w:sz="0" w:space="0" w:color="auto"/>
        <w:bottom w:val="none" w:sz="0" w:space="0" w:color="auto"/>
        <w:right w:val="none" w:sz="0" w:space="0" w:color="auto"/>
      </w:divBdr>
    </w:div>
    <w:div w:id="1619483403">
      <w:bodyDiv w:val="1"/>
      <w:marLeft w:val="0"/>
      <w:marRight w:val="0"/>
      <w:marTop w:val="0"/>
      <w:marBottom w:val="0"/>
      <w:divBdr>
        <w:top w:val="none" w:sz="0" w:space="0" w:color="auto"/>
        <w:left w:val="none" w:sz="0" w:space="0" w:color="auto"/>
        <w:bottom w:val="none" w:sz="0" w:space="0" w:color="auto"/>
        <w:right w:val="none" w:sz="0" w:space="0" w:color="auto"/>
      </w:divBdr>
    </w:div>
    <w:div w:id="1641374706">
      <w:bodyDiv w:val="1"/>
      <w:marLeft w:val="0"/>
      <w:marRight w:val="0"/>
      <w:marTop w:val="0"/>
      <w:marBottom w:val="0"/>
      <w:divBdr>
        <w:top w:val="none" w:sz="0" w:space="0" w:color="auto"/>
        <w:left w:val="none" w:sz="0" w:space="0" w:color="auto"/>
        <w:bottom w:val="none" w:sz="0" w:space="0" w:color="auto"/>
        <w:right w:val="none" w:sz="0" w:space="0" w:color="auto"/>
      </w:divBdr>
    </w:div>
    <w:div w:id="1805461961">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 w:id="1842889137">
      <w:bodyDiv w:val="1"/>
      <w:marLeft w:val="0"/>
      <w:marRight w:val="0"/>
      <w:marTop w:val="0"/>
      <w:marBottom w:val="0"/>
      <w:divBdr>
        <w:top w:val="none" w:sz="0" w:space="0" w:color="auto"/>
        <w:left w:val="none" w:sz="0" w:space="0" w:color="auto"/>
        <w:bottom w:val="none" w:sz="0" w:space="0" w:color="auto"/>
        <w:right w:val="none" w:sz="0" w:space="0" w:color="auto"/>
      </w:divBdr>
    </w:div>
    <w:div w:id="1890846484">
      <w:bodyDiv w:val="1"/>
      <w:marLeft w:val="0"/>
      <w:marRight w:val="0"/>
      <w:marTop w:val="0"/>
      <w:marBottom w:val="0"/>
      <w:divBdr>
        <w:top w:val="none" w:sz="0" w:space="0" w:color="auto"/>
        <w:left w:val="none" w:sz="0" w:space="0" w:color="auto"/>
        <w:bottom w:val="none" w:sz="0" w:space="0" w:color="auto"/>
        <w:right w:val="none" w:sz="0" w:space="0" w:color="auto"/>
      </w:divBdr>
    </w:div>
    <w:div w:id="2005235519">
      <w:bodyDiv w:val="1"/>
      <w:marLeft w:val="0"/>
      <w:marRight w:val="0"/>
      <w:marTop w:val="0"/>
      <w:marBottom w:val="0"/>
      <w:divBdr>
        <w:top w:val="none" w:sz="0" w:space="0" w:color="auto"/>
        <w:left w:val="none" w:sz="0" w:space="0" w:color="auto"/>
        <w:bottom w:val="none" w:sz="0" w:space="0" w:color="auto"/>
        <w:right w:val="none" w:sz="0" w:space="0" w:color="auto"/>
      </w:divBdr>
    </w:div>
    <w:div w:id="2014913216">
      <w:bodyDiv w:val="1"/>
      <w:marLeft w:val="0"/>
      <w:marRight w:val="0"/>
      <w:marTop w:val="0"/>
      <w:marBottom w:val="0"/>
      <w:divBdr>
        <w:top w:val="none" w:sz="0" w:space="0" w:color="auto"/>
        <w:left w:val="none" w:sz="0" w:space="0" w:color="auto"/>
        <w:bottom w:val="none" w:sz="0" w:space="0" w:color="auto"/>
        <w:right w:val="none" w:sz="0" w:space="0" w:color="auto"/>
      </w:divBdr>
    </w:div>
    <w:div w:id="2024280839">
      <w:bodyDiv w:val="1"/>
      <w:marLeft w:val="0"/>
      <w:marRight w:val="0"/>
      <w:marTop w:val="0"/>
      <w:marBottom w:val="0"/>
      <w:divBdr>
        <w:top w:val="none" w:sz="0" w:space="0" w:color="auto"/>
        <w:left w:val="none" w:sz="0" w:space="0" w:color="auto"/>
        <w:bottom w:val="none" w:sz="0" w:space="0" w:color="auto"/>
        <w:right w:val="none" w:sz="0" w:space="0" w:color="auto"/>
      </w:divBdr>
    </w:div>
    <w:div w:id="2069449735">
      <w:bodyDiv w:val="1"/>
      <w:marLeft w:val="0"/>
      <w:marRight w:val="0"/>
      <w:marTop w:val="0"/>
      <w:marBottom w:val="0"/>
      <w:divBdr>
        <w:top w:val="none" w:sz="0" w:space="0" w:color="auto"/>
        <w:left w:val="none" w:sz="0" w:space="0" w:color="auto"/>
        <w:bottom w:val="none" w:sz="0" w:space="0" w:color="auto"/>
        <w:right w:val="none" w:sz="0" w:space="0" w:color="auto"/>
      </w:divBdr>
    </w:div>
    <w:div w:id="2096241947">
      <w:bodyDiv w:val="1"/>
      <w:marLeft w:val="0"/>
      <w:marRight w:val="0"/>
      <w:marTop w:val="0"/>
      <w:marBottom w:val="0"/>
      <w:divBdr>
        <w:top w:val="none" w:sz="0" w:space="0" w:color="auto"/>
        <w:left w:val="none" w:sz="0" w:space="0" w:color="auto"/>
        <w:bottom w:val="none" w:sz="0" w:space="0" w:color="auto"/>
        <w:right w:val="none" w:sz="0" w:space="0" w:color="auto"/>
      </w:divBdr>
    </w:div>
    <w:div w:id="21349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505C-62E7-4E66-A3BF-4357960B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Albena Dancheva</cp:lastModifiedBy>
  <cp:revision>2</cp:revision>
  <dcterms:created xsi:type="dcterms:W3CDTF">2024-09-12T11:37:00Z</dcterms:created>
  <dcterms:modified xsi:type="dcterms:W3CDTF">2024-09-12T11:37:00Z</dcterms:modified>
</cp:coreProperties>
</file>