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89C6" w14:textId="77777777" w:rsidR="006A63CB" w:rsidRPr="007370D1" w:rsidRDefault="006A63CB" w:rsidP="007370D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bookmarkStart w:id="0" w:name="_GoBack"/>
      <w:bookmarkEnd w:id="0"/>
      <w:r w:rsidRPr="006A63CB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ПРЕКИ ЧУЖДЕСТРАННИ ИНВЕСТИЦИИ И РАЗХОДИ ЗА ПРИДОБИВАНЕ НА ДЪЛГОТРАЙНИ МАТЕРИАЛНИ АКТИВИ ПРЕЗ 202</w:t>
      </w:r>
      <w:r w:rsidR="00A57D46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  <w:r w:rsidRPr="006A63CB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ГОДИНА</w:t>
      </w:r>
      <w:r w:rsidR="007370D1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br/>
      </w:r>
      <w:r w:rsidRPr="006A63CB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(ПРЕДВАРИТЕЛНИ ДАННИ)</w:t>
      </w:r>
    </w:p>
    <w:p w14:paraId="754F320A" w14:textId="77777777" w:rsidR="006A63CB" w:rsidRPr="003C0A94" w:rsidRDefault="006A63CB" w:rsidP="005E6DB5">
      <w:pPr>
        <w:spacing w:before="160" w:after="160" w:line="360" w:lineRule="auto"/>
        <w:ind w:left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3C0A9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1</w:t>
      </w:r>
      <w:r w:rsidRPr="003C0A9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Преки чуждестранни инвестиции</w:t>
      </w:r>
    </w:p>
    <w:p w14:paraId="7A3FA3EA" w14:textId="77777777" w:rsidR="006A63CB" w:rsidRPr="00FC3E67" w:rsidRDefault="006A63CB" w:rsidP="00032DFC">
      <w:pPr>
        <w:keepNext/>
        <w:widowControl w:val="0"/>
        <w:spacing w:line="360" w:lineRule="auto"/>
        <w:ind w:right="140" w:firstLine="567"/>
        <w:jc w:val="both"/>
        <w:rPr>
          <w:rFonts w:ascii="Verdana" w:eastAsia="Μοντέρνα" w:hAnsi="Verdana" w:cs="Times New Roman"/>
          <w:i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Преките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чуждестранни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инвестиции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ПЧИ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</w:t>
      </w:r>
      <w:r w:rsidRPr="006A63CB">
        <w:rPr>
          <w:rFonts w:ascii="Verdana" w:eastAsia="Μοντέρνα" w:hAnsi="Verdana" w:cs="Times New Roman" w:hint="cs"/>
          <w:i/>
          <w:sz w:val="20"/>
          <w:szCs w:val="20"/>
          <w:lang w:eastAsia="bg-BG"/>
        </w:rPr>
        <w:t>в</w:t>
      </w:r>
      <w:r w:rsidRPr="006A63CB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i/>
          <w:sz w:val="20"/>
          <w:szCs w:val="20"/>
          <w:lang w:eastAsia="bg-BG"/>
        </w:rPr>
        <w:t>нефинансовия</w:t>
      </w:r>
      <w:r w:rsidRPr="006A63CB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i/>
          <w:sz w:val="20"/>
          <w:szCs w:val="20"/>
          <w:lang w:eastAsia="bg-BG"/>
        </w:rPr>
        <w:t>сектор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към</w:t>
      </w:r>
      <w:r w:rsidR="00E130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31.12.2023</w:t>
      </w:r>
      <w:r w:rsidR="00032DF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г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възлизат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1305B" w:rsidRPr="00E1305B">
        <w:rPr>
          <w:rFonts w:ascii="Verdana" w:eastAsia="Μοντέρνα" w:hAnsi="Verdana" w:cs="Times New Roman"/>
          <w:sz w:val="20"/>
          <w:szCs w:val="20"/>
          <w:lang w:eastAsia="bg-BG"/>
        </w:rPr>
        <w:t>32</w:t>
      </w:r>
      <w:r w:rsidR="00E1305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1305B" w:rsidRPr="00E1305B">
        <w:rPr>
          <w:rFonts w:ascii="Verdana" w:eastAsia="Μοντέρνα" w:hAnsi="Verdana" w:cs="Times New Roman"/>
          <w:sz w:val="20"/>
          <w:szCs w:val="20"/>
          <w:lang w:eastAsia="bg-BG"/>
        </w:rPr>
        <w:t>566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млн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евро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по текущи цени.</w:t>
      </w:r>
    </w:p>
    <w:p w14:paraId="768032A1" w14:textId="765BC737" w:rsidR="006A63CB" w:rsidRPr="006A63CB" w:rsidRDefault="006A63CB" w:rsidP="005E6DB5">
      <w:pPr>
        <w:keepNext/>
        <w:widowControl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През</w:t>
      </w:r>
      <w:r w:rsidR="00E130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г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й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голяма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стойността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направените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преки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чуждестранни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инвестиции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промишлеността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85AC8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E1305B" w:rsidRPr="00E1305B">
        <w:rPr>
          <w:rFonts w:ascii="Verdana" w:eastAsia="Μοντέρνα" w:hAnsi="Verdana" w:cs="Times New Roman"/>
          <w:sz w:val="20"/>
          <w:szCs w:val="20"/>
          <w:lang w:val="ru-RU" w:eastAsia="bg-BG"/>
        </w:rPr>
        <w:t>13</w:t>
      </w:r>
      <w:r w:rsidR="00E1305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1305B" w:rsidRPr="00E1305B">
        <w:rPr>
          <w:rFonts w:ascii="Verdana" w:eastAsia="Μοντέρνα" w:hAnsi="Verdana" w:cs="Times New Roman"/>
          <w:sz w:val="20"/>
          <w:szCs w:val="20"/>
          <w:lang w:val="ru-RU" w:eastAsia="bg-BG"/>
        </w:rPr>
        <w:t>527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млн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евро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Следва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сектор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ът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услугите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търговия</w:t>
      </w:r>
      <w:r w:rsidR="00C73587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ремонт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автомобили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мотоциклети</w:t>
      </w:r>
      <w:r w:rsidR="00C73587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транспорт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складиране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пощи</w:t>
      </w:r>
      <w:r w:rsidR="00C73587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хотелиерство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ресторантьорство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</w:t>
      </w:r>
      <w:r w:rsidR="00E85AC8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B79BA" w:rsidRPr="007B79BA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7B79BA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B79BA" w:rsidRPr="007B79BA">
        <w:rPr>
          <w:rFonts w:ascii="Verdana" w:eastAsia="Μοντέρνα" w:hAnsi="Verdana" w:cs="Times New Roman"/>
          <w:sz w:val="20"/>
          <w:szCs w:val="20"/>
          <w:lang w:eastAsia="bg-BG"/>
        </w:rPr>
        <w:t>793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млн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евро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2F23369C" w14:textId="734C2043" w:rsidR="006A63CB" w:rsidRPr="00694D52" w:rsidRDefault="00DB2ECD" w:rsidP="0076623D">
      <w:pPr>
        <w:keepNext/>
        <w:widowControl w:val="0"/>
        <w:spacing w:after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сектор „Създаване и разпространение на информация и творчески п</w:t>
      </w:r>
      <w:r w:rsidR="007B79B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родукти; далекосъобщения“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аправени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B79BA">
        <w:rPr>
          <w:rFonts w:ascii="Verdana" w:eastAsia="Μοντέρνα" w:hAnsi="Verdana" w:cs="Times New Roman"/>
          <w:sz w:val="20"/>
          <w:szCs w:val="20"/>
          <w:lang w:eastAsia="bg-BG"/>
        </w:rPr>
        <w:t>с 1.5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повече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преки чуждестранни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инвестиции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6A63CB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A63CB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сравнение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предходната година,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</w:t>
      </w:r>
      <w:r w:rsidR="006A63CB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 xml:space="preserve"> 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сектор „Строителство“ те </w:t>
      </w:r>
      <w:r w:rsidR="006A63CB" w:rsidRPr="00C440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</w:t>
      </w:r>
      <w:r w:rsidR="006A63CB" w:rsidRPr="00C4400C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="00C4400C" w:rsidRPr="00C440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0.1</w:t>
      </w:r>
      <w:r w:rsidR="006A63CB"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>процентни пункта.</w:t>
      </w:r>
    </w:p>
    <w:p w14:paraId="74F2DCB4" w14:textId="77777777" w:rsidR="006A63CB" w:rsidRPr="00EF2788" w:rsidRDefault="006A63CB" w:rsidP="00EF278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Структура на преките чуждестранни инвестиции в предприятията</w:t>
      </w:r>
      <w:r w:rsidR="00EF2788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6A63CB">
        <w:rPr>
          <w:rFonts w:ascii="Verdana" w:eastAsia="Μοντέρνα" w:hAnsi="Verdana" w:cs="Times New Roman"/>
          <w:b/>
          <w:sz w:val="20"/>
          <w:szCs w:val="20"/>
          <w:lang w:eastAsia="bg-BG"/>
        </w:rPr>
        <w:t>от нефинансовия сектор по икономически дейности към 31.12.</w:t>
      </w:r>
    </w:p>
    <w:p w14:paraId="2A7D6CC2" w14:textId="25C4BF6A" w:rsidR="00321E86" w:rsidRPr="00694D52" w:rsidRDefault="00701D68" w:rsidP="00694D52">
      <w:pPr>
        <w:spacing w:line="360" w:lineRule="auto"/>
        <w:ind w:right="-1"/>
        <w:jc w:val="both"/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pict w14:anchorId="0DF32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97pt">
            <v:imagedata r:id="rId7" o:title=""/>
          </v:shape>
        </w:pict>
      </w:r>
    </w:p>
    <w:p w14:paraId="28C21942" w14:textId="77777777" w:rsidR="006A63CB" w:rsidRPr="006A63CB" w:rsidRDefault="006A63CB" w:rsidP="003C0A9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2. Разходи за придобиване на дълготрайни материални активи</w:t>
      </w:r>
    </w:p>
    <w:p w14:paraId="394FB718" w14:textId="77777777" w:rsidR="006A63CB" w:rsidRPr="006A63CB" w:rsidRDefault="006A63CB" w:rsidP="005E6DB5">
      <w:pPr>
        <w:keepNext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Разходите за придобиване на дълготрайни материални активи (ДМА) </w:t>
      </w:r>
      <w:r w:rsidRPr="006A63CB">
        <w:rPr>
          <w:rFonts w:ascii="Verdana" w:eastAsia="Μοντέρνα" w:hAnsi="Verdana" w:cs="Times New Roman"/>
          <w:i/>
          <w:sz w:val="20"/>
          <w:szCs w:val="20"/>
          <w:lang w:eastAsia="bg-BG"/>
        </w:rPr>
        <w:t>във всички сектори на икономиката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</w:t>
      </w:r>
      <w:r w:rsidR="00BF4BA6">
        <w:rPr>
          <w:rFonts w:ascii="Verdana" w:eastAsia="Μοντέρνα" w:hAnsi="Verdana" w:cs="Times New Roman"/>
          <w:sz w:val="20"/>
          <w:szCs w:val="20"/>
          <w:lang w:val="en-US" w:eastAsia="bg-BG"/>
        </w:rPr>
        <w:t>33</w:t>
      </w:r>
      <w:r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BF4BA6">
        <w:rPr>
          <w:rFonts w:ascii="Verdana" w:eastAsia="Μοντέρνα" w:hAnsi="Verdana" w:cs="Times New Roman"/>
          <w:sz w:val="20"/>
          <w:szCs w:val="20"/>
          <w:lang w:val="en-US" w:eastAsia="bg-BG"/>
        </w:rPr>
        <w:t>586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 по текущи цени.</w:t>
      </w:r>
    </w:p>
    <w:p w14:paraId="422FDD73" w14:textId="4A7E8F7E" w:rsidR="006A63CB" w:rsidRPr="006A63CB" w:rsidRDefault="006A63CB" w:rsidP="00705141">
      <w:pPr>
        <w:keepNext/>
        <w:widowControl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Най-голям обем инвестиции в ДМА са 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>направени</w:t>
      </w:r>
      <w:r w:rsidR="00776EE1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в сектора на и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ндустрия</w:t>
      </w:r>
      <w:r w:rsidR="00860C1C"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изкл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строителството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</w:t>
      </w:r>
      <w:r w:rsidR="00860C1C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F4BA6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="00032DF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BF4BA6">
        <w:rPr>
          <w:rFonts w:ascii="Verdana" w:eastAsia="Μοντέρνα" w:hAnsi="Verdana" w:cs="Times New Roman"/>
          <w:sz w:val="20"/>
          <w:szCs w:val="20"/>
          <w:lang w:val="en-US" w:eastAsia="bg-BG"/>
        </w:rPr>
        <w:t>053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лв., следван от сектора на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услугите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търговия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;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ремонт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автомобили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мотоциклети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;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транспорт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складиране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пощи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;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хотелиерство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4C76" w:rsidRPr="00944C76">
        <w:rPr>
          <w:rFonts w:ascii="Verdana" w:eastAsia="Μοντέρνα" w:hAnsi="Verdana" w:cs="Times New Roman" w:hint="cs"/>
          <w:sz w:val="20"/>
          <w:szCs w:val="20"/>
          <w:lang w:eastAsia="bg-BG"/>
        </w:rPr>
        <w:t>ресторантьорство</w:t>
      </w:r>
      <w:r w:rsidR="00944C76" w:rsidRPr="00944C76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="00860C1C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F4BA6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="00032DF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BF4BA6">
        <w:rPr>
          <w:rFonts w:ascii="Verdana" w:eastAsia="Μοντέρνα" w:hAnsi="Verdana" w:cs="Times New Roman"/>
          <w:sz w:val="20"/>
          <w:szCs w:val="20"/>
          <w:lang w:val="en-US" w:eastAsia="bg-BG"/>
        </w:rPr>
        <w:t>749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 </w:t>
      </w:r>
    </w:p>
    <w:p w14:paraId="414F546D" w14:textId="7453B700" w:rsidR="006A63CB" w:rsidRPr="00BF4BA6" w:rsidRDefault="00776EE1" w:rsidP="00705141">
      <w:pPr>
        <w:keepNext/>
        <w:widowControl w:val="0"/>
        <w:spacing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color w:val="000000" w:themeColor="text1"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структурата на разходите за ДМА 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аблюдава нарастване 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сектора на промишлеността, като относителният им дял се увеличава с </w:t>
      </w:r>
      <w:r w:rsidR="006A63CB" w:rsidRPr="00BF4BA6">
        <w:rPr>
          <w:rFonts w:ascii="Verdana" w:eastAsia="Μοντέρνα" w:hAnsi="Verdana" w:cs="Times New Roman"/>
          <w:color w:val="000000" w:themeColor="text1"/>
          <w:sz w:val="20"/>
          <w:szCs w:val="20"/>
          <w:lang w:val="ru-RU" w:eastAsia="bg-BG"/>
        </w:rPr>
        <w:t>1.</w:t>
      </w:r>
      <w:r w:rsidR="00BF4BA6" w:rsidRPr="00BF4BA6">
        <w:rPr>
          <w:rFonts w:ascii="Verdana" w:eastAsia="Μοντέρνα" w:hAnsi="Verdana" w:cs="Times New Roman"/>
          <w:color w:val="000000" w:themeColor="text1"/>
          <w:sz w:val="20"/>
          <w:szCs w:val="20"/>
          <w:lang w:val="en-US" w:eastAsia="bg-BG"/>
        </w:rPr>
        <w:t>0</w:t>
      </w:r>
      <w:r w:rsidR="006A63CB" w:rsidRPr="00BF4BA6">
        <w:rPr>
          <w:rFonts w:ascii="Verdana" w:eastAsia="Μοντέρνα" w:hAnsi="Verdana" w:cs="Times New Roman"/>
          <w:color w:val="FF0000"/>
          <w:sz w:val="20"/>
          <w:szCs w:val="20"/>
          <w:lang w:eastAsia="bg-BG"/>
        </w:rPr>
        <w:t xml:space="preserve"> 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>процентни пункта в сравнение с 20</w:t>
      </w:r>
      <w:r w:rsidR="006A63CB"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>2</w:t>
      </w:r>
      <w:r w:rsidR="00BF4BA6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="006A63CB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и спад в сектора на услугите (търговия, ремонт на автомобили и мотоциклети, транспорт, складиране и пощи, хотелиерство и ресторантьорство) с </w:t>
      </w:r>
      <w:r w:rsidR="00BF4BA6" w:rsidRPr="00BF4BA6">
        <w:rPr>
          <w:rFonts w:ascii="Verdana" w:eastAsia="Μοντέρνα" w:hAnsi="Verdana" w:cs="Times New Roman"/>
          <w:color w:val="000000" w:themeColor="text1"/>
          <w:sz w:val="20"/>
          <w:szCs w:val="20"/>
          <w:lang w:val="en-US" w:eastAsia="bg-BG"/>
        </w:rPr>
        <w:t>2.1</w:t>
      </w:r>
      <w:r w:rsidR="006A63CB" w:rsidRPr="00BF4BA6">
        <w:rPr>
          <w:rFonts w:ascii="Verdana" w:eastAsia="Μοντέρνα" w:hAnsi="Verdana" w:cs="Times New Roman"/>
          <w:color w:val="000000" w:themeColor="text1"/>
          <w:sz w:val="20"/>
          <w:szCs w:val="20"/>
          <w:lang w:eastAsia="bg-BG"/>
        </w:rPr>
        <w:t xml:space="preserve"> процентни пункта.</w:t>
      </w:r>
    </w:p>
    <w:p w14:paraId="1B66B6A9" w14:textId="77777777" w:rsidR="006A63CB" w:rsidRPr="006A63CB" w:rsidRDefault="006A63CB" w:rsidP="002E7C9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2. Структура на разходите за придобиване на дълготрайни материални активи през 202</w:t>
      </w:r>
      <w:r w:rsidR="00A57D46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>2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и 20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2</w:t>
      </w:r>
      <w:r w:rsidR="00A57D46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>3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г. по икономически дейности</w:t>
      </w:r>
    </w:p>
    <w:p w14:paraId="4E7A3BCC" w14:textId="77777777" w:rsidR="00273C44" w:rsidRDefault="00341418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pict w14:anchorId="43FAA2F0">
          <v:shape id="_x0000_i1026" type="#_x0000_t75" style="width:459.75pt;height:317.25pt">
            <v:imagedata r:id="rId8" o:title=""/>
          </v:shape>
        </w:pict>
      </w:r>
    </w:p>
    <w:p w14:paraId="4254E91C" w14:textId="372C4C24" w:rsidR="00273C44" w:rsidRDefault="00273C44" w:rsidP="00694D52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3971CA82" w14:textId="1A72954F" w:rsidR="0076623D" w:rsidRDefault="0076623D" w:rsidP="00694D52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38D6A4E2" w14:textId="77777777" w:rsidR="0076623D" w:rsidRPr="00273C44" w:rsidRDefault="0076623D" w:rsidP="00694D52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368390AC" w14:textId="12D8207D" w:rsidR="006A63CB" w:rsidRPr="006A63CB" w:rsidRDefault="006A63CB" w:rsidP="00922EDD">
      <w:pPr>
        <w:keepNext/>
        <w:widowControl w:val="0"/>
        <w:spacing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lastRenderedPageBreak/>
        <w:t>През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отчетната годината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регистрирана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промяна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структурата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разходите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за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придобиване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дълготрайни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материални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активи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по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видове</w:t>
      </w:r>
      <w:r w:rsidR="008F236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Относителният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дял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направените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инвестиции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за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сгради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строителни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съоръжения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конструкции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>
        <w:rPr>
          <w:rFonts w:ascii="Verdana" w:eastAsia="Μοντέρνα" w:hAnsi="Verdana" w:cs="Times New Roman"/>
          <w:sz w:val="20"/>
          <w:szCs w:val="20"/>
          <w:lang w:eastAsia="bg-BG"/>
        </w:rPr>
        <w:t>нараства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>
        <w:rPr>
          <w:rFonts w:ascii="Verdana" w:eastAsia="Μοντέρνα" w:hAnsi="Verdana" w:cs="Times New Roman"/>
          <w:sz w:val="20"/>
          <w:szCs w:val="20"/>
          <w:lang w:val="ru-RU" w:eastAsia="bg-BG"/>
        </w:rPr>
        <w:t>2.1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процентни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пункта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сравнение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предходната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година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достига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>
        <w:rPr>
          <w:rFonts w:ascii="Verdana" w:eastAsia="Μοντέρνα" w:hAnsi="Verdana" w:cs="Times New Roman"/>
          <w:sz w:val="20"/>
          <w:szCs w:val="20"/>
          <w:lang w:val="ru-RU" w:eastAsia="bg-BG"/>
        </w:rPr>
        <w:t>36</w:t>
      </w:r>
      <w:r w:rsidR="008F236E" w:rsidRPr="006A63CB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8F236E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>. Н</w:t>
      </w:r>
      <w:r w:rsidR="006E4E9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арастват 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860C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инвестициите за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машини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производствено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оборудване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апаратура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0.</w:t>
      </w:r>
      <w:r w:rsidR="006E4E90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8F236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процентни </w:t>
      </w:r>
      <w:r w:rsidR="008F236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пункта</w:t>
      </w:r>
      <w:r w:rsidR="00860C1C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6314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като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формират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съответно</w:t>
      </w:r>
      <w:r w:rsidR="006E4E9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28.4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от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общия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обем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инвестиции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в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E4E90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ДМА</w:t>
      </w:r>
      <w:r w:rsidR="006E4E90" w:rsidRPr="006A63C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6E4E9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Същевременно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2F03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спад </w:t>
      </w:r>
      <w:r w:rsidR="00860C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инвестициите 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закупуването на земя и други разходи с 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</w:t>
      </w:r>
      <w:r w:rsidR="009D2F80">
        <w:rPr>
          <w:rFonts w:ascii="Verdana" w:eastAsia="Μοντέρνα" w:hAnsi="Verdana" w:cs="Times New Roman"/>
          <w:sz w:val="20"/>
          <w:szCs w:val="20"/>
          <w:lang w:eastAsia="bg-BG"/>
        </w:rPr>
        <w:t>1.2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и достигат 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съответно </w:t>
      </w:r>
      <w:r w:rsidR="009D2F80">
        <w:rPr>
          <w:rFonts w:ascii="Verdana" w:eastAsia="Μοντέρνα" w:hAnsi="Verdana" w:cs="Times New Roman"/>
          <w:sz w:val="20"/>
          <w:szCs w:val="20"/>
          <w:lang w:eastAsia="bg-BG"/>
        </w:rPr>
        <w:t>7.1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6E4E90">
        <w:rPr>
          <w:rFonts w:ascii="Verdana" w:eastAsia="Μοντέρνα" w:hAnsi="Verdana" w:cs="Times New Roman"/>
          <w:sz w:val="20"/>
          <w:szCs w:val="20"/>
          <w:lang w:eastAsia="bg-BG"/>
        </w:rPr>
        <w:t>14.0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>, докато</w:t>
      </w:r>
      <w:r w:rsidR="002F03C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>п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>ри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314A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транспортни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>те</w:t>
      </w:r>
      <w:r w:rsidR="006314A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314AE" w:rsidRPr="006A63CB">
        <w:rPr>
          <w:rFonts w:ascii="Verdana" w:eastAsia="Μοντέρνα" w:hAnsi="Verdana" w:cs="Times New Roman" w:hint="cs"/>
          <w:sz w:val="20"/>
          <w:szCs w:val="20"/>
          <w:lang w:eastAsia="bg-BG"/>
        </w:rPr>
        <w:t>средства</w:t>
      </w:r>
      <w:r w:rsidR="006314AE"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>н</w:t>
      </w:r>
      <w:r w:rsidR="00776EE1">
        <w:rPr>
          <w:rFonts w:ascii="Verdana" w:eastAsia="Μοντέρνα" w:hAnsi="Verdana" w:cs="Times New Roman"/>
          <w:sz w:val="20"/>
          <w:szCs w:val="20"/>
          <w:lang w:eastAsia="bg-BG"/>
        </w:rPr>
        <w:t>яма</w:t>
      </w:r>
      <w:r w:rsidR="00C54F8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промяна спрямо предходната годи</w:t>
      </w:r>
      <w:r w:rsidR="00E43FDE">
        <w:rPr>
          <w:rFonts w:ascii="Verdana" w:eastAsia="Μοντέρνα" w:hAnsi="Verdana" w:cs="Times New Roman"/>
          <w:sz w:val="20"/>
          <w:szCs w:val="20"/>
          <w:lang w:eastAsia="bg-BG"/>
        </w:rPr>
        <w:t>на.</w:t>
      </w:r>
    </w:p>
    <w:p w14:paraId="7051D4D2" w14:textId="77777777" w:rsidR="006A63CB" w:rsidRPr="006A63CB" w:rsidRDefault="006A63CB" w:rsidP="00EB0C0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3. Структура на разходите за придобиване на дълготрайни материални активи</w:t>
      </w:r>
      <w:r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през 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>202</w:t>
      </w:r>
      <w:r w:rsidR="00A57D46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>2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и 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>202</w:t>
      </w:r>
      <w:r w:rsidR="00A57D46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>3</w:t>
      </w: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г. по видове</w:t>
      </w:r>
    </w:p>
    <w:p w14:paraId="0E5E814A" w14:textId="77777777" w:rsidR="006A63CB" w:rsidRPr="006A63CB" w:rsidRDefault="00341418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pict w14:anchorId="0149B9A4">
          <v:shape id="_x0000_i1027" type="#_x0000_t75" style="width:444pt;height:311.25pt">
            <v:imagedata r:id="rId9" o:title=""/>
          </v:shape>
        </w:pict>
      </w:r>
    </w:p>
    <w:p w14:paraId="5A92B73E" w14:textId="77777777" w:rsidR="006A63CB" w:rsidRPr="006A63CB" w:rsidRDefault="006A63CB" w:rsidP="00B33698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498CAAAD" w14:textId="77777777" w:rsidR="006A63CB" w:rsidRPr="006A63CB" w:rsidRDefault="006A63CB" w:rsidP="00B33698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347C90EE" w14:textId="77777777" w:rsidR="006A63CB" w:rsidRPr="006A63CB" w:rsidRDefault="006A63CB" w:rsidP="00B33698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29D0CB63" w14:textId="77777777" w:rsidR="006A63CB" w:rsidRPr="006A63CB" w:rsidRDefault="006A63CB" w:rsidP="00B33698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4A174F09" w14:textId="77777777" w:rsidR="006A63CB" w:rsidRPr="006A63CB" w:rsidRDefault="006A63CB" w:rsidP="00B33698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7B3FDD57" w14:textId="77777777" w:rsidR="00192D4A" w:rsidRPr="006A63CB" w:rsidRDefault="00192D4A" w:rsidP="00B33698">
      <w:pPr>
        <w:spacing w:line="360" w:lineRule="auto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5C1B40F9" w14:textId="77777777" w:rsidR="006A63CB" w:rsidRPr="006A63CB" w:rsidRDefault="006A63CB" w:rsidP="00EB0C0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</w:pP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1C987FBA" w14:textId="77777777" w:rsidR="006A63CB" w:rsidRPr="006A63CB" w:rsidRDefault="006A63CB" w:rsidP="00720F18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Чуждестранна пряка инвестиция 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е всяко вложение, което включва дългосрочни отношения, отразяващи дълготрайния интерес на резидент на чуждестранна икономика (чуждестранен пряк инвеститор) в предприятие - резидент на българската икономика (инвестиционно предприятие). Пряката инвестиция включва както първоначалната трансакция между двата субекта, така и всички последващи трансакции между тях.</w:t>
      </w:r>
    </w:p>
    <w:p w14:paraId="2168D24C" w14:textId="77777777" w:rsidR="006A63CB" w:rsidRPr="006A63CB" w:rsidRDefault="006A63CB" w:rsidP="00720F18">
      <w:pPr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Обемът на чуждестранната пряка инвестиция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инвестиционното предприятие се определя като сума:</w:t>
      </w:r>
    </w:p>
    <w:p w14:paraId="4D586B46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• от чуждестранното участие в собствения капитал на предприятието;</w:t>
      </w:r>
    </w:p>
    <w:p w14:paraId="54184913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• плюс размера на непогасената към 31.12. на отчетната година част от главницата по дългосрочни и краткосрочни заеми и търговски кредити, отпуснати от чуждестранния инвеститор на инвестиционното предприятие;</w:t>
      </w:r>
    </w:p>
    <w:p w14:paraId="42B84647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• минус размера на неизплатената към 31.12. на отчетната година част от главницата по дългосрочни и краткосрочни заеми и търговски кредити, отпуснати на чуждестранния инвеститор от инвестиционното предприятие.</w:t>
      </w:r>
    </w:p>
    <w:p w14:paraId="326CEC9B" w14:textId="77777777" w:rsidR="006A63CB" w:rsidRPr="006A63CB" w:rsidRDefault="006A63CB" w:rsidP="00720F18">
      <w:pPr>
        <w:spacing w:line="360" w:lineRule="auto"/>
        <w:ind w:right="-1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Разходите за придобиване на ДМА</w:t>
      </w: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отчетния период включват фактически извършените разходи за закупуване на земя и за изграждане на сгради, строителни съоръжения и конструкции чрез възлагане и по стопански начин, за доставка и монтаж на ДМА, за закупуване на машини, съоръжения, оборудване и транспортни средства, за геоложки и хидроложки проучвания, за проучвателни и проектантски работи, обслужващи строителството, и други разходи, свързани с придобиването на ДМА.</w:t>
      </w:r>
    </w:p>
    <w:p w14:paraId="17BDD5D8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A63CB">
        <w:rPr>
          <w:rFonts w:ascii="Verdana" w:eastAsia="Μοντέρνα" w:hAnsi="Verdana" w:cs="Times New Roman"/>
          <w:sz w:val="20"/>
          <w:szCs w:val="20"/>
          <w:lang w:eastAsia="bg-BG"/>
        </w:rPr>
        <w:t>В обема на разходите за придобиване на ДМА не се включват текущите разходи по поддържане на наличните ДМА.</w:t>
      </w:r>
    </w:p>
    <w:p w14:paraId="68C189A5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3CA7866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979CBC0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08A77C5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5B216D13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2C6247B3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51655C24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388CC12C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ADB84A3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227C17EA" w14:textId="77777777" w:rsidR="006A63CB" w:rsidRPr="006A63CB" w:rsidRDefault="006A63CB" w:rsidP="006A63CB">
      <w:pPr>
        <w:spacing w:line="360" w:lineRule="auto"/>
        <w:ind w:right="-1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0DAE366A" w14:textId="77777777" w:rsidR="00D27BC1" w:rsidRPr="002D57C4" w:rsidRDefault="00D27BC1" w:rsidP="00D27BC1">
      <w:pPr>
        <w:tabs>
          <w:tab w:val="left" w:pos="3123"/>
        </w:tabs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6F6A4224" w14:textId="77777777" w:rsidR="00D27BC1" w:rsidRPr="002D57C4" w:rsidRDefault="00D27BC1" w:rsidP="00D27BC1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Таблица 1 </w:t>
      </w:r>
    </w:p>
    <w:p w14:paraId="5A7863C6" w14:textId="77777777" w:rsidR="00D27BC1" w:rsidRPr="00DA347E" w:rsidRDefault="00D27BC1" w:rsidP="00D27BC1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921C2">
        <w:rPr>
          <w:rFonts w:ascii="Verdana" w:eastAsia="Μοντέρνα" w:hAnsi="Verdana" w:cs="Times New Roman"/>
          <w:b/>
          <w:sz w:val="20"/>
          <w:szCs w:val="20"/>
          <w:lang w:eastAsia="bg-BG"/>
        </w:rPr>
        <w:t>Чуждестранни преки инвестиции</w:t>
      </w:r>
      <w:r w:rsidRPr="00BD21A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t>1</w:t>
      </w:r>
      <w:r w:rsidRPr="008921C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предприятията от нефинансовия сектор към 31.12. по икономически дейности</w:t>
      </w:r>
    </w:p>
    <w:tbl>
      <w:tblPr>
        <w:tblW w:w="9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5"/>
        <w:gridCol w:w="1039"/>
        <w:gridCol w:w="847"/>
        <w:gridCol w:w="847"/>
        <w:gridCol w:w="847"/>
        <w:gridCol w:w="847"/>
      </w:tblGrid>
      <w:tr w:rsidR="00461A9C" w:rsidRPr="00461A9C" w14:paraId="13EB35B8" w14:textId="77777777" w:rsidTr="00461A9C">
        <w:trPr>
          <w:trHeight w:val="210"/>
        </w:trPr>
        <w:tc>
          <w:tcPr>
            <w:tcW w:w="9022" w:type="dxa"/>
            <w:gridSpan w:val="6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57989724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(Млн. евро)</w:t>
            </w:r>
          </w:p>
        </w:tc>
      </w:tr>
      <w:tr w:rsidR="00461A9C" w:rsidRPr="00461A9C" w14:paraId="69706D27" w14:textId="77777777" w:rsidTr="00461A9C">
        <w:trPr>
          <w:trHeight w:val="600"/>
        </w:trPr>
        <w:tc>
          <w:tcPr>
            <w:tcW w:w="4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788E10" w14:textId="77777777" w:rsidR="00461A9C" w:rsidRPr="00461A9C" w:rsidRDefault="00461A9C" w:rsidP="00461A9C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Икономически дейности (А10)</w:t>
            </w:r>
          </w:p>
        </w:tc>
        <w:tc>
          <w:tcPr>
            <w:tcW w:w="10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EEDAD2" w14:textId="77777777" w:rsidR="00461A9C" w:rsidRPr="00461A9C" w:rsidRDefault="00461A9C" w:rsidP="0076623D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Код по </w:t>
            </w: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br/>
              <w:t>КИД - 2008</w:t>
            </w:r>
          </w:p>
        </w:tc>
        <w:tc>
          <w:tcPr>
            <w:tcW w:w="8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4D906B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8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AA2273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8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87DDB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8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00F980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2023*</w:t>
            </w:r>
          </w:p>
        </w:tc>
      </w:tr>
      <w:tr w:rsidR="00461A9C" w:rsidRPr="00461A9C" w14:paraId="7C1E6726" w14:textId="77777777" w:rsidTr="00461A9C">
        <w:trPr>
          <w:trHeight w:val="518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9186037" w14:textId="77777777" w:rsidR="00461A9C" w:rsidRPr="00461A9C" w:rsidRDefault="00461A9C" w:rsidP="00461A9C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Нефинансови предприятия</w:t>
            </w: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2FD8CC" w14:textId="77777777" w:rsidR="00461A9C" w:rsidRPr="00461A9C" w:rsidRDefault="005B6171" w:rsidP="005B617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B617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19CFA80" w14:textId="4072B369" w:rsidR="00461A9C" w:rsidRPr="00461A9C" w:rsidRDefault="00461A9C" w:rsidP="0088153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26884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E42EC05" w14:textId="0B599485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28184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8656EC2" w14:textId="06A36FD6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29376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656D460" w14:textId="47061D17" w:rsidR="00461A9C" w:rsidRPr="00461A9C" w:rsidRDefault="00461A9C" w:rsidP="0088153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32566</w:t>
            </w:r>
          </w:p>
        </w:tc>
      </w:tr>
      <w:tr w:rsidR="00461A9C" w:rsidRPr="00461A9C" w14:paraId="3095A80B" w14:textId="77777777" w:rsidTr="00461A9C">
        <w:trPr>
          <w:trHeight w:val="518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35681BCF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Селско, горско и рибно стопанство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5FFA98A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C180F10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206C36F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8846573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A34A473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84</w:t>
            </w:r>
          </w:p>
        </w:tc>
      </w:tr>
      <w:tr w:rsidR="00461A9C" w:rsidRPr="00461A9C" w14:paraId="7A45A9FA" w14:textId="77777777" w:rsidTr="00461A9C">
        <w:trPr>
          <w:trHeight w:val="518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85C86C8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Индустрия (с изкл. на строителството)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0ABB03A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B-E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594676E" w14:textId="5096C59C" w:rsidR="00461A9C" w:rsidRPr="00461A9C" w:rsidRDefault="00461A9C" w:rsidP="0088153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11622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950AFF1" w14:textId="4327CBBC" w:rsidR="00461A9C" w:rsidRPr="00461A9C" w:rsidRDefault="00461A9C" w:rsidP="0088153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12214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77A873E" w14:textId="68BFD1DF" w:rsidR="00461A9C" w:rsidRPr="00461A9C" w:rsidRDefault="00461A9C" w:rsidP="0088153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12817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2A3356E" w14:textId="21E34B67" w:rsidR="00461A9C" w:rsidRPr="00461A9C" w:rsidRDefault="00461A9C" w:rsidP="00881531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13527</w:t>
            </w:r>
          </w:p>
        </w:tc>
      </w:tr>
      <w:tr w:rsidR="00461A9C" w:rsidRPr="00461A9C" w14:paraId="51EEE7BD" w14:textId="77777777" w:rsidTr="00461A9C">
        <w:trPr>
          <w:trHeight w:val="518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D96E71C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12D10CA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8E9D346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D5AFF9D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70D37E0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125605F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446</w:t>
            </w:r>
          </w:p>
        </w:tc>
      </w:tr>
      <w:tr w:rsidR="00461A9C" w:rsidRPr="00461A9C" w14:paraId="3A9F70C9" w14:textId="77777777" w:rsidTr="00461A9C">
        <w:trPr>
          <w:trHeight w:val="518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53D2596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Търговия, транспорт, хотелиерство и ресторантьорство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5D7C2DC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G-I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15B43D1" w14:textId="27D07DC5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5917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5459739" w14:textId="0475AFC2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6287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9C72791" w14:textId="31E45A01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6932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845D8EA" w14:textId="205D9881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7793</w:t>
            </w:r>
          </w:p>
        </w:tc>
      </w:tr>
      <w:tr w:rsidR="00461A9C" w:rsidRPr="00461A9C" w14:paraId="0F67E3E8" w14:textId="77777777" w:rsidTr="00461A9C">
        <w:trPr>
          <w:trHeight w:val="630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1B69874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5034DEB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J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AD0F78E" w14:textId="41B052EC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DB5CB7F" w14:textId="2469FB35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24C7080" w14:textId="10D6E112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3210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9849C2B" w14:textId="1E852796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4029</w:t>
            </w:r>
          </w:p>
        </w:tc>
      </w:tr>
      <w:tr w:rsidR="00461A9C" w:rsidRPr="00461A9C" w14:paraId="29667667" w14:textId="77777777" w:rsidTr="00461A9C">
        <w:trPr>
          <w:trHeight w:val="270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F9EFD4C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Операции с недвижими имоти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168010F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DFD7BFB" w14:textId="754C7A3C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3279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8A3CBB" w14:textId="11FA3A59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3505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2487ED1" w14:textId="479D2732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235EA33" w14:textId="72F59236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3831</w:t>
            </w:r>
          </w:p>
        </w:tc>
      </w:tr>
      <w:tr w:rsidR="00461A9C" w:rsidRPr="00461A9C" w14:paraId="1ED0E059" w14:textId="77777777" w:rsidTr="00461A9C">
        <w:trPr>
          <w:trHeight w:val="645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AD91905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Професионални дейности и научни изследвания; административни и спомагателни дейности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5A1B938" w14:textId="0DE7352B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M</w:t>
            </w:r>
            <w:r w:rsidR="0076623D">
              <w:rPr>
                <w:rFonts w:ascii="Verdana" w:eastAsia="Times New Roman" w:hAnsi="Verdana" w:cs="Arial"/>
                <w:sz w:val="16"/>
                <w:szCs w:val="16"/>
                <w:lang w:val="en-US" w:eastAsia="bg-BG"/>
              </w:rPr>
              <w:t>_</w:t>
            </w: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84B8278" w14:textId="06AB0BA8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3D9095D" w14:textId="6AEADB4F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3307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8491178" w14:textId="4EEC5724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6301CE2" w14:textId="5BD7DA3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2651</w:t>
            </w:r>
          </w:p>
        </w:tc>
      </w:tr>
      <w:tr w:rsidR="00461A9C" w:rsidRPr="00461A9C" w14:paraId="55F9D2DE" w14:textId="77777777" w:rsidTr="00461A9C">
        <w:trPr>
          <w:trHeight w:val="518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4E3B6C6E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Държавно управление; образование; хуманно здравеопазване и социална работа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8BB9758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O-Q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FA9ED93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50BFBBE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57C56B9C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BBE135E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42</w:t>
            </w:r>
          </w:p>
        </w:tc>
      </w:tr>
      <w:tr w:rsidR="00461A9C" w:rsidRPr="00461A9C" w14:paraId="7476C9B7" w14:textId="77777777" w:rsidTr="00461A9C">
        <w:trPr>
          <w:trHeight w:val="518"/>
        </w:trPr>
        <w:tc>
          <w:tcPr>
            <w:tcW w:w="45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C1B60B1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Култура, спорт и развлечения, ремонт на домакински вещи и други дейности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1596287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R-U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D25DB8B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006418C6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1B171D07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60C158C1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163</w:t>
            </w:r>
          </w:p>
        </w:tc>
      </w:tr>
    </w:tbl>
    <w:p w14:paraId="0C255703" w14:textId="77777777" w:rsidR="004C3AAA" w:rsidRPr="0048175D" w:rsidRDefault="004C3AAA" w:rsidP="0076623D">
      <w:pPr>
        <w:tabs>
          <w:tab w:val="left" w:pos="3123"/>
        </w:tabs>
        <w:spacing w:before="320" w:line="360" w:lineRule="auto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8175D">
        <w:rPr>
          <w:rFonts w:ascii="Verdana" w:eastAsia="Μοντέρνα" w:hAnsi="Verdana" w:cs="Times New Roman"/>
          <w:sz w:val="20"/>
          <w:szCs w:val="20"/>
          <w:lang w:val="en-US" w:eastAsia="bg-BG"/>
        </w:rPr>
        <w:t>__________________</w:t>
      </w:r>
    </w:p>
    <w:p w14:paraId="0F87C65D" w14:textId="77777777" w:rsidR="004C3AAA" w:rsidRPr="00F14B5A" w:rsidRDefault="004C3AAA" w:rsidP="0076623D">
      <w:pPr>
        <w:tabs>
          <w:tab w:val="left" w:pos="3123"/>
        </w:tabs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0D787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1</w:t>
      </w:r>
      <w:r w:rsidRPr="00F14B5A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Данните са по текущи цени.</w:t>
      </w:r>
    </w:p>
    <w:p w14:paraId="66D1A112" w14:textId="77777777" w:rsidR="004C3AAA" w:rsidRPr="00F713C8" w:rsidRDefault="004C3AAA" w:rsidP="0076623D">
      <w:pPr>
        <w:tabs>
          <w:tab w:val="left" w:pos="3123"/>
        </w:tabs>
        <w:jc w:val="both"/>
        <w:rPr>
          <w:rFonts w:ascii="Verdana" w:eastAsia="Μοντέρνα" w:hAnsi="Verdana" w:cs="Times New Roman"/>
          <w:sz w:val="16"/>
          <w:szCs w:val="16"/>
          <w:lang w:val="en-US" w:eastAsia="bg-BG"/>
        </w:rPr>
      </w:pPr>
      <w:r w:rsidRPr="000D787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2</w:t>
      </w:r>
      <w:r w:rsidRPr="00F14B5A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</w:t>
      </w:r>
      <w:r w:rsidRPr="00F713C8">
        <w:rPr>
          <w:rFonts w:ascii="Verdana" w:eastAsia="Μοντέρνα" w:hAnsi="Verdana" w:cs="Times New Roman"/>
          <w:sz w:val="16"/>
          <w:szCs w:val="16"/>
          <w:lang w:eastAsia="bg-BG"/>
        </w:rPr>
        <w:t>В обхвата на нефинансовите предприятия са включени всички сектори по КИД - 2008 с изключение на „Финансови и застрахователни дейности“, „Държавно управление“, „Дейности на организации с нестопанска цел“ и „Дейности на домакинствата“</w:t>
      </w:r>
      <w:r>
        <w:rPr>
          <w:rFonts w:ascii="Verdana" w:eastAsia="Μοντέρνα" w:hAnsi="Verdana" w:cs="Times New Roman"/>
          <w:sz w:val="16"/>
          <w:szCs w:val="16"/>
          <w:lang w:val="en-US" w:eastAsia="bg-BG"/>
        </w:rPr>
        <w:t>.</w:t>
      </w:r>
    </w:p>
    <w:p w14:paraId="131D0DBA" w14:textId="6618DEC4" w:rsidR="004C3AAA" w:rsidRPr="00BD21A6" w:rsidRDefault="004C3AAA" w:rsidP="0076623D">
      <w:pPr>
        <w:tabs>
          <w:tab w:val="left" w:pos="3123"/>
        </w:tabs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  <w:sectPr w:rsidR="004C3AAA" w:rsidRPr="00BD21A6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0D787A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*</w:t>
      </w:r>
      <w:r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Предварителни данни</w:t>
      </w:r>
      <w:r w:rsidR="00350207">
        <w:rPr>
          <w:rFonts w:ascii="Verdana" w:eastAsia="Μοντέρνα" w:hAnsi="Verdana" w:cs="Times New Roman"/>
          <w:sz w:val="16"/>
          <w:szCs w:val="16"/>
          <w:lang w:eastAsia="bg-BG"/>
        </w:rPr>
        <w:t>.</w:t>
      </w:r>
    </w:p>
    <w:p w14:paraId="5CA45868" w14:textId="77777777" w:rsidR="00DE5B13" w:rsidRPr="002D57C4" w:rsidRDefault="00DE5B13" w:rsidP="00DE5B13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27E084B2" w14:textId="77777777" w:rsidR="00DE5B13" w:rsidRPr="00E7697E" w:rsidRDefault="00DE5B13" w:rsidP="00DE5B13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B4585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Разходи за придобиване на дълготрайни материални активи</w:t>
      </w:r>
      <w:r w:rsidRPr="00BD21A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t>1</w:t>
      </w:r>
      <w:r w:rsidRPr="006B458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по икономически дейности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4"/>
        <w:gridCol w:w="949"/>
        <w:gridCol w:w="1134"/>
        <w:gridCol w:w="1134"/>
        <w:gridCol w:w="1134"/>
        <w:gridCol w:w="1276"/>
      </w:tblGrid>
      <w:tr w:rsidR="00461A9C" w:rsidRPr="00461A9C" w14:paraId="7035ABFB" w14:textId="77777777" w:rsidTr="00BC183A">
        <w:trPr>
          <w:trHeight w:val="255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5E41" w14:textId="77777777" w:rsidR="00461A9C" w:rsidRPr="00461A9C" w:rsidRDefault="00461A9C" w:rsidP="00461A9C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C94A" w14:textId="77777777" w:rsidR="00461A9C" w:rsidRPr="00461A9C" w:rsidRDefault="00461A9C" w:rsidP="00461A9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0874" w14:textId="77777777" w:rsidR="00461A9C" w:rsidRPr="00461A9C" w:rsidRDefault="00461A9C" w:rsidP="00461A9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2B8C" w14:textId="77777777" w:rsidR="00461A9C" w:rsidRPr="00461A9C" w:rsidRDefault="00461A9C" w:rsidP="00461A9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78CC" w14:textId="77777777" w:rsidR="00461A9C" w:rsidRPr="00461A9C" w:rsidRDefault="00461A9C" w:rsidP="00461A9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2E7" w14:textId="77777777" w:rsidR="00461A9C" w:rsidRPr="00461A9C" w:rsidRDefault="00461A9C" w:rsidP="00461A9C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Млн.</w:t>
            </w:r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левове</w:t>
            </w:r>
            <w:proofErr w:type="spellEnd"/>
            <w:r w:rsidRPr="00461A9C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)</w:t>
            </w:r>
          </w:p>
        </w:tc>
      </w:tr>
      <w:tr w:rsidR="00461A9C" w:rsidRPr="00461A9C" w14:paraId="6C396E8A" w14:textId="77777777" w:rsidTr="00BC183A">
        <w:trPr>
          <w:trHeight w:val="803"/>
        </w:trPr>
        <w:tc>
          <w:tcPr>
            <w:tcW w:w="330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13A3F5" w14:textId="77777777" w:rsidR="00461A9C" w:rsidRPr="00461A9C" w:rsidRDefault="00461A9C" w:rsidP="00461A9C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 (А10)</w:t>
            </w:r>
          </w:p>
        </w:tc>
        <w:tc>
          <w:tcPr>
            <w:tcW w:w="9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85DDDF" w14:textId="77777777" w:rsidR="00461A9C" w:rsidRPr="00461A9C" w:rsidRDefault="00461A9C" w:rsidP="0076623D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br/>
              <w:t>КИД - 2008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9D951F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6E8953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96FE6E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ABB488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2023*</w:t>
            </w:r>
          </w:p>
        </w:tc>
      </w:tr>
      <w:tr w:rsidR="00461A9C" w:rsidRPr="00461A9C" w14:paraId="2A2275ED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252999E" w14:textId="77777777" w:rsidR="00461A9C" w:rsidRPr="00461A9C" w:rsidRDefault="00461A9C" w:rsidP="00461A9C">
            <w:pP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5DC3B68" w14:textId="77777777" w:rsidR="00461A9C" w:rsidRPr="00461A9C" w:rsidRDefault="005B6171" w:rsidP="00461A9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B617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CDFEC1B" w14:textId="71865600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23157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571B428" w14:textId="499E3908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23036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6192F09" w14:textId="55FECBA3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27522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F2E3133" w14:textId="2AD6FCFD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  <w:t>33586</w:t>
            </w:r>
          </w:p>
        </w:tc>
      </w:tr>
      <w:tr w:rsidR="00461A9C" w:rsidRPr="00461A9C" w14:paraId="2A2B1ACC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0712DD71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Селско, горско и рибно стопанство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9C5F171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9CC8180" w14:textId="14B44869" w:rsidR="00461A9C" w:rsidRPr="00461A9C" w:rsidRDefault="00461A9C" w:rsidP="00DE0CB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590D24E" w14:textId="634A9718" w:rsidR="00461A9C" w:rsidRPr="00461A9C" w:rsidRDefault="00461A9C" w:rsidP="00DE0CB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FE0ED20" w14:textId="3F936157" w:rsidR="00461A9C" w:rsidRPr="00461A9C" w:rsidRDefault="00461A9C" w:rsidP="00DE0CB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02F5C8F5" w14:textId="140A167B" w:rsidR="00461A9C" w:rsidRPr="00461A9C" w:rsidRDefault="00461A9C" w:rsidP="00DE0CB7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2239</w:t>
            </w:r>
          </w:p>
        </w:tc>
      </w:tr>
      <w:tr w:rsidR="00461A9C" w:rsidRPr="00461A9C" w14:paraId="691ADD3C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52AFDC00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Индустрия (с изкл. на строителството)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F97DF51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B-E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05EEECF" w14:textId="620D3849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14FC4083" w14:textId="30352CED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C4395BE" w14:textId="030942DD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7D45DAF" w14:textId="1556C5B2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9053</w:t>
            </w:r>
          </w:p>
        </w:tc>
      </w:tr>
      <w:tr w:rsidR="00461A9C" w:rsidRPr="00461A9C" w14:paraId="2F21B676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6A63EC2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Строителство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2C26AE5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78BCBE7" w14:textId="3CEAF3FD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91A285F" w14:textId="1C9F15D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B8B9AFB" w14:textId="1E15A649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5C55A2F" w14:textId="3F98F571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2393</w:t>
            </w:r>
          </w:p>
        </w:tc>
      </w:tr>
      <w:tr w:rsidR="00461A9C" w:rsidRPr="00461A9C" w14:paraId="750B253A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B618A3C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Търговия, транспорт, хотелиерство и ресторантьорство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800F092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G-I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719E389" w14:textId="6A0CCF5B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73AD815" w14:textId="087BD810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5919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7808B40" w14:textId="121C96E9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596AE61F" w14:textId="6DD62BDA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7749</w:t>
            </w:r>
          </w:p>
        </w:tc>
      </w:tr>
      <w:tr w:rsidR="00461A9C" w:rsidRPr="00461A9C" w14:paraId="6BE131AB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7A00679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1253914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C0BAE65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172E5BBE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8825606" w14:textId="4C5D47C6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B2B0163" w14:textId="31976141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1235</w:t>
            </w:r>
          </w:p>
        </w:tc>
      </w:tr>
      <w:tr w:rsidR="00461A9C" w:rsidRPr="00461A9C" w14:paraId="10F52589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93B4CF5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Финансови и застрахователни дейности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30412C5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E50D925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EA74884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295D542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9230EA2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395</w:t>
            </w:r>
          </w:p>
        </w:tc>
      </w:tr>
      <w:tr w:rsidR="00461A9C" w:rsidRPr="00461A9C" w14:paraId="766B797A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7ADB397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Операции с недвижими имоти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DCF71E2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A50D6A0" w14:textId="177ACACA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A4684B3" w14:textId="5CC2687E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E5DB94A" w14:textId="292FA40F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C9A4C3C" w14:textId="23B597B6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3349</w:t>
            </w:r>
          </w:p>
        </w:tc>
      </w:tr>
      <w:tr w:rsidR="00461A9C" w:rsidRPr="00461A9C" w14:paraId="367813E2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14203BE1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Професионални дейности и научни изследвания; административни и спомагателни дейности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3A5D246" w14:textId="2049B6D4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M</w:t>
            </w:r>
            <w:r w:rsidR="0076623D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bg-BG"/>
              </w:rPr>
              <w:t>_</w:t>
            </w: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B808F5C" w14:textId="0E3F33A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0E08A4A7" w14:textId="29AD43D8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CA14141" w14:textId="77107574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1660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5151495B" w14:textId="4D76E7FD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2009</w:t>
            </w:r>
          </w:p>
        </w:tc>
      </w:tr>
      <w:tr w:rsidR="00461A9C" w:rsidRPr="00461A9C" w14:paraId="02106CE6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379F8730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Държавно управление; образование; хуманно здравеопазване и социална работа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E121E37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O-Q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181E25C2" w14:textId="65AEB0B2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579B4E07" w14:textId="79BD8A0E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C0D587A" w14:textId="776642C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7083CC7" w14:textId="291CCAB3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4509</w:t>
            </w:r>
          </w:p>
        </w:tc>
      </w:tr>
      <w:tr w:rsidR="00461A9C" w:rsidRPr="00461A9C" w14:paraId="150F7A2A" w14:textId="77777777" w:rsidTr="00BC183A">
        <w:trPr>
          <w:trHeight w:val="638"/>
        </w:trPr>
        <w:tc>
          <w:tcPr>
            <w:tcW w:w="330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B2E556C" w14:textId="77777777" w:rsidR="00461A9C" w:rsidRPr="00461A9C" w:rsidRDefault="00461A9C" w:rsidP="00461A9C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Култура, спорт и развлечения, ремонт на домакински вещи и други дейности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4B8FEDF9" w14:textId="77777777" w:rsidR="00461A9C" w:rsidRPr="00461A9C" w:rsidRDefault="00461A9C" w:rsidP="00461A9C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R-U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BA93CDA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56905767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A75ECF2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190FFAA6" w14:textId="77777777" w:rsidR="00461A9C" w:rsidRPr="00461A9C" w:rsidRDefault="00461A9C" w:rsidP="00461A9C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461A9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655</w:t>
            </w:r>
          </w:p>
        </w:tc>
      </w:tr>
    </w:tbl>
    <w:p w14:paraId="0DCE5828" w14:textId="77777777" w:rsidR="00096D9E" w:rsidRPr="0048175D" w:rsidRDefault="00096D9E" w:rsidP="0076623D">
      <w:pPr>
        <w:tabs>
          <w:tab w:val="left" w:pos="3123"/>
        </w:tabs>
        <w:spacing w:before="320" w:line="360" w:lineRule="auto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8175D">
        <w:rPr>
          <w:rFonts w:ascii="Verdana" w:eastAsia="Μοντέρνα" w:hAnsi="Verdana" w:cs="Times New Roman"/>
          <w:sz w:val="20"/>
          <w:szCs w:val="20"/>
          <w:lang w:val="en-US" w:eastAsia="bg-BG"/>
        </w:rPr>
        <w:t>________________</w:t>
      </w:r>
    </w:p>
    <w:p w14:paraId="4018A12A" w14:textId="77777777" w:rsidR="00096D9E" w:rsidRPr="006B4585" w:rsidRDefault="00096D9E" w:rsidP="0076623D">
      <w:pPr>
        <w:tabs>
          <w:tab w:val="left" w:pos="3123"/>
        </w:tabs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DE20B6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1</w:t>
      </w:r>
      <w:r w:rsidRPr="006B458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Данните са по текущи цени.</w:t>
      </w:r>
    </w:p>
    <w:p w14:paraId="0BEBAFAA" w14:textId="77777777" w:rsidR="00096D9E" w:rsidRPr="00705130" w:rsidRDefault="00096D9E" w:rsidP="0076623D">
      <w:pPr>
        <w:tabs>
          <w:tab w:val="left" w:pos="3123"/>
        </w:tabs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DE20B6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>*</w:t>
      </w:r>
      <w:r w:rsidRPr="006B458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Предварителни данни </w:t>
      </w:r>
    </w:p>
    <w:p w14:paraId="6BBEB358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AF4097">
      <w:headerReference w:type="first" r:id="rId14"/>
      <w:footerReference w:type="first" r:id="rId15"/>
      <w:pgSz w:w="11906" w:h="16838" w:code="9"/>
      <w:pgMar w:top="1134" w:right="1134" w:bottom="567" w:left="1701" w:header="23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340E" w14:textId="77777777" w:rsidR="00701D68" w:rsidRDefault="00701D68" w:rsidP="00214ACA">
      <w:r>
        <w:separator/>
      </w:r>
    </w:p>
  </w:endnote>
  <w:endnote w:type="continuationSeparator" w:id="0">
    <w:p w14:paraId="60374EBE" w14:textId="77777777" w:rsidR="00701D68" w:rsidRDefault="00701D6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E73A" w14:textId="77777777" w:rsidR="004C3AAA" w:rsidRPr="00A7142A" w:rsidRDefault="004C3AAA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AA6E20A" wp14:editId="6F3A824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6" name="Flowchart: Alternate Process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2F4B3" w14:textId="1700C24A" w:rsidR="004C3AAA" w:rsidRPr="00DD11CB" w:rsidRDefault="004C3AAA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141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A6E20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6" o:spid="_x0000_s1027" type="#_x0000_t176" style="position:absolute;left:0;text-align:left;margin-left:463.1pt;margin-top:1.05pt;width:34.5pt;height:34.7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ZM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U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LlvVk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9A2F4B3" w14:textId="1700C24A" w:rsidR="004C3AAA" w:rsidRPr="00DD11CB" w:rsidRDefault="004C3AAA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4141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32A5E119" wp14:editId="20B9522D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8D4E6" id="Rectangle 17" o:spid="_x0000_s1026" style="position:absolute;margin-left:470.7pt;margin-top:-.4pt;width:22.5pt;height:98.2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" fillcolor="#a5a5a5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009256E0" wp14:editId="091B90A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9B37E4" id="Graphic 8" o:spid="_x0000_s1026" style="position:absolute;margin-left:0;margin-top:8.8pt;width:477.7pt;height:.1pt;z-index:-25161625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THasv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9901" w14:textId="77777777" w:rsidR="004C3AAA" w:rsidRDefault="004C3AAA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022774FD" wp14:editId="3EBFCA74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2796F1" id="Rectangle 24" o:spid="_x0000_s1026" style="position:absolute;margin-left:15.65pt;margin-top:-25.75pt;width:22.5pt;height:82.7pt;z-index:-25160601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" fillcolor="#a5a5a5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EC694FD" wp14:editId="034E9E6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25" name="Flowchart: Alternate Process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EA437" w14:textId="0F2BA2E6" w:rsidR="004C3AAA" w:rsidRPr="00DD11CB" w:rsidRDefault="004C3AAA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141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694F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5" o:spid="_x0000_s1029" type="#_x0000_t176" style="position:absolute;margin-left:462.45pt;margin-top:-23.5pt;width:34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" filled="f" fillcolor="#5c83b4" stroked="f" strokecolor="#737373">
              <v:textbox>
                <w:txbxContent>
                  <w:p w14:paraId="20FEA437" w14:textId="0F2BA2E6" w:rsidR="004C3AAA" w:rsidRPr="00DD11CB" w:rsidRDefault="004C3AAA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4141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7144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4548BEF" wp14:editId="7A8926E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AA5D536" wp14:editId="46F1777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C1228" w14:textId="7A24B39B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141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A5D53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A3C1228" w14:textId="7A24B39B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4141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881245D" wp14:editId="4D5CE198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47D11C30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6FF1" w14:textId="77777777" w:rsidR="00701D68" w:rsidRDefault="00701D68" w:rsidP="00214ACA">
      <w:r>
        <w:separator/>
      </w:r>
    </w:p>
  </w:footnote>
  <w:footnote w:type="continuationSeparator" w:id="0">
    <w:p w14:paraId="126E18B9" w14:textId="77777777" w:rsidR="00701D68" w:rsidRDefault="00701D68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DE3D" w14:textId="77777777" w:rsidR="004C3AAA" w:rsidRPr="00B77149" w:rsidRDefault="004C3AAA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4FB3B5E3" wp14:editId="3C559D0E">
              <wp:simplePos x="0" y="0"/>
              <wp:positionH relativeFrom="margin">
                <wp:posOffset>-234315</wp:posOffset>
              </wp:positionH>
              <wp:positionV relativeFrom="paragraph">
                <wp:posOffset>-911860</wp:posOffset>
              </wp:positionV>
              <wp:extent cx="5890260" cy="855345"/>
              <wp:effectExtent l="0" t="0" r="0" b="190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0260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76DF0" w14:textId="77777777" w:rsidR="004C3AAA" w:rsidRPr="008C2520" w:rsidRDefault="004C3AAA" w:rsidP="008C2520">
                          <w:pPr>
                            <w:spacing w:before="160" w:after="160"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</w:pPr>
                          <w:r w:rsidRPr="006A63C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ПРЕКИ ЧУЖДЕСТРАННИ ИНВЕСТИЦИИ И РАЗХОДИ ЗА ПРИДОБИВАНЕ НА ДЪЛГОТРАЙНИ МАТЕРИАЛНИ АКТИВИ ПРЕЗ 202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en-US" w:eastAsia="bg-BG"/>
                            </w:rPr>
                            <w:t>3</w:t>
                          </w:r>
                          <w:r w:rsidRPr="006A63C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ГОДИНА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br/>
                          </w:r>
                          <w:r w:rsidRPr="006A63C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(ПРЕДВАРИТЕЛНИ ДАННИ)</w:t>
                          </w:r>
                        </w:p>
                        <w:p w14:paraId="72519BB4" w14:textId="77777777" w:rsidR="004C3AAA" w:rsidRPr="00101DE0" w:rsidRDefault="004C3AAA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7A1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45pt;margin-top:-71.8pt;width:463.8pt;height:67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" stroked="f">
              <v:textbox>
                <w:txbxContent>
                  <w:p w:rsidR="004C3AAA" w:rsidRPr="008C2520" w:rsidRDefault="004C3AAA" w:rsidP="008C2520">
                    <w:pPr>
                      <w:spacing w:before="160" w:after="160"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</w:pPr>
                    <w:r w:rsidRPr="006A63C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ПРЕКИ ЧУЖДЕСТРАННИ ИНВЕСТИЦИИ И РАЗХОДИ ЗА ПРИДОБИВАНЕ НА ДЪЛГОТРАЙНИ МАТЕРИАЛНИ АКТИВИ ПРЕЗ 202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en-US" w:eastAsia="bg-BG"/>
                      </w:rPr>
                      <w:t>3</w:t>
                    </w:r>
                    <w:r w:rsidRPr="006A63C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ГОДИНА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br/>
                    </w:r>
                    <w:r w:rsidRPr="006A63C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(ПРЕДВАРИТЕЛНИ ДАННИ)</w:t>
                    </w:r>
                  </w:p>
                  <w:p w:rsidR="004C3AAA" w:rsidRPr="00101DE0" w:rsidRDefault="004C3AAA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3B7708E3" wp14:editId="609CCE65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1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7A26A" id="Graphic 7" o:spid="_x0000_s1026" style="position:absolute;margin-left:-18.45pt;margin-top:-.75pt;width:477.7pt;height:.1pt;z-index:-2516090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6CE8" w14:textId="77777777" w:rsidR="004C3AAA" w:rsidRPr="009E4021" w:rsidRDefault="004C3AAA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01889F14" wp14:editId="714B636B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21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2BCE0B" id="Graphic 7" o:spid="_x0000_s1026" style="position:absolute;margin-left:0;margin-top:23pt;width:477.7pt;height:.1pt;z-index:-2516121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23NJw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703296" behindDoc="0" locked="0" layoutInCell="1" allowOverlap="1" wp14:anchorId="7431FB50" wp14:editId="3C832E5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0F967AD5" wp14:editId="1AF2F714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17F5A" w14:textId="77777777" w:rsidR="004C3AAA" w:rsidRDefault="004C3AAA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5BF8765" w14:textId="77777777" w:rsidR="004C3AAA" w:rsidRPr="00FD731D" w:rsidRDefault="004C3AAA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72C0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" stroked="f">
              <v:textbox>
                <w:txbxContent>
                  <w:p w:rsidR="004C3AAA" w:rsidRDefault="004C3AAA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4C3AAA" w:rsidRPr="00FD731D" w:rsidRDefault="004C3AAA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1248" behindDoc="0" locked="0" layoutInCell="1" allowOverlap="1" wp14:anchorId="75FD687E" wp14:editId="159EACC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23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A1D88" id="Graphic 1" o:spid="_x0000_s1026" style="position:absolute;margin-left:141.4pt;margin-top:-50.2pt;width:.4pt;height:49.6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702272" behindDoc="0" locked="0" layoutInCell="1" allowOverlap="1" wp14:anchorId="035608B6" wp14:editId="1698E21F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DEE0D" w14:textId="77777777" w:rsidR="004C3AAA" w:rsidRPr="004F064E" w:rsidRDefault="004C3AAA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F35E" w14:textId="77777777" w:rsidR="008748F1" w:rsidRPr="004F064E" w:rsidRDefault="005B57E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A1EBB5D" wp14:editId="0806CD9C">
              <wp:simplePos x="0" y="0"/>
              <wp:positionH relativeFrom="margin">
                <wp:posOffset>-80010</wp:posOffset>
              </wp:positionH>
              <wp:positionV relativeFrom="paragraph">
                <wp:posOffset>-904240</wp:posOffset>
              </wp:positionV>
              <wp:extent cx="5654040" cy="857250"/>
              <wp:effectExtent l="0" t="0" r="381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404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E098D" w14:textId="77777777" w:rsidR="00461A9C" w:rsidRPr="008C2520" w:rsidRDefault="00461A9C" w:rsidP="00461A9C">
                          <w:pPr>
                            <w:spacing w:before="160" w:after="160"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</w:pPr>
                          <w:r w:rsidRPr="006A63C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ПРЕКИ ЧУЖДЕСТРАННИ ИНВЕСТИЦИИ И РАЗХОДИ ЗА ПРИДОБИВАНЕ НА ДЪЛГОТРАЙНИ МАТЕРИАЛНИ АКТИВИ ПРЕЗ 202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en-US" w:eastAsia="bg-BG"/>
                            </w:rPr>
                            <w:t>3</w:t>
                          </w:r>
                          <w:r w:rsidRPr="006A63C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ГОДИНА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br/>
                          </w:r>
                          <w:r w:rsidRPr="006A63C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(ПРЕДВАРИТЕЛНИ ДАННИ)</w:t>
                          </w:r>
                        </w:p>
                        <w:p w14:paraId="3F71424F" w14:textId="77777777" w:rsidR="005B57ED" w:rsidRPr="00F14169" w:rsidRDefault="005B57ED" w:rsidP="00F14169">
                          <w:pPr>
                            <w:jc w:val="center"/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6.3pt;margin-top:-71.2pt;width:445.2pt;height:6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" stroked="f">
              <v:textbox>
                <w:txbxContent>
                  <w:p w:rsidR="00461A9C" w:rsidRPr="008C2520" w:rsidRDefault="00461A9C" w:rsidP="00461A9C">
                    <w:pPr>
                      <w:spacing w:before="160" w:after="160"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</w:pPr>
                    <w:r w:rsidRPr="006A63C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ПРЕКИ ЧУЖДЕСТРАННИ ИНВЕСТИЦИИ И РАЗХОДИ ЗА ПРИДОБИВАНЕ НА ДЪЛГОТРАЙНИ МАТЕРИАЛНИ АКТИВИ ПРЕЗ 202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en-US" w:eastAsia="bg-BG"/>
                      </w:rPr>
                      <w:t>3</w:t>
                    </w:r>
                    <w:r w:rsidRPr="006A63C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ГОДИНА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br/>
                    </w:r>
                    <w:r w:rsidRPr="006A63C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(ПРЕДВАРИТЕЛНИ ДАННИ)</w:t>
                    </w:r>
                  </w:p>
                  <w:p w:rsidR="005B57ED" w:rsidRPr="00F14169" w:rsidRDefault="005B57ED" w:rsidP="00F14169">
                    <w:pPr>
                      <w:jc w:val="center"/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80A9698" wp14:editId="193FEC2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3670F3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24203"/>
    <w:rsid w:val="00032DFC"/>
    <w:rsid w:val="0005069A"/>
    <w:rsid w:val="0006051E"/>
    <w:rsid w:val="000607BC"/>
    <w:rsid w:val="00077C97"/>
    <w:rsid w:val="00077CA7"/>
    <w:rsid w:val="000869FC"/>
    <w:rsid w:val="00096D9E"/>
    <w:rsid w:val="000B17C2"/>
    <w:rsid w:val="000B2B10"/>
    <w:rsid w:val="000C0D56"/>
    <w:rsid w:val="000C2C80"/>
    <w:rsid w:val="000C3417"/>
    <w:rsid w:val="000D06B2"/>
    <w:rsid w:val="000D60A5"/>
    <w:rsid w:val="000F0B88"/>
    <w:rsid w:val="001010D9"/>
    <w:rsid w:val="00101DE0"/>
    <w:rsid w:val="00104E6B"/>
    <w:rsid w:val="00106E90"/>
    <w:rsid w:val="00145382"/>
    <w:rsid w:val="00171C36"/>
    <w:rsid w:val="001901A0"/>
    <w:rsid w:val="00192D4A"/>
    <w:rsid w:val="001A1139"/>
    <w:rsid w:val="001B03D8"/>
    <w:rsid w:val="001B6A70"/>
    <w:rsid w:val="001D237F"/>
    <w:rsid w:val="001E5BA2"/>
    <w:rsid w:val="001E7AC3"/>
    <w:rsid w:val="001F32F9"/>
    <w:rsid w:val="00214ACA"/>
    <w:rsid w:val="002334E3"/>
    <w:rsid w:val="00244BEE"/>
    <w:rsid w:val="00263C44"/>
    <w:rsid w:val="002704E4"/>
    <w:rsid w:val="00273C44"/>
    <w:rsid w:val="00287801"/>
    <w:rsid w:val="00297070"/>
    <w:rsid w:val="002C1E83"/>
    <w:rsid w:val="002C72D4"/>
    <w:rsid w:val="002D126A"/>
    <w:rsid w:val="002E7C92"/>
    <w:rsid w:val="002F03C5"/>
    <w:rsid w:val="00314465"/>
    <w:rsid w:val="00321E86"/>
    <w:rsid w:val="00332C88"/>
    <w:rsid w:val="00336556"/>
    <w:rsid w:val="00341418"/>
    <w:rsid w:val="00347F66"/>
    <w:rsid w:val="00350207"/>
    <w:rsid w:val="00353EC8"/>
    <w:rsid w:val="00364357"/>
    <w:rsid w:val="0038746A"/>
    <w:rsid w:val="003B2503"/>
    <w:rsid w:val="003B42F8"/>
    <w:rsid w:val="003B46BA"/>
    <w:rsid w:val="003C0A94"/>
    <w:rsid w:val="003C2111"/>
    <w:rsid w:val="003C47A5"/>
    <w:rsid w:val="003D5F6D"/>
    <w:rsid w:val="00424B6A"/>
    <w:rsid w:val="004465C2"/>
    <w:rsid w:val="00446CF4"/>
    <w:rsid w:val="00455331"/>
    <w:rsid w:val="00461A9C"/>
    <w:rsid w:val="00461AD0"/>
    <w:rsid w:val="0046236B"/>
    <w:rsid w:val="00471E87"/>
    <w:rsid w:val="004760D3"/>
    <w:rsid w:val="0047704A"/>
    <w:rsid w:val="00486232"/>
    <w:rsid w:val="004A296C"/>
    <w:rsid w:val="004B3C92"/>
    <w:rsid w:val="004B5370"/>
    <w:rsid w:val="004C3AAA"/>
    <w:rsid w:val="004D4D26"/>
    <w:rsid w:val="004E1B42"/>
    <w:rsid w:val="004F064E"/>
    <w:rsid w:val="00520539"/>
    <w:rsid w:val="005254BC"/>
    <w:rsid w:val="0054234F"/>
    <w:rsid w:val="0054527E"/>
    <w:rsid w:val="00565144"/>
    <w:rsid w:val="0058151B"/>
    <w:rsid w:val="0059147E"/>
    <w:rsid w:val="005A5F01"/>
    <w:rsid w:val="005B2BB0"/>
    <w:rsid w:val="005B32E4"/>
    <w:rsid w:val="005B34F1"/>
    <w:rsid w:val="005B3A20"/>
    <w:rsid w:val="005B4023"/>
    <w:rsid w:val="005B57ED"/>
    <w:rsid w:val="005B6171"/>
    <w:rsid w:val="005D1F5A"/>
    <w:rsid w:val="005D5A7B"/>
    <w:rsid w:val="005E6DB5"/>
    <w:rsid w:val="00606391"/>
    <w:rsid w:val="006120F5"/>
    <w:rsid w:val="006314AE"/>
    <w:rsid w:val="00634922"/>
    <w:rsid w:val="006367A7"/>
    <w:rsid w:val="00644D53"/>
    <w:rsid w:val="00654814"/>
    <w:rsid w:val="00694D52"/>
    <w:rsid w:val="006A212D"/>
    <w:rsid w:val="006A63CB"/>
    <w:rsid w:val="006B4CEB"/>
    <w:rsid w:val="006D1BE4"/>
    <w:rsid w:val="006D6A00"/>
    <w:rsid w:val="006E2D52"/>
    <w:rsid w:val="006E4E90"/>
    <w:rsid w:val="006E6B5D"/>
    <w:rsid w:val="00701D68"/>
    <w:rsid w:val="0070212C"/>
    <w:rsid w:val="00704539"/>
    <w:rsid w:val="00705141"/>
    <w:rsid w:val="00710A54"/>
    <w:rsid w:val="007176AD"/>
    <w:rsid w:val="00720B49"/>
    <w:rsid w:val="00720F18"/>
    <w:rsid w:val="007370D1"/>
    <w:rsid w:val="0074669B"/>
    <w:rsid w:val="007472D6"/>
    <w:rsid w:val="007521A1"/>
    <w:rsid w:val="00764226"/>
    <w:rsid w:val="0076623D"/>
    <w:rsid w:val="00776EE1"/>
    <w:rsid w:val="00784085"/>
    <w:rsid w:val="00785F29"/>
    <w:rsid w:val="007B79BA"/>
    <w:rsid w:val="007C1294"/>
    <w:rsid w:val="007C61E0"/>
    <w:rsid w:val="007C7A6A"/>
    <w:rsid w:val="007D132F"/>
    <w:rsid w:val="007D3950"/>
    <w:rsid w:val="007E629C"/>
    <w:rsid w:val="007F0E84"/>
    <w:rsid w:val="007F116A"/>
    <w:rsid w:val="007F17B3"/>
    <w:rsid w:val="00800190"/>
    <w:rsid w:val="00826F71"/>
    <w:rsid w:val="00831D26"/>
    <w:rsid w:val="00837EF7"/>
    <w:rsid w:val="00860C1C"/>
    <w:rsid w:val="00867002"/>
    <w:rsid w:val="00870559"/>
    <w:rsid w:val="00871112"/>
    <w:rsid w:val="008748F1"/>
    <w:rsid w:val="0088087C"/>
    <w:rsid w:val="00881531"/>
    <w:rsid w:val="00881B14"/>
    <w:rsid w:val="00883238"/>
    <w:rsid w:val="008871D6"/>
    <w:rsid w:val="0089153C"/>
    <w:rsid w:val="00895456"/>
    <w:rsid w:val="008A742C"/>
    <w:rsid w:val="008B616E"/>
    <w:rsid w:val="008B700A"/>
    <w:rsid w:val="008D3797"/>
    <w:rsid w:val="008E71E8"/>
    <w:rsid w:val="008F236E"/>
    <w:rsid w:val="00922694"/>
    <w:rsid w:val="00922EDD"/>
    <w:rsid w:val="00927BB7"/>
    <w:rsid w:val="0094060D"/>
    <w:rsid w:val="00944C76"/>
    <w:rsid w:val="00947EBF"/>
    <w:rsid w:val="00977F2C"/>
    <w:rsid w:val="00991300"/>
    <w:rsid w:val="009A721A"/>
    <w:rsid w:val="009B2C3E"/>
    <w:rsid w:val="009B4795"/>
    <w:rsid w:val="009C569B"/>
    <w:rsid w:val="009D2F80"/>
    <w:rsid w:val="009E4021"/>
    <w:rsid w:val="00A12726"/>
    <w:rsid w:val="00A14E83"/>
    <w:rsid w:val="00A435F3"/>
    <w:rsid w:val="00A4558E"/>
    <w:rsid w:val="00A562B5"/>
    <w:rsid w:val="00A57D46"/>
    <w:rsid w:val="00A7142A"/>
    <w:rsid w:val="00A73B57"/>
    <w:rsid w:val="00A84354"/>
    <w:rsid w:val="00A85026"/>
    <w:rsid w:val="00A8613E"/>
    <w:rsid w:val="00A869E9"/>
    <w:rsid w:val="00A908C7"/>
    <w:rsid w:val="00AB7E73"/>
    <w:rsid w:val="00AC3D78"/>
    <w:rsid w:val="00AC507E"/>
    <w:rsid w:val="00AC6775"/>
    <w:rsid w:val="00AD3A4E"/>
    <w:rsid w:val="00AE4196"/>
    <w:rsid w:val="00AE52BC"/>
    <w:rsid w:val="00AE7AFE"/>
    <w:rsid w:val="00AF1044"/>
    <w:rsid w:val="00AF2D94"/>
    <w:rsid w:val="00AF4097"/>
    <w:rsid w:val="00B0333E"/>
    <w:rsid w:val="00B07D27"/>
    <w:rsid w:val="00B178F3"/>
    <w:rsid w:val="00B24434"/>
    <w:rsid w:val="00B33698"/>
    <w:rsid w:val="00B55B11"/>
    <w:rsid w:val="00B77149"/>
    <w:rsid w:val="00B91315"/>
    <w:rsid w:val="00BA4DB6"/>
    <w:rsid w:val="00BC11F7"/>
    <w:rsid w:val="00BC183A"/>
    <w:rsid w:val="00BE6BF8"/>
    <w:rsid w:val="00BF4BA6"/>
    <w:rsid w:val="00BF6767"/>
    <w:rsid w:val="00C14799"/>
    <w:rsid w:val="00C15231"/>
    <w:rsid w:val="00C21588"/>
    <w:rsid w:val="00C22E8B"/>
    <w:rsid w:val="00C3101A"/>
    <w:rsid w:val="00C33BA8"/>
    <w:rsid w:val="00C4400C"/>
    <w:rsid w:val="00C51194"/>
    <w:rsid w:val="00C54F89"/>
    <w:rsid w:val="00C616FD"/>
    <w:rsid w:val="00C6479E"/>
    <w:rsid w:val="00C66742"/>
    <w:rsid w:val="00C671B3"/>
    <w:rsid w:val="00C73587"/>
    <w:rsid w:val="00C74674"/>
    <w:rsid w:val="00C93974"/>
    <w:rsid w:val="00CA0766"/>
    <w:rsid w:val="00CA1E73"/>
    <w:rsid w:val="00CD17CD"/>
    <w:rsid w:val="00CF0F62"/>
    <w:rsid w:val="00D14000"/>
    <w:rsid w:val="00D158BB"/>
    <w:rsid w:val="00D2505C"/>
    <w:rsid w:val="00D27BC1"/>
    <w:rsid w:val="00D51507"/>
    <w:rsid w:val="00D70648"/>
    <w:rsid w:val="00D82477"/>
    <w:rsid w:val="00DA7530"/>
    <w:rsid w:val="00DB2ECD"/>
    <w:rsid w:val="00DD11CB"/>
    <w:rsid w:val="00DD42E8"/>
    <w:rsid w:val="00DE0CB7"/>
    <w:rsid w:val="00DE20CA"/>
    <w:rsid w:val="00DE49CB"/>
    <w:rsid w:val="00DE4F56"/>
    <w:rsid w:val="00DE5B13"/>
    <w:rsid w:val="00DE67E9"/>
    <w:rsid w:val="00DF4C8E"/>
    <w:rsid w:val="00E1305B"/>
    <w:rsid w:val="00E13DB4"/>
    <w:rsid w:val="00E43FDE"/>
    <w:rsid w:val="00E519EF"/>
    <w:rsid w:val="00E519FF"/>
    <w:rsid w:val="00E51D2F"/>
    <w:rsid w:val="00E544BD"/>
    <w:rsid w:val="00E563C3"/>
    <w:rsid w:val="00E67823"/>
    <w:rsid w:val="00E77A19"/>
    <w:rsid w:val="00E85AC8"/>
    <w:rsid w:val="00EB0C06"/>
    <w:rsid w:val="00EB5089"/>
    <w:rsid w:val="00ED22FB"/>
    <w:rsid w:val="00ED65A0"/>
    <w:rsid w:val="00EE11C5"/>
    <w:rsid w:val="00EE1353"/>
    <w:rsid w:val="00EF2788"/>
    <w:rsid w:val="00F14169"/>
    <w:rsid w:val="00F141FF"/>
    <w:rsid w:val="00F1557F"/>
    <w:rsid w:val="00F242BC"/>
    <w:rsid w:val="00F27A8F"/>
    <w:rsid w:val="00F36A17"/>
    <w:rsid w:val="00F425B7"/>
    <w:rsid w:val="00F45ADA"/>
    <w:rsid w:val="00F75C5C"/>
    <w:rsid w:val="00F87CDD"/>
    <w:rsid w:val="00FA00EF"/>
    <w:rsid w:val="00FB2A5A"/>
    <w:rsid w:val="00FC32D0"/>
    <w:rsid w:val="00FC3E67"/>
    <w:rsid w:val="00FC666D"/>
    <w:rsid w:val="00FC6B7F"/>
    <w:rsid w:val="00FD731D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FDE6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5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A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A921-EBBE-4525-946E-F76701BA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Anelia Viharova</cp:lastModifiedBy>
  <cp:revision>3</cp:revision>
  <cp:lastPrinted>2024-08-16T10:01:00Z</cp:lastPrinted>
  <dcterms:created xsi:type="dcterms:W3CDTF">2024-08-22T14:06:00Z</dcterms:created>
  <dcterms:modified xsi:type="dcterms:W3CDTF">2024-08-23T07:15:00Z</dcterms:modified>
</cp:coreProperties>
</file>