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A697" w14:textId="77777777" w:rsidR="00064E2B" w:rsidRPr="0076335C" w:rsidRDefault="00064E2B" w:rsidP="009564C7">
      <w:pPr>
        <w:tabs>
          <w:tab w:val="left" w:pos="9639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ДЕЙНОСТ НА ФИНАНСОВИТЕ ПРЕДПРИЯТИЯ И</w:t>
      </w:r>
    </w:p>
    <w:p w14:paraId="572FAACC" w14:textId="6D085A7A" w:rsidR="00064E2B" w:rsidRPr="0076335C" w:rsidRDefault="00064E2B" w:rsidP="009564C7">
      <w:pPr>
        <w:tabs>
          <w:tab w:val="left" w:pos="9639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en-US"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НА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СДРУЖЕНИЯТА И ФОНДАЦИИТЕ ЗА 202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en-US" w:eastAsia="bg-BG"/>
        </w:rPr>
        <w:t>3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 xml:space="preserve"> ГОДИНА</w:t>
      </w:r>
    </w:p>
    <w:p w14:paraId="5AB839F0" w14:textId="77777777" w:rsidR="00064E2B" w:rsidRPr="0076335C" w:rsidRDefault="00064E2B" w:rsidP="009564C7">
      <w:pPr>
        <w:tabs>
          <w:tab w:val="left" w:pos="9639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ru-RU"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ru-RU" w:eastAsia="bg-BG"/>
        </w:rPr>
        <w:t>(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ПРЕДВАРИТЕЛНИ ДАННИ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ru-RU" w:eastAsia="bg-BG"/>
        </w:rPr>
        <w:t>)</w:t>
      </w:r>
    </w:p>
    <w:p w14:paraId="68938041" w14:textId="7483F6EC" w:rsidR="00064E2B" w:rsidRPr="0076335C" w:rsidRDefault="00064E2B" w:rsidP="004927E1">
      <w:pPr>
        <w:tabs>
          <w:tab w:val="left" w:pos="9639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1. Застрахователи</w:t>
      </w:r>
    </w:p>
    <w:p w14:paraId="7DAC362B" w14:textId="50ADA4B8" w:rsidR="00064E2B" w:rsidRPr="0076335C" w:rsidRDefault="00064E2B" w:rsidP="009564C7">
      <w:pPr>
        <w:tabs>
          <w:tab w:val="left" w:pos="567"/>
          <w:tab w:val="left" w:pos="9498"/>
          <w:tab w:val="left" w:pos="9639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В Националния статистически институт (НСИ) годишен отчет за дейността си за 202</w:t>
      </w:r>
      <w:r w:rsidRPr="0076335C">
        <w:rPr>
          <w:rFonts w:ascii="Verdana" w:eastAsia="Times" w:hAnsi="Verdana" w:cs="Times New Roman"/>
          <w:sz w:val="20"/>
          <w:szCs w:val="20"/>
          <w:lang w:val="en-US" w:eastAsia="bg-BG"/>
        </w:rPr>
        <w:t>3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 xml:space="preserve"> г. са представили </w:t>
      </w:r>
      <w:r w:rsidRPr="0076335C">
        <w:rPr>
          <w:rFonts w:ascii="Verdana" w:eastAsia="Times" w:hAnsi="Verdana" w:cs="Times New Roman"/>
          <w:sz w:val="20"/>
          <w:szCs w:val="20"/>
          <w:lang w:val="en-US" w:eastAsia="bg-BG"/>
        </w:rPr>
        <w:t>4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5</w:t>
      </w:r>
      <w:r w:rsidRPr="0076335C">
        <w:rPr>
          <w:rFonts w:ascii="Verdana" w:eastAsia="Times" w:hAnsi="Verdana" w:cs="Times New Roman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лицензирани застрахователя</w:t>
      </w:r>
      <w:r w:rsidRPr="0076335C">
        <w:rPr>
          <w:rFonts w:ascii="Verdana" w:eastAsia="Times" w:hAnsi="Verdana" w:cs="Times New Roman"/>
          <w:sz w:val="20"/>
          <w:szCs w:val="20"/>
          <w:lang w:val="ru-RU" w:eastAsia="bg-BG"/>
        </w:rPr>
        <w:t xml:space="preserve"> с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 xml:space="preserve"> балансова стойност на активите към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31.12.202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3 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г.</w:t>
      </w:r>
      <w:r w:rsidR="0099070E">
        <w:rPr>
          <w:rFonts w:ascii="Verdana" w:eastAsia="Times" w:hAnsi="Verdana" w:cs="Times New Roman"/>
          <w:sz w:val="20"/>
          <w:szCs w:val="20"/>
          <w:lang w:eastAsia="bg-BG"/>
        </w:rPr>
        <w:t xml:space="preserve"> от </w:t>
      </w:r>
      <w:r w:rsidR="007C1D1D">
        <w:rPr>
          <w:rFonts w:ascii="Verdana" w:eastAsia="Times" w:hAnsi="Verdana" w:cs="Times New Roman"/>
          <w:sz w:val="20"/>
          <w:szCs w:val="20"/>
          <w:lang w:val="en-US" w:eastAsia="bg-BG"/>
        </w:rPr>
        <w:t>8</w:t>
      </w:r>
      <w:r w:rsidRPr="0076335C">
        <w:rPr>
          <w:rFonts w:ascii="Verdana" w:eastAsia="Times" w:hAnsi="Verdana" w:cs="Times New Roman"/>
          <w:sz w:val="20"/>
          <w:szCs w:val="20"/>
          <w:lang w:val="en-US" w:eastAsia="bg-BG"/>
        </w:rPr>
        <w:t> </w:t>
      </w:r>
      <w:r w:rsidR="007C1D1D">
        <w:rPr>
          <w:rFonts w:ascii="Verdana" w:eastAsia="Times" w:hAnsi="Verdana" w:cs="Times New Roman"/>
          <w:sz w:val="20"/>
          <w:szCs w:val="20"/>
          <w:lang w:val="en-US" w:eastAsia="bg-BG"/>
        </w:rPr>
        <w:t>897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 xml:space="preserve"> мл</w:t>
      </w:r>
      <w:r w:rsidR="0099070E">
        <w:rPr>
          <w:rFonts w:ascii="Verdana" w:eastAsia="Times" w:hAnsi="Verdana" w:cs="Times New Roman"/>
          <w:sz w:val="20"/>
          <w:szCs w:val="20"/>
          <w:lang w:eastAsia="bg-BG"/>
        </w:rPr>
        <w:t>н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.</w:t>
      </w:r>
      <w:r w:rsidRPr="0076335C">
        <w:rPr>
          <w:rFonts w:ascii="Verdana" w:eastAsia="Times" w:hAnsi="Verdana" w:cs="Times New Roman"/>
          <w:sz w:val="20"/>
          <w:szCs w:val="20"/>
          <w:lang w:val="ru-RU" w:eastAsia="bg-BG"/>
        </w:rPr>
        <w:t xml:space="preserve"> 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лв. и реализиран о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борот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vertAlign w:val="superscript"/>
          <w:lang w:eastAsia="bg-BG"/>
        </w:rPr>
        <w:footnoteReference w:id="1"/>
      </w:r>
      <w:r w:rsidRPr="0076335C">
        <w:rPr>
          <w:rFonts w:ascii="Verdana" w:eastAsia="Times" w:hAnsi="Verdana" w:cs="Times New Roman"/>
          <w:sz w:val="20"/>
          <w:szCs w:val="20"/>
          <w:vertAlign w:val="superscript"/>
          <w:lang w:eastAsia="bg-BG"/>
        </w:rPr>
        <w:t xml:space="preserve"> 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от 4</w:t>
      </w:r>
      <w:r w:rsidRPr="0076335C">
        <w:rPr>
          <w:rFonts w:ascii="Verdana" w:eastAsia="Times" w:hAnsi="Verdana" w:cs="Times New Roman"/>
          <w:sz w:val="20"/>
          <w:szCs w:val="20"/>
          <w:lang w:val="en-US" w:eastAsia="bg-BG"/>
        </w:rPr>
        <w:t> 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386 мл</w:t>
      </w:r>
      <w:r w:rsidR="0099070E">
        <w:rPr>
          <w:rFonts w:ascii="Verdana" w:eastAsia="Times" w:hAnsi="Verdana" w:cs="Times New Roman"/>
          <w:sz w:val="20"/>
          <w:szCs w:val="20"/>
          <w:lang w:eastAsia="bg-BG"/>
        </w:rPr>
        <w:t>н</w:t>
      </w:r>
      <w:r w:rsidRPr="0076335C">
        <w:rPr>
          <w:rFonts w:ascii="Verdana" w:eastAsia="Times" w:hAnsi="Verdana" w:cs="Times New Roman"/>
          <w:sz w:val="20"/>
          <w:szCs w:val="20"/>
          <w:lang w:eastAsia="bg-BG"/>
        </w:rPr>
        <w:t>. лева.</w:t>
      </w:r>
      <w:r w:rsidRPr="0076335C">
        <w:rPr>
          <w:rFonts w:ascii="Verdana" w:eastAsia="Times" w:hAnsi="Verdana"/>
          <w:sz w:val="20"/>
          <w:szCs w:val="20"/>
          <w:lang w:eastAsia="bg-BG"/>
        </w:rPr>
        <w:t xml:space="preserve"> (</w:t>
      </w:r>
      <w:r w:rsidRPr="0076335C">
        <w:rPr>
          <w:rFonts w:ascii="Verdana" w:hAnsi="Verdana"/>
          <w:sz w:val="20"/>
          <w:szCs w:val="20"/>
        </w:rPr>
        <w:t>виж фиг.</w:t>
      </w:r>
      <w:r w:rsidR="00906407">
        <w:rPr>
          <w:rFonts w:ascii="Verdana" w:hAnsi="Verdana"/>
          <w:sz w:val="20"/>
          <w:szCs w:val="20"/>
        </w:rPr>
        <w:t xml:space="preserve"> </w:t>
      </w:r>
      <w:r w:rsidRPr="0076335C">
        <w:rPr>
          <w:rFonts w:ascii="Verdana" w:hAnsi="Verdana"/>
          <w:sz w:val="20"/>
          <w:szCs w:val="20"/>
        </w:rPr>
        <w:t>1</w:t>
      </w:r>
      <w:r w:rsidRPr="0076335C">
        <w:rPr>
          <w:rFonts w:ascii="Verdana" w:eastAsia="Times" w:hAnsi="Verdana"/>
          <w:sz w:val="20"/>
          <w:szCs w:val="20"/>
          <w:lang w:eastAsia="bg-BG"/>
        </w:rPr>
        <w:t>)</w:t>
      </w:r>
    </w:p>
    <w:p w14:paraId="6F95321F" w14:textId="4D1FFB9A" w:rsidR="00064E2B" w:rsidRDefault="00064E2B" w:rsidP="009564C7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</w:pPr>
      <w:r w:rsidRPr="00D65FBE"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t xml:space="preserve">Фиг. 1. Балансова стойност на </w:t>
      </w:r>
      <w:r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t xml:space="preserve">активите и оборот на </w:t>
      </w:r>
      <w:r w:rsidRPr="00D65FBE"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t>застрахователите</w:t>
      </w:r>
      <w:r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t xml:space="preserve"> </w:t>
      </w:r>
      <w:r w:rsidRPr="00D65FBE"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t>по години</w:t>
      </w:r>
    </w:p>
    <w:p w14:paraId="132712F1" w14:textId="09425076" w:rsidR="00064E2B" w:rsidRPr="00F955D9" w:rsidRDefault="00775ED3" w:rsidP="00F955D9">
      <w:pPr>
        <w:tabs>
          <w:tab w:val="left" w:pos="1134"/>
          <w:tab w:val="left" w:pos="9356"/>
          <w:tab w:val="left" w:pos="9639"/>
        </w:tabs>
        <w:jc w:val="center"/>
        <w:rPr>
          <w:rFonts w:eastAsia="Μοντέρνα" w:cs="Times New Roman"/>
          <w:b/>
          <w:snapToGrid w:val="0"/>
          <w:color w:val="000000"/>
          <w:sz w:val="16"/>
          <w:szCs w:val="16"/>
          <w:lang w:val="en-US" w:eastAsia="bg-BG"/>
        </w:rPr>
      </w:pPr>
      <w:r>
        <w:rPr>
          <w:rFonts w:ascii="Verdana" w:eastAsia="Μοντέρνα" w:hAnsi="Verdana" w:cs="Times New Roman"/>
          <w:b/>
          <w:snapToGrid w:val="0"/>
          <w:color w:val="000000"/>
          <w:sz w:val="16"/>
          <w:szCs w:val="16"/>
          <w:lang w:val="en-US" w:eastAsia="bg-BG"/>
        </w:rPr>
        <w:pict w14:anchorId="7AB4E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3in">
            <v:imagedata r:id="rId8" o:title=""/>
          </v:shape>
        </w:pict>
      </w:r>
    </w:p>
    <w:p w14:paraId="5D0E6285" w14:textId="6E82A66E" w:rsidR="00064E2B" w:rsidRPr="00E74F1E" w:rsidRDefault="00064E2B" w:rsidP="004927E1">
      <w:pPr>
        <w:tabs>
          <w:tab w:val="left" w:pos="567"/>
          <w:tab w:val="left" w:pos="9356"/>
          <w:tab w:val="left" w:pos="9639"/>
        </w:tabs>
        <w:spacing w:before="160" w:after="160" w:line="360" w:lineRule="auto"/>
        <w:ind w:firstLine="567"/>
        <w:jc w:val="both"/>
        <w:rPr>
          <w:rFonts w:ascii="Verdana" w:eastAsia="Times" w:hAnsi="Verdana"/>
          <w:sz w:val="20"/>
          <w:szCs w:val="20"/>
          <w:lang w:val="en-US"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Застрахователите отчитат положителен финансов резултат от дейността </w:t>
      </w:r>
      <w:r w:rsidR="007C1D1D" w:rsidRPr="007C1D1D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си общо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в размер на 307 млн. лева. В животозастраховането е реализирана печалба от 88 млн. лв.,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а в „Общо застраховане“ - 219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млн. лева </w:t>
      </w:r>
      <w:r w:rsidRPr="0076335C">
        <w:rPr>
          <w:rFonts w:ascii="Verdana" w:eastAsia="Times" w:hAnsi="Verdana"/>
          <w:sz w:val="20"/>
          <w:szCs w:val="20"/>
          <w:lang w:eastAsia="bg-BG"/>
        </w:rPr>
        <w:t>(</w:t>
      </w:r>
      <w:r w:rsidRPr="0076335C">
        <w:rPr>
          <w:rFonts w:ascii="Verdana" w:hAnsi="Verdana"/>
          <w:sz w:val="20"/>
          <w:szCs w:val="20"/>
        </w:rPr>
        <w:t>виж фиг.</w:t>
      </w:r>
      <w:r w:rsidR="00023F96">
        <w:rPr>
          <w:rFonts w:ascii="Verdana" w:hAnsi="Verdana"/>
          <w:sz w:val="20"/>
          <w:szCs w:val="20"/>
          <w:lang w:val="en-US"/>
        </w:rPr>
        <w:t xml:space="preserve"> </w:t>
      </w:r>
      <w:r w:rsidRPr="0076335C">
        <w:rPr>
          <w:rFonts w:ascii="Verdana" w:hAnsi="Verdana"/>
          <w:sz w:val="20"/>
          <w:szCs w:val="20"/>
        </w:rPr>
        <w:t>2</w:t>
      </w:r>
      <w:r w:rsidRPr="0076335C">
        <w:rPr>
          <w:rFonts w:ascii="Verdana" w:eastAsia="Times" w:hAnsi="Verdana"/>
          <w:sz w:val="20"/>
          <w:szCs w:val="20"/>
          <w:lang w:eastAsia="bg-BG"/>
        </w:rPr>
        <w:t>)</w:t>
      </w:r>
      <w:r w:rsidR="00E74F1E">
        <w:rPr>
          <w:rFonts w:ascii="Verdana" w:eastAsia="Times" w:hAnsi="Verdana"/>
          <w:sz w:val="20"/>
          <w:szCs w:val="20"/>
          <w:lang w:val="en-US" w:eastAsia="bg-BG"/>
        </w:rPr>
        <w:t>.</w:t>
      </w:r>
    </w:p>
    <w:p w14:paraId="502CDDDB" w14:textId="4CA7C361" w:rsidR="005D18BA" w:rsidRDefault="005D18BA" w:rsidP="004927E1">
      <w:pPr>
        <w:tabs>
          <w:tab w:val="left" w:pos="567"/>
          <w:tab w:val="left" w:pos="9356"/>
          <w:tab w:val="left" w:pos="9639"/>
        </w:tabs>
        <w:spacing w:before="160" w:after="160" w:line="360" w:lineRule="auto"/>
        <w:ind w:firstLine="567"/>
        <w:jc w:val="both"/>
        <w:rPr>
          <w:rFonts w:ascii="Verdana" w:eastAsia="Times" w:hAnsi="Verdana"/>
          <w:sz w:val="20"/>
          <w:szCs w:val="20"/>
          <w:lang w:eastAsia="bg-BG"/>
        </w:rPr>
      </w:pPr>
    </w:p>
    <w:p w14:paraId="5AFF2B51" w14:textId="77777777" w:rsidR="005D18BA" w:rsidRPr="0076335C" w:rsidRDefault="005D18BA" w:rsidP="004927E1">
      <w:pPr>
        <w:tabs>
          <w:tab w:val="left" w:pos="567"/>
          <w:tab w:val="left" w:pos="9356"/>
          <w:tab w:val="left" w:pos="9639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napToGrid w:val="0"/>
          <w:sz w:val="20"/>
          <w:szCs w:val="20"/>
          <w:lang w:val="en-US" w:eastAsia="bg-BG"/>
        </w:rPr>
      </w:pPr>
    </w:p>
    <w:p w14:paraId="6760D6A7" w14:textId="77777777" w:rsidR="000C23B5" w:rsidRDefault="000C23B5" w:rsidP="004927E1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</w:pPr>
    </w:p>
    <w:p w14:paraId="5E242B8B" w14:textId="77777777" w:rsidR="000C23B5" w:rsidRDefault="000C23B5" w:rsidP="004927E1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</w:pPr>
    </w:p>
    <w:p w14:paraId="20088D70" w14:textId="54ABCEAA" w:rsidR="00064E2B" w:rsidRDefault="00064E2B" w:rsidP="004927E1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F34AEA"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lastRenderedPageBreak/>
        <w:t xml:space="preserve">Фиг. 2. </w:t>
      </w:r>
      <w:r w:rsidRPr="00F34AEA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Финансов резултат на застрахователите по години</w:t>
      </w:r>
    </w:p>
    <w:p w14:paraId="7C338121" w14:textId="55C97F7A" w:rsidR="00064E2B" w:rsidRDefault="009564C7" w:rsidP="00C24766">
      <w:pPr>
        <w:tabs>
          <w:tab w:val="left" w:pos="9639"/>
        </w:tabs>
        <w:spacing w:before="160" w:after="160" w:line="360" w:lineRule="auto"/>
        <w:jc w:val="center"/>
        <w:rPr>
          <w:noProof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40B0B2D5">
          <v:shape id="_x0000_i1026" type="#_x0000_t75" style="width:442.5pt;height:240.75pt">
            <v:imagedata r:id="rId9" o:title=""/>
          </v:shape>
        </w:pict>
      </w:r>
    </w:p>
    <w:p w14:paraId="31C82257" w14:textId="77777777" w:rsidR="00064E2B" w:rsidRDefault="00064E2B" w:rsidP="009564C7">
      <w:pPr>
        <w:tabs>
          <w:tab w:val="left" w:pos="9639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592A3F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2. Пенсионноосигурителни дружества и пенсионни фондове</w:t>
      </w:r>
    </w:p>
    <w:p w14:paraId="1F7D93B0" w14:textId="168E1714" w:rsidR="00064E2B" w:rsidRPr="0076335C" w:rsidRDefault="00064E2B" w:rsidP="00FE148F">
      <w:pPr>
        <w:tabs>
          <w:tab w:val="left" w:pos="9639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През 20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3 г. дейност са развивали 10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пенсионноосигурителни дружества с балансова стойност на активите към края на годината от 621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="00FE148F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млн. лв. и са реализирали печалба в размер на </w:t>
      </w:r>
      <w:r w:rsidR="00FE148F"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95</w:t>
      </w:r>
      <w:r w:rsidR="00FE148F"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="00FE148F"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млн. лева.</w:t>
      </w:r>
    </w:p>
    <w:p w14:paraId="2F97958A" w14:textId="10A60AF2" w:rsidR="00064E2B" w:rsidRPr="00064E2B" w:rsidRDefault="00064E2B" w:rsidP="00064E2B">
      <w:pPr>
        <w:tabs>
          <w:tab w:val="left" w:pos="9639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В НСИ отчет за дейността си са представили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31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лицензирани фонда за допълнително пенсионно осигуряване,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от които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20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по задължителното пенсионно осигуряване (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10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универсални и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професионални) и 11 доброволни, както и 1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9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 фонда за извършване на плащания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,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от които 9</w:t>
      </w:r>
      <w:r w:rsidRPr="0076335C">
        <w:rPr>
          <w:rFonts w:ascii="Verdana" w:eastAsia="Calibri" w:hAnsi="Verdana" w:cs="Times New Roman"/>
          <w:sz w:val="20"/>
          <w:szCs w:val="20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фонд</w:t>
      </w:r>
      <w:r w:rsidR="001301C2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а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 за разсрочени плащания и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 фонд</w:t>
      </w:r>
      <w:r w:rsidR="001301C2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а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 за изплащане на пожизнени пенсии. Балансовата стойност на активите на фондовете за допълнително пенсионно осигуряване към 31.12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ru-RU" w:eastAsia="bg-BG"/>
        </w:rPr>
        <w:t>.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20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3 г. е 23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028</w:t>
      </w:r>
      <w:r w:rsidRPr="0076335C">
        <w:rPr>
          <w:rFonts w:ascii="Verdana" w:eastAsia="Times" w:hAnsi="Verdana" w:cs="TimesNewRoman"/>
          <w:sz w:val="20"/>
          <w:szCs w:val="20"/>
          <w:lang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</w:t>
      </w:r>
      <w:r w:rsidR="003F28AE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н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. лв., а инвестициите достигат 21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459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</w:t>
      </w:r>
      <w:r w:rsidR="003F28AE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н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. лева. Балансовата стойност на активите на фондовете за извършване на плащания към 31.12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ru-RU" w:eastAsia="bg-BG"/>
        </w:rPr>
        <w:t>.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20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3 г. е 130 млн. лв., а инвестициите са в размер на 80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млн. лева</w:t>
      </w:r>
      <w:r w:rsidRPr="0076335C">
        <w:rPr>
          <w:rFonts w:ascii="Verdana" w:eastAsia="Times" w:hAnsi="Verdana"/>
          <w:sz w:val="20"/>
          <w:szCs w:val="20"/>
          <w:lang w:eastAsia="bg-BG"/>
        </w:rPr>
        <w:t xml:space="preserve"> (</w:t>
      </w:r>
      <w:r w:rsidRPr="0076335C">
        <w:rPr>
          <w:rFonts w:ascii="Verdana" w:hAnsi="Verdana"/>
          <w:sz w:val="20"/>
          <w:szCs w:val="20"/>
        </w:rPr>
        <w:t>виж фиг.</w:t>
      </w:r>
      <w:r w:rsidR="00023F96">
        <w:rPr>
          <w:rFonts w:ascii="Verdana" w:hAnsi="Verdana"/>
          <w:sz w:val="20"/>
          <w:szCs w:val="20"/>
          <w:lang w:val="en-US"/>
        </w:rPr>
        <w:t xml:space="preserve"> </w:t>
      </w:r>
      <w:r w:rsidRPr="0076335C">
        <w:rPr>
          <w:rFonts w:ascii="Verdana" w:hAnsi="Verdana"/>
          <w:sz w:val="20"/>
          <w:szCs w:val="20"/>
        </w:rPr>
        <w:t>3</w:t>
      </w:r>
      <w:r w:rsidRPr="0076335C">
        <w:rPr>
          <w:rFonts w:ascii="Verdana" w:eastAsia="Times" w:hAnsi="Verdana"/>
          <w:sz w:val="20"/>
          <w:szCs w:val="20"/>
          <w:lang w:eastAsia="bg-BG"/>
        </w:rPr>
        <w:t>)</w:t>
      </w:r>
      <w:r w:rsidR="009564C7"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.</w:t>
      </w:r>
    </w:p>
    <w:p w14:paraId="121488D1" w14:textId="77777777" w:rsidR="008B2591" w:rsidRDefault="008B2591" w:rsidP="004927E1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napToGrid w:val="0"/>
          <w:sz w:val="20"/>
          <w:szCs w:val="20"/>
          <w:lang w:eastAsia="bg-BG"/>
        </w:rPr>
      </w:pPr>
    </w:p>
    <w:p w14:paraId="5A2CD1DF" w14:textId="77777777" w:rsidR="008B2591" w:rsidRDefault="008B2591" w:rsidP="004927E1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napToGrid w:val="0"/>
          <w:sz w:val="20"/>
          <w:szCs w:val="20"/>
          <w:lang w:eastAsia="bg-BG"/>
        </w:rPr>
      </w:pPr>
    </w:p>
    <w:p w14:paraId="27906D48" w14:textId="77777777" w:rsidR="008B2591" w:rsidRDefault="008B2591" w:rsidP="004927E1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napToGrid w:val="0"/>
          <w:sz w:val="20"/>
          <w:szCs w:val="20"/>
          <w:lang w:eastAsia="bg-BG"/>
        </w:rPr>
      </w:pPr>
    </w:p>
    <w:p w14:paraId="6550975D" w14:textId="6A10F4E9" w:rsidR="00064E2B" w:rsidRDefault="00064E2B" w:rsidP="009564C7">
      <w:pPr>
        <w:keepNext/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592A3F">
        <w:rPr>
          <w:rFonts w:ascii="Verdana" w:eastAsia="Μοντέρνα" w:hAnsi="Verdana" w:cs="Times New Roman"/>
          <w:b/>
          <w:snapToGrid w:val="0"/>
          <w:sz w:val="20"/>
          <w:szCs w:val="20"/>
          <w:lang w:eastAsia="bg-BG"/>
        </w:rPr>
        <w:lastRenderedPageBreak/>
        <w:t xml:space="preserve">Фиг. 3. </w:t>
      </w:r>
      <w:r w:rsidRPr="00592A3F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Структура на инвестициите на фондовете</w:t>
      </w:r>
      <w:r w:rsidRPr="00592A3F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 </w:t>
      </w:r>
      <w:r w:rsidRPr="00592A3F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за допълнително пенсионно осигуряване по видове и години</w:t>
      </w:r>
    </w:p>
    <w:p w14:paraId="230CD913" w14:textId="6E31EEBD" w:rsidR="00064E2B" w:rsidRPr="002B364B" w:rsidRDefault="009564C7" w:rsidP="002B364B">
      <w:pPr>
        <w:tabs>
          <w:tab w:val="left" w:pos="9639"/>
        </w:tabs>
        <w:spacing w:line="360" w:lineRule="auto"/>
        <w:ind w:right="706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bCs/>
          <w:snapToGrid w:val="0"/>
          <w:sz w:val="16"/>
          <w:szCs w:val="16"/>
          <w:lang w:val="en-US" w:eastAsia="bg-BG"/>
        </w:rPr>
        <w:pict w14:anchorId="09A731E6">
          <v:shape id="_x0000_i1027" type="#_x0000_t75" style="width:458.25pt;height:312.75pt">
            <v:imagedata r:id="rId10" o:title=""/>
          </v:shape>
        </w:pict>
      </w:r>
    </w:p>
    <w:p w14:paraId="2924BD45" w14:textId="6FEDECA8" w:rsidR="00064E2B" w:rsidRPr="00064E2B" w:rsidRDefault="00064E2B" w:rsidP="009564C7">
      <w:pPr>
        <w:tabs>
          <w:tab w:val="left" w:pos="567"/>
          <w:tab w:val="left" w:pos="9639"/>
        </w:tabs>
        <w:spacing w:before="240" w:line="360" w:lineRule="auto"/>
        <w:ind w:firstLine="567"/>
        <w:jc w:val="both"/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Общият брой на осигурените лица в пенсионните фондове за допълнително пенсионно осигуряване към 31.12.20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3 г. е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GB" w:eastAsia="bg-BG"/>
        </w:rPr>
        <w:t>5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00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945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, а брутните постъпления от осигурителни вноски - 2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541 млн. лева.</w:t>
      </w:r>
    </w:p>
    <w:p w14:paraId="017DD484" w14:textId="08E312DF" w:rsidR="00064E2B" w:rsidRPr="0076335C" w:rsidRDefault="00064E2B" w:rsidP="004927E1">
      <w:pPr>
        <w:tabs>
          <w:tab w:val="left" w:pos="567"/>
          <w:tab w:val="left" w:pos="7938"/>
          <w:tab w:val="left" w:pos="9639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3.</w:t>
      </w:r>
      <w:r w:rsidR="00023F96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 xml:space="preserve"> 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Инвестиционни предприятия</w:t>
      </w:r>
    </w:p>
    <w:p w14:paraId="03CF23E8" w14:textId="2B18DF68" w:rsidR="00064E2B" w:rsidRDefault="00064E2B" w:rsidP="004927E1">
      <w:pPr>
        <w:tabs>
          <w:tab w:val="left" w:pos="567"/>
          <w:tab w:val="left" w:pos="9639"/>
        </w:tabs>
        <w:spacing w:line="360" w:lineRule="auto"/>
        <w:ind w:firstLine="567"/>
        <w:jc w:val="both"/>
        <w:rPr>
          <w:rFonts w:ascii="Verdana" w:eastAsia="Times" w:hAnsi="Verdana"/>
          <w:sz w:val="20"/>
          <w:szCs w:val="20"/>
          <w:lang w:eastAsia="bg-BG"/>
        </w:rPr>
      </w:pP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Годишен отчет за дейността си за 20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3 г. в НСИ са представили 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48 инвестиционни предприятия (инвестиционни дружества, инвестиционни посредници, управляващи дружества, договорни фондове, акционерни дружества със специална инвестиционна цел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, национални инвестиционни фондове, 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алтернативни инвестиционни фондове и л</w:t>
      </w:r>
      <w:r w:rsidRPr="004927E1">
        <w:rPr>
          <w:rFonts w:ascii="Verdana" w:eastAsia="Times New Roman" w:hAnsi="Verdana" w:cs="Times New Roman"/>
          <w:sz w:val="20"/>
          <w:szCs w:val="20"/>
          <w:lang w:eastAsia="bg-BG"/>
        </w:rPr>
        <w:t>ица, управляващи алтернативни инвестиционни фондове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) с обща балансова стойност на активите към края на годината от 15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009 млн. лева. Получените чужди активи (финансови инструменти и парични средства на клиенти) са в размер на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val="ru-RU" w:eastAsia="bg-BG"/>
        </w:rPr>
        <w:t xml:space="preserve"> </w:t>
      </w:r>
      <w:r w:rsidRPr="00FC0D29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9 675</w:t>
      </w:r>
      <w:r w:rsidR="00F84B20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млн. лева</w:t>
      </w:r>
      <w:r w:rsidRPr="00FC0D29">
        <w:rPr>
          <w:rFonts w:ascii="Verdana" w:eastAsia="Times" w:hAnsi="Verdana"/>
          <w:sz w:val="20"/>
          <w:szCs w:val="20"/>
          <w:lang w:eastAsia="bg-BG"/>
        </w:rPr>
        <w:t xml:space="preserve"> (</w:t>
      </w:r>
      <w:r w:rsidRPr="00FC0D29">
        <w:rPr>
          <w:rFonts w:ascii="Verdana" w:hAnsi="Verdana"/>
          <w:sz w:val="20"/>
          <w:szCs w:val="20"/>
        </w:rPr>
        <w:t>виж таблица 1</w:t>
      </w:r>
      <w:r w:rsidRPr="00FC0D29">
        <w:rPr>
          <w:rFonts w:ascii="Verdana" w:eastAsia="Times" w:hAnsi="Verdana"/>
          <w:sz w:val="20"/>
          <w:szCs w:val="20"/>
          <w:lang w:eastAsia="bg-BG"/>
        </w:rPr>
        <w:t>)</w:t>
      </w:r>
      <w:r w:rsidR="00F84B20">
        <w:rPr>
          <w:rFonts w:ascii="Verdana" w:eastAsia="Times" w:hAnsi="Verdana"/>
          <w:sz w:val="20"/>
          <w:szCs w:val="20"/>
          <w:lang w:eastAsia="bg-BG"/>
        </w:rPr>
        <w:t>.</w:t>
      </w:r>
    </w:p>
    <w:p w14:paraId="743F5AF1" w14:textId="77777777" w:rsidR="00F84B20" w:rsidRPr="0076335C" w:rsidRDefault="00F84B20" w:rsidP="004927E1">
      <w:pPr>
        <w:tabs>
          <w:tab w:val="left" w:pos="567"/>
          <w:tab w:val="left" w:pos="9639"/>
        </w:tabs>
        <w:spacing w:line="360" w:lineRule="auto"/>
        <w:ind w:firstLine="567"/>
        <w:jc w:val="both"/>
        <w:rPr>
          <w:rFonts w:eastAsia="Μοντέρνα" w:cs="Times New Roman"/>
          <w:b/>
          <w:bCs/>
          <w:snapToGrid w:val="0"/>
          <w:szCs w:val="20"/>
          <w:lang w:eastAsia="bg-BG"/>
        </w:rPr>
      </w:pPr>
    </w:p>
    <w:p w14:paraId="3CA139FF" w14:textId="77777777" w:rsidR="00064E2B" w:rsidRPr="0076335C" w:rsidRDefault="00064E2B" w:rsidP="004927E1">
      <w:pPr>
        <w:keepNext/>
        <w:tabs>
          <w:tab w:val="left" w:pos="1418"/>
          <w:tab w:val="left" w:pos="2552"/>
          <w:tab w:val="left" w:pos="7797"/>
          <w:tab w:val="left" w:pos="8363"/>
          <w:tab w:val="left" w:pos="9639"/>
          <w:tab w:val="left" w:pos="10348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lastRenderedPageBreak/>
        <w:t>Таблица 1. Брой на инвестиционните предприятия</w:t>
      </w:r>
    </w:p>
    <w:tbl>
      <w:tblPr>
        <w:tblW w:w="8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3"/>
        <w:gridCol w:w="837"/>
        <w:gridCol w:w="944"/>
        <w:gridCol w:w="944"/>
        <w:gridCol w:w="1050"/>
        <w:gridCol w:w="1050"/>
      </w:tblGrid>
      <w:tr w:rsidR="00064E2B" w:rsidRPr="0076335C" w14:paraId="0238AC16" w14:textId="77777777" w:rsidTr="00233D41">
        <w:trPr>
          <w:trHeight w:val="434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6C1" w14:textId="77777777" w:rsidR="00064E2B" w:rsidRPr="00BE2C3E" w:rsidRDefault="00064E2B" w:rsidP="00233D4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Инвестиционни предприятия по вид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8CB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B3CF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9BA6E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EA93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75E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2023*</w:t>
            </w:r>
          </w:p>
        </w:tc>
      </w:tr>
      <w:tr w:rsidR="00064E2B" w:rsidRPr="00A912FA" w14:paraId="7E3BA3BA" w14:textId="77777777" w:rsidTr="00233D41">
        <w:trPr>
          <w:trHeight w:val="334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7E8A" w14:textId="77777777" w:rsidR="00064E2B" w:rsidRPr="00A912FA" w:rsidRDefault="00064E2B" w:rsidP="00514368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A912FA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56F7" w14:textId="77777777" w:rsidR="00064E2B" w:rsidRPr="00A912FA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A912FA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249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229E" w14:textId="77777777" w:rsidR="00064E2B" w:rsidRPr="00A912FA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A912FA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256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EB58E" w14:textId="77777777" w:rsidR="00064E2B" w:rsidRPr="00A912FA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A912FA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251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DE3A" w14:textId="77777777" w:rsidR="00064E2B" w:rsidRPr="00A912FA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A912FA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252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882" w14:textId="77777777" w:rsidR="00064E2B" w:rsidRPr="00A912FA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A912FA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248</w:t>
            </w:r>
          </w:p>
        </w:tc>
      </w:tr>
      <w:tr w:rsidR="00064E2B" w:rsidRPr="008C07EC" w14:paraId="60FD3E2E" w14:textId="77777777" w:rsidTr="00233D41">
        <w:trPr>
          <w:trHeight w:val="334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0431" w14:textId="5CACF219" w:rsidR="00064E2B" w:rsidRPr="00514368" w:rsidRDefault="00064E2B" w:rsidP="00E01A0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Инвестиционни посредници</w:t>
            </w:r>
            <w:r w:rsidR="00E01A0D" w:rsidRPr="00FB6B3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9BC0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E752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C1513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3D0A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78E2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35</w:t>
            </w:r>
          </w:p>
        </w:tc>
      </w:tr>
      <w:tr w:rsidR="00064E2B" w:rsidRPr="008C07EC" w14:paraId="0E600467" w14:textId="77777777" w:rsidTr="00233D41">
        <w:trPr>
          <w:trHeight w:val="334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0DF" w14:textId="2CCBCD39" w:rsidR="00064E2B" w:rsidRPr="00514368" w:rsidRDefault="00064E2B" w:rsidP="005143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Инвестиционни дружества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3602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D340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52700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024B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C22D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</w:tr>
      <w:tr w:rsidR="00064E2B" w:rsidRPr="008C07EC" w14:paraId="022A317F" w14:textId="77777777" w:rsidTr="00233D41">
        <w:trPr>
          <w:trHeight w:val="334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4E9" w14:textId="1D2005D1" w:rsidR="00064E2B" w:rsidRPr="00514368" w:rsidRDefault="00064E2B" w:rsidP="005143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Управляващи дружества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8AE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713B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9ABFE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F4A8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B283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31</w:t>
            </w:r>
          </w:p>
        </w:tc>
      </w:tr>
      <w:tr w:rsidR="00064E2B" w:rsidRPr="008C07EC" w14:paraId="05B03869" w14:textId="77777777" w:rsidTr="00233D41">
        <w:trPr>
          <w:trHeight w:val="334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89D0" w14:textId="018A30F0" w:rsidR="00064E2B" w:rsidRPr="00514368" w:rsidRDefault="00064E2B" w:rsidP="00E01A0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Договорни фондове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EA5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6E65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60A35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7435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171C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107</w:t>
            </w:r>
          </w:p>
        </w:tc>
      </w:tr>
      <w:tr w:rsidR="00064E2B" w:rsidRPr="008C07EC" w14:paraId="5D9C677B" w14:textId="77777777" w:rsidTr="00F84B20">
        <w:trPr>
          <w:trHeight w:val="44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C034" w14:textId="0CFB1608" w:rsidR="00064E2B" w:rsidRPr="00514368" w:rsidRDefault="00064E2B" w:rsidP="00E01A0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Акционерни дружества със специална инвестиционна цел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D3E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B88A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F55A2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F6FB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A777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46</w:t>
            </w:r>
          </w:p>
        </w:tc>
      </w:tr>
      <w:tr w:rsidR="00064E2B" w:rsidRPr="008C07EC" w14:paraId="31D15852" w14:textId="77777777" w:rsidTr="00233D41">
        <w:trPr>
          <w:trHeight w:val="351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BF10" w14:textId="2BDBFA13" w:rsidR="00064E2B" w:rsidRPr="00514368" w:rsidRDefault="00064E2B" w:rsidP="00E01A0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Национални инвестиционни фондове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96F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223F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DAC85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37CB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398A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</w:p>
        </w:tc>
      </w:tr>
      <w:tr w:rsidR="00064E2B" w:rsidRPr="007C35CB" w14:paraId="23358E33" w14:textId="77777777" w:rsidTr="00233D41">
        <w:trPr>
          <w:trHeight w:val="351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1EED" w14:textId="22061145" w:rsidR="00064E2B" w:rsidRPr="00514368" w:rsidRDefault="00F84B20" w:rsidP="00E01A0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Алтернативни</w:t>
            </w:r>
            <w:r w:rsidR="00064E2B"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инвестицион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ни</w:t>
            </w:r>
            <w:r w:rsidR="00064E2B"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фонд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ове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B79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4E79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256AB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BF62" w14:textId="77777777" w:rsidR="00064E2B" w:rsidRPr="00BE2C3E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BD3D" w14:textId="77777777" w:rsidR="00064E2B" w:rsidRPr="00514368" w:rsidRDefault="00064E2B" w:rsidP="00514368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14368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11</w:t>
            </w:r>
          </w:p>
        </w:tc>
      </w:tr>
      <w:tr w:rsidR="0077257D" w:rsidRPr="0076335C" w14:paraId="3E9B4ADC" w14:textId="77777777" w:rsidTr="00D825CA">
        <w:trPr>
          <w:trHeight w:val="351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077A" w14:textId="66DA028C" w:rsidR="0077257D" w:rsidRPr="00BE2C3E" w:rsidRDefault="0077257D" w:rsidP="00E01A0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Лиц</w:t>
            </w:r>
            <w:r w:rsidR="00A94EB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</w:t>
            </w: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 управляващ</w:t>
            </w:r>
            <w:r w:rsidR="00A94EB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</w:t>
            </w: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алтернативни инвестиционни фондове</w:t>
            </w:r>
            <w:r w:rsidR="00E01A0D">
              <w:rPr>
                <w:rFonts w:ascii="Verdana" w:eastAsia="Μοντέρνα" w:hAnsi="Verdana" w:cs="Times New Roman"/>
                <w:snapToGrid w:val="0"/>
                <w:color w:val="000000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211" w14:textId="5F68543F" w:rsidR="0077257D" w:rsidRPr="00BE2C3E" w:rsidRDefault="0077257D" w:rsidP="0077257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CB7C" w14:textId="5C59852C" w:rsidR="0077257D" w:rsidRPr="00BE2C3E" w:rsidRDefault="0077257D" w:rsidP="0077257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C2E8F" w14:textId="298FE45A" w:rsidR="0077257D" w:rsidRPr="00BE2C3E" w:rsidRDefault="0077257D" w:rsidP="0077257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0DF9" w14:textId="77777777" w:rsidR="0077257D" w:rsidRPr="00BE2C3E" w:rsidRDefault="0077257D" w:rsidP="0077257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E41F" w14:textId="77777777" w:rsidR="0077257D" w:rsidRPr="00BE2C3E" w:rsidRDefault="0077257D" w:rsidP="0077257D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</w:tr>
    </w:tbl>
    <w:p w14:paraId="6693AC57" w14:textId="5B6380B5" w:rsidR="00064E2B" w:rsidRDefault="00F84B20" w:rsidP="00F84B20">
      <w:pPr>
        <w:spacing w:before="120" w:after="120"/>
        <w:rPr>
          <w:rFonts w:ascii="Verdana" w:eastAsia="Times New Roman" w:hAnsi="Verdana" w:cs="Times New Roman"/>
          <w:sz w:val="16"/>
          <w:szCs w:val="16"/>
          <w:u w:val="single"/>
          <w:lang w:eastAsia="bg-BG"/>
        </w:rPr>
      </w:pPr>
      <w:r w:rsidRPr="00F84B20">
        <w:rPr>
          <w:rFonts w:ascii="Verdana" w:eastAsia="Times New Roman" w:hAnsi="Verdana" w:cs="Times New Roman"/>
          <w:sz w:val="16"/>
          <w:szCs w:val="16"/>
          <w:u w:val="single"/>
          <w:lang w:eastAsia="bg-BG"/>
        </w:rPr>
        <w:t>* Предварителни данни.</w:t>
      </w:r>
    </w:p>
    <w:p w14:paraId="62E85263" w14:textId="4FB69CBD" w:rsidR="00E01A0D" w:rsidRPr="00E01A0D" w:rsidRDefault="00567FE3" w:rsidP="00567FE3">
      <w:pPr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67FE3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1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Инвестиционен посредник - </w:t>
      </w:r>
      <w:r w:rsidR="00E01A0D" w:rsidRPr="00E01A0D">
        <w:rPr>
          <w:rStyle w:val="hgkelc"/>
          <w:sz w:val="16"/>
          <w:szCs w:val="16"/>
        </w:rPr>
        <w:t xml:space="preserve"> </w:t>
      </w:r>
      <w:r w:rsidR="0056108F">
        <w:rPr>
          <w:rStyle w:val="hgkelc"/>
          <w:rFonts w:ascii="Verdana" w:hAnsi="Verdana"/>
          <w:sz w:val="16"/>
          <w:szCs w:val="16"/>
        </w:rPr>
        <w:t>дружество</w:t>
      </w:r>
      <w:r w:rsidR="00E01A0D" w:rsidRPr="00E01A0D">
        <w:rPr>
          <w:rStyle w:val="hgkelc"/>
          <w:rFonts w:ascii="Verdana" w:hAnsi="Verdana"/>
          <w:sz w:val="16"/>
          <w:szCs w:val="16"/>
        </w:rPr>
        <w:t>, ко</w:t>
      </w:r>
      <w:r w:rsidR="0056108F">
        <w:rPr>
          <w:rStyle w:val="hgkelc"/>
          <w:rFonts w:ascii="Verdana" w:hAnsi="Verdana"/>
          <w:sz w:val="16"/>
          <w:szCs w:val="16"/>
        </w:rPr>
        <w:t>е</w:t>
      </w:r>
      <w:r w:rsidR="00E01A0D" w:rsidRPr="00E01A0D">
        <w:rPr>
          <w:rStyle w:val="hgkelc"/>
          <w:rFonts w:ascii="Verdana" w:hAnsi="Verdana"/>
          <w:sz w:val="16"/>
          <w:szCs w:val="16"/>
        </w:rPr>
        <w:t xml:space="preserve">то действа като 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посредник</w:t>
      </w:r>
      <w:r w:rsidR="00E01A0D" w:rsidRPr="00E01A0D">
        <w:rPr>
          <w:rStyle w:val="hgkelc"/>
          <w:rFonts w:ascii="Verdana" w:hAnsi="Verdana"/>
          <w:sz w:val="16"/>
          <w:szCs w:val="16"/>
        </w:rPr>
        <w:t xml:space="preserve"> между две страни във финансова транзакция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.</w:t>
      </w:r>
    </w:p>
    <w:p w14:paraId="05AD8918" w14:textId="76198EA1" w:rsidR="00E01A0D" w:rsidRP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2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Инвестиционно дружество - </w:t>
      </w:r>
      <w:r w:rsidR="00E01A0D" w:rsidRPr="00E01A0D">
        <w:rPr>
          <w:rStyle w:val="hgkelc"/>
          <w:rFonts w:ascii="Verdana" w:hAnsi="Verdana"/>
          <w:sz w:val="16"/>
          <w:szCs w:val="16"/>
        </w:rPr>
        <w:t xml:space="preserve">акционерно 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дружество</w:t>
      </w:r>
      <w:r w:rsidR="00E01A0D" w:rsidRPr="00E01A0D">
        <w:rPr>
          <w:rStyle w:val="hgkelc"/>
          <w:rFonts w:ascii="Verdana" w:hAnsi="Verdana"/>
          <w:sz w:val="16"/>
          <w:szCs w:val="16"/>
        </w:rPr>
        <w:t xml:space="preserve"> с едностепенна система на управление и със седалище в Република България, което се учредява само на учредително събрание.</w:t>
      </w:r>
    </w:p>
    <w:p w14:paraId="6D710B1F" w14:textId="7D58DFDC" w:rsidR="00E01A0D" w:rsidRP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3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Управляващо дружество - </w:t>
      </w:r>
      <w:r w:rsidR="00E01A0D" w:rsidRPr="00E01A0D">
        <w:rPr>
          <w:rStyle w:val="hgkelc"/>
          <w:rFonts w:ascii="Verdana" w:hAnsi="Verdana"/>
          <w:sz w:val="16"/>
          <w:szCs w:val="16"/>
        </w:rPr>
        <w:t>дружество, което управлява един или повече взаимни фонда.</w:t>
      </w:r>
    </w:p>
    <w:p w14:paraId="24C4A750" w14:textId="1C637F1A" w:rsidR="00E01A0D" w:rsidRP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4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Договорен фонд - </w:t>
      </w:r>
      <w:r w:rsidR="00E01A0D" w:rsidRPr="00E01A0D">
        <w:rPr>
          <w:rStyle w:val="hgkelc"/>
          <w:rFonts w:ascii="Verdana" w:hAnsi="Verdana"/>
          <w:sz w:val="16"/>
          <w:szCs w:val="16"/>
        </w:rPr>
        <w:t>колективна схема за инвестиране и управление на парични средства на финансовите пазари.</w:t>
      </w:r>
    </w:p>
    <w:p w14:paraId="27537611" w14:textId="466EB87E" w:rsidR="00E01A0D" w:rsidRP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5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Акционерно дружество с специална инвестиционна цел - 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акционерно дружество</w:t>
      </w:r>
      <w:r w:rsidR="00E01A0D" w:rsidRPr="00E01A0D">
        <w:rPr>
          <w:rStyle w:val="hgkelc"/>
          <w:rFonts w:ascii="Verdana" w:hAnsi="Verdana"/>
          <w:sz w:val="16"/>
          <w:szCs w:val="16"/>
        </w:rPr>
        <w:t>, което инвестира парични средства, набрани чрез издаване на ценни книжа, в недвижими имоти или във вземания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.</w:t>
      </w:r>
    </w:p>
    <w:p w14:paraId="47E52106" w14:textId="7156EE97" w:rsidR="00E01A0D" w:rsidRP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6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Times New Roman" w:hAnsi="Verdana" w:cs="Times New Roman"/>
          <w:sz w:val="16"/>
          <w:szCs w:val="16"/>
          <w:lang w:eastAsia="bg-BG"/>
        </w:rPr>
        <w:t>Национални инвестиционни фондове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 </w:t>
      </w:r>
      <w:r w:rsidR="0014364A">
        <w:rPr>
          <w:rFonts w:ascii="Verdana" w:eastAsia="Μοντέρνα" w:hAnsi="Verdana" w:cs="Times New Roman"/>
          <w:sz w:val="16"/>
          <w:szCs w:val="16"/>
          <w:lang w:eastAsia="bg-BG"/>
        </w:rPr>
        <w:t>-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 дружества за колективно инвестиране</w:t>
      </w:r>
      <w:r w:rsidR="0014364A">
        <w:rPr>
          <w:rFonts w:ascii="Verdana" w:eastAsia="Μοντέρνα" w:hAnsi="Verdana" w:cs="Times New Roman"/>
          <w:sz w:val="16"/>
          <w:szCs w:val="16"/>
          <w:lang w:eastAsia="bg-BG"/>
        </w:rPr>
        <w:t>.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</w:t>
      </w:r>
    </w:p>
    <w:p w14:paraId="3C30BB85" w14:textId="0B9BC5BD" w:rsidR="00E01A0D" w:rsidRP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7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Times New Roman" w:hAnsi="Verdana" w:cs="Times New Roman"/>
          <w:sz w:val="16"/>
          <w:szCs w:val="16"/>
          <w:lang w:eastAsia="bg-BG"/>
        </w:rPr>
        <w:t>Алтернативни инвестиционни фондове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 - 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фондове</w:t>
      </w:r>
      <w:r w:rsidR="00E01A0D" w:rsidRPr="00E01A0D">
        <w:rPr>
          <w:rStyle w:val="hgkelc"/>
          <w:rFonts w:ascii="Verdana" w:hAnsi="Verdana"/>
          <w:sz w:val="16"/>
          <w:szCs w:val="16"/>
        </w:rPr>
        <w:t xml:space="preserve">, които са регулирани на равнище ЕС от директивата за управляващите алтернативни 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инвестиционни фондове</w:t>
      </w:r>
      <w:r w:rsidR="0014364A">
        <w:rPr>
          <w:rStyle w:val="hgkelc"/>
          <w:rFonts w:ascii="Verdana" w:hAnsi="Verdana"/>
          <w:bCs/>
          <w:sz w:val="16"/>
          <w:szCs w:val="16"/>
        </w:rPr>
        <w:t>.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</w:t>
      </w:r>
    </w:p>
    <w:p w14:paraId="134D8177" w14:textId="2270F633" w:rsidR="00E01A0D" w:rsidRDefault="00567FE3" w:rsidP="00567FE3">
      <w:pPr>
        <w:autoSpaceDE w:val="0"/>
        <w:autoSpaceDN w:val="0"/>
        <w:adjustRightInd w:val="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8</w:t>
      </w:r>
      <w:r w:rsidR="0014364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 </w:t>
      </w:r>
      <w:r w:rsidR="00E01A0D" w:rsidRPr="00E01A0D">
        <w:rPr>
          <w:rFonts w:ascii="Verdana" w:eastAsia="Times New Roman" w:hAnsi="Verdana" w:cs="Times New Roman"/>
          <w:sz w:val="16"/>
          <w:szCs w:val="16"/>
          <w:lang w:eastAsia="bg-BG"/>
        </w:rPr>
        <w:t>Лице управляващо алтернативни инвестиционни фондове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 </w:t>
      </w:r>
      <w:r w:rsidR="00E01A0D" w:rsidRPr="00E01A0D">
        <w:rPr>
          <w:rFonts w:ascii="Verdana" w:eastAsia="Μοντέρνα" w:hAnsi="Verdana" w:cs="Times New Roman"/>
          <w:b/>
          <w:sz w:val="16"/>
          <w:szCs w:val="16"/>
          <w:lang w:eastAsia="bg-BG"/>
        </w:rPr>
        <w:t>-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> 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дружество</w:t>
      </w:r>
      <w:r w:rsidR="00E01A0D" w:rsidRPr="00E01A0D">
        <w:rPr>
          <w:rStyle w:val="hgkelc"/>
          <w:rFonts w:ascii="Verdana" w:hAnsi="Verdana"/>
          <w:sz w:val="16"/>
          <w:szCs w:val="16"/>
        </w:rPr>
        <w:t xml:space="preserve"> управляващо алтернативни </w:t>
      </w:r>
      <w:r w:rsidR="00E01A0D" w:rsidRPr="00E01A0D">
        <w:rPr>
          <w:rStyle w:val="hgkelc"/>
          <w:rFonts w:ascii="Verdana" w:hAnsi="Verdana"/>
          <w:bCs/>
          <w:sz w:val="16"/>
          <w:szCs w:val="16"/>
        </w:rPr>
        <w:t>инвестиционни фондове</w:t>
      </w:r>
      <w:r w:rsidR="0014364A">
        <w:rPr>
          <w:rStyle w:val="hgkelc"/>
          <w:rFonts w:ascii="Verdana" w:hAnsi="Verdana"/>
          <w:bCs/>
          <w:sz w:val="16"/>
          <w:szCs w:val="16"/>
        </w:rPr>
        <w:t>.</w:t>
      </w:r>
      <w:r w:rsidR="00E01A0D" w:rsidRPr="00E01A0D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</w:t>
      </w:r>
    </w:p>
    <w:p w14:paraId="4A477E51" w14:textId="5C522B91" w:rsidR="00064E2B" w:rsidRPr="0076335C" w:rsidRDefault="00064E2B" w:rsidP="009564C7">
      <w:pPr>
        <w:tabs>
          <w:tab w:val="left" w:pos="8363"/>
          <w:tab w:val="left" w:pos="9639"/>
        </w:tabs>
        <w:spacing w:before="240" w:line="360" w:lineRule="auto"/>
        <w:ind w:firstLine="567"/>
        <w:jc w:val="both"/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Финансовите приходи на инвестиционните предприятия през 20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3 г. възлизат на </w:t>
      </w:r>
      <w:r w:rsidRPr="0076335C">
        <w:rPr>
          <w:rFonts w:ascii="Verdana" w:eastAsia="Times" w:hAnsi="Verdana" w:cs="TimesNewRoman"/>
          <w:sz w:val="20"/>
          <w:szCs w:val="20"/>
          <w:lang w:val="en-US" w:eastAsia="bg-BG"/>
        </w:rPr>
        <w:t>1</w:t>
      </w:r>
      <w:r w:rsidRPr="0076335C">
        <w:rPr>
          <w:rFonts w:ascii="Verdana" w:eastAsia="Times" w:hAnsi="Verdana" w:cs="TimesNewRoman"/>
          <w:sz w:val="20"/>
          <w:szCs w:val="20"/>
          <w:lang w:eastAsia="bg-BG"/>
        </w:rPr>
        <w:t> 618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млн. лв., а финансовият резултат за годината е печалба от 254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млн. лева.</w:t>
      </w:r>
    </w:p>
    <w:p w14:paraId="33C5B4CE" w14:textId="77777777" w:rsidR="00064E2B" w:rsidRPr="0076335C" w:rsidRDefault="00064E2B" w:rsidP="004927E1">
      <w:pPr>
        <w:tabs>
          <w:tab w:val="left" w:pos="9639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en-US" w:eastAsia="bg-BG"/>
        </w:rPr>
        <w:t>4</w:t>
      </w:r>
      <w:r w:rsidRPr="0076335C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. Сдружения и фондации</w:t>
      </w:r>
    </w:p>
    <w:p w14:paraId="5DEA3C5D" w14:textId="545FFBAC" w:rsidR="00064E2B" w:rsidRPr="00E74F1E" w:rsidRDefault="00064E2B" w:rsidP="009564C7">
      <w:pPr>
        <w:tabs>
          <w:tab w:val="left" w:pos="9639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val="en-US"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По предварителни данни броят на сдруженията и фондациите, представили годишен отчет за дейността си в НСИ, са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ru-RU"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4</w:t>
      </w:r>
      <w:r w:rsidR="007B1E5E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79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. Балансовата стойност на активите им към 31.12.20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3 г. е в размер на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60</w:t>
      </w:r>
      <w:r w:rsidR="007B1E5E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7</w:t>
      </w:r>
      <w:r w:rsidR="00E74F1E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млн. лева</w:t>
      </w:r>
      <w:r w:rsidRPr="0076335C">
        <w:rPr>
          <w:rFonts w:ascii="Verdana" w:eastAsia="Times" w:hAnsi="Verdana"/>
          <w:sz w:val="20"/>
          <w:szCs w:val="20"/>
          <w:lang w:eastAsia="bg-BG"/>
        </w:rPr>
        <w:t xml:space="preserve"> (</w:t>
      </w:r>
      <w:r w:rsidRPr="0076335C">
        <w:rPr>
          <w:rFonts w:ascii="Verdana" w:hAnsi="Verdana"/>
          <w:sz w:val="20"/>
          <w:szCs w:val="20"/>
        </w:rPr>
        <w:t>виж таблица 2 и фиг.</w:t>
      </w:r>
      <w:r w:rsidR="00FC0D29">
        <w:rPr>
          <w:rFonts w:ascii="Verdana" w:hAnsi="Verdana"/>
          <w:sz w:val="20"/>
          <w:szCs w:val="20"/>
        </w:rPr>
        <w:t xml:space="preserve"> </w:t>
      </w:r>
      <w:r w:rsidRPr="0076335C">
        <w:rPr>
          <w:rFonts w:ascii="Verdana" w:hAnsi="Verdana"/>
          <w:sz w:val="20"/>
          <w:szCs w:val="20"/>
        </w:rPr>
        <w:t>4</w:t>
      </w:r>
      <w:r w:rsidRPr="0076335C">
        <w:rPr>
          <w:rFonts w:ascii="Verdana" w:eastAsia="Times" w:hAnsi="Verdana"/>
          <w:sz w:val="20"/>
          <w:szCs w:val="20"/>
          <w:lang w:eastAsia="bg-BG"/>
        </w:rPr>
        <w:t>)</w:t>
      </w:r>
      <w:r w:rsidR="00E74F1E">
        <w:rPr>
          <w:rFonts w:ascii="Verdana" w:eastAsia="Times" w:hAnsi="Verdana"/>
          <w:sz w:val="20"/>
          <w:szCs w:val="20"/>
          <w:lang w:val="en-US" w:eastAsia="bg-BG"/>
        </w:rPr>
        <w:t>.</w:t>
      </w:r>
    </w:p>
    <w:p w14:paraId="7E1AB4CA" w14:textId="18C1FA9B" w:rsidR="00064E2B" w:rsidRPr="0076335C" w:rsidRDefault="00064E2B" w:rsidP="009564C7">
      <w:pPr>
        <w:tabs>
          <w:tab w:val="left" w:pos="9639"/>
        </w:tabs>
        <w:spacing w:line="360" w:lineRule="auto"/>
        <w:ind w:firstLine="567"/>
        <w:jc w:val="both"/>
        <w:rPr>
          <w:rFonts w:ascii="Verdana" w:eastAsia="Times" w:hAnsi="Verdana"/>
          <w:sz w:val="20"/>
          <w:szCs w:val="20"/>
          <w:lang w:eastAsia="bg-BG"/>
        </w:rPr>
      </w:pP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Приходите от нестопанска дейност на тези предприятия са 1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ru-RU"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03</w:t>
      </w:r>
      <w:r w:rsidR="00C01176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7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млн.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 xml:space="preserve"> 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лв., а приходите от регламентирана дейност </w:t>
      </w:r>
      <w:r w:rsidR="00FC0D29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-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 98</w:t>
      </w:r>
      <w:r w:rsidR="007B1E5E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8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Pr="0076335C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млн. лева.</w:t>
      </w:r>
      <w:r w:rsidRPr="0076335C">
        <w:rPr>
          <w:rFonts w:ascii="Verdana" w:eastAsia="Times" w:hAnsi="Verdana"/>
          <w:sz w:val="20"/>
          <w:szCs w:val="20"/>
          <w:lang w:eastAsia="bg-BG"/>
        </w:rPr>
        <w:t xml:space="preserve"> </w:t>
      </w:r>
    </w:p>
    <w:p w14:paraId="175D59FF" w14:textId="77777777" w:rsidR="00C91F81" w:rsidRDefault="00C91F81" w:rsidP="004927E1">
      <w:pPr>
        <w:tabs>
          <w:tab w:val="left" w:pos="7797"/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</w:p>
    <w:p w14:paraId="172618E7" w14:textId="77777777" w:rsidR="00C91F81" w:rsidRDefault="00C91F81" w:rsidP="004927E1">
      <w:pPr>
        <w:tabs>
          <w:tab w:val="left" w:pos="7797"/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</w:p>
    <w:p w14:paraId="7F08C3CF" w14:textId="77777777" w:rsidR="00C91F81" w:rsidRDefault="00C91F81" w:rsidP="004927E1">
      <w:pPr>
        <w:tabs>
          <w:tab w:val="left" w:pos="7797"/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</w:p>
    <w:p w14:paraId="6C26A3C1" w14:textId="56BF2C06" w:rsidR="00064E2B" w:rsidRDefault="00064E2B" w:rsidP="004927E1">
      <w:pPr>
        <w:tabs>
          <w:tab w:val="left" w:pos="7797"/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lastRenderedPageBreak/>
        <w:t xml:space="preserve">Таблица </w:t>
      </w:r>
      <w:r w:rsidRPr="00083E83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2. Основни икономически показатели</w:t>
      </w:r>
      <w:r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 xml:space="preserve"> </w:t>
      </w:r>
      <w:r w:rsidRPr="00083E83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на сдруженията и фондациите</w:t>
      </w:r>
    </w:p>
    <w:tbl>
      <w:tblPr>
        <w:tblW w:w="9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652"/>
        <w:gridCol w:w="818"/>
        <w:gridCol w:w="818"/>
        <w:gridCol w:w="818"/>
        <w:gridCol w:w="891"/>
      </w:tblGrid>
      <w:tr w:rsidR="00064E2B" w:rsidRPr="0076335C" w14:paraId="70C0B1E3" w14:textId="77777777" w:rsidTr="00475A39">
        <w:trPr>
          <w:trHeight w:val="557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7CB" w14:textId="77777777" w:rsidR="00064E2B" w:rsidRPr="00BE2C3E" w:rsidRDefault="00064E2B" w:rsidP="00233D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Основни икономически показатели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B980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CC7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9A3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26A8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012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2023*</w:t>
            </w:r>
          </w:p>
        </w:tc>
      </w:tr>
      <w:tr w:rsidR="00064E2B" w:rsidRPr="003758AC" w14:paraId="519B84F1" w14:textId="77777777" w:rsidTr="00475A39">
        <w:trPr>
          <w:trHeight w:val="390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904" w14:textId="77777777" w:rsidR="00064E2B" w:rsidRPr="009D25E0" w:rsidRDefault="00064E2B" w:rsidP="009D25E0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9D25E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Брой предприятия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297E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9754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4DA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9636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03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10045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04F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10137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D6D5" w14:textId="130C418D" w:rsidR="00064E2B" w:rsidRPr="00BE2C3E" w:rsidRDefault="00064E2B" w:rsidP="00944E68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BE2C3E">
              <w:rPr>
                <w:rFonts w:ascii="Verdana" w:hAnsi="Verdana"/>
                <w:sz w:val="16"/>
                <w:szCs w:val="16"/>
              </w:rPr>
              <w:t>104</w:t>
            </w:r>
            <w:r w:rsidR="00944E68" w:rsidRPr="00BE2C3E">
              <w:rPr>
                <w:rFonts w:ascii="Verdana" w:hAnsi="Verdana"/>
                <w:sz w:val="16"/>
                <w:szCs w:val="16"/>
                <w:lang w:val="en-US"/>
              </w:rPr>
              <w:t>79</w:t>
            </w:r>
          </w:p>
        </w:tc>
      </w:tr>
      <w:tr w:rsidR="00064E2B" w:rsidRPr="003758AC" w14:paraId="38259603" w14:textId="77777777" w:rsidTr="00475A39">
        <w:trPr>
          <w:trHeight w:val="390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EA0A" w14:textId="636CE856" w:rsidR="00064E2B" w:rsidRPr="009D25E0" w:rsidRDefault="00064E2B" w:rsidP="009D25E0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9D25E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Балансова стойност на активите - млн. лв.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F55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1267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C05B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50E8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1455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2DA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1466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5C02" w14:textId="188A6957" w:rsidR="00064E2B" w:rsidRPr="00BE2C3E" w:rsidRDefault="00944E68" w:rsidP="00233D4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E2C3E">
              <w:rPr>
                <w:rFonts w:ascii="Verdana" w:hAnsi="Verdana"/>
                <w:sz w:val="16"/>
                <w:szCs w:val="16"/>
              </w:rPr>
              <w:t>1607</w:t>
            </w:r>
          </w:p>
        </w:tc>
      </w:tr>
      <w:tr w:rsidR="00064E2B" w:rsidRPr="003758AC" w14:paraId="79DA4E85" w14:textId="77777777" w:rsidTr="00475A39">
        <w:trPr>
          <w:trHeight w:val="464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067" w14:textId="6E0B0456" w:rsidR="00064E2B" w:rsidRPr="009D25E0" w:rsidRDefault="00064E2B" w:rsidP="009D25E0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9D25E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Приходи от регламентирана дейност - млн. лв.</w:t>
            </w:r>
            <w:r w:rsidR="007C1D1D" w:rsidRPr="00FB6B3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4B2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646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C9C2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643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010C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2703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871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8F74" w14:textId="1F19E4D9" w:rsidR="00064E2B" w:rsidRPr="00BE2C3E" w:rsidRDefault="00064E2B" w:rsidP="00944E68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BE2C3E">
              <w:rPr>
                <w:rFonts w:ascii="Verdana" w:hAnsi="Verdana"/>
                <w:sz w:val="16"/>
                <w:szCs w:val="16"/>
              </w:rPr>
              <w:t>98</w:t>
            </w:r>
            <w:r w:rsidR="00944E68" w:rsidRPr="00BE2C3E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</w:tr>
      <w:tr w:rsidR="00064E2B" w:rsidRPr="003758AC" w14:paraId="17032088" w14:textId="77777777" w:rsidTr="00475A39">
        <w:trPr>
          <w:trHeight w:val="464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4E69" w14:textId="009A2EFB" w:rsidR="00064E2B" w:rsidRPr="009D25E0" w:rsidRDefault="00064E2B" w:rsidP="009D25E0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9D25E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Разходи за регламентирана дейност - млн. лв.</w:t>
            </w:r>
            <w:r w:rsidR="007C1D1D" w:rsidRPr="00FB6B3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2FD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3BE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EDB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1F31" w14:textId="77777777" w:rsidR="00064E2B" w:rsidRPr="00BE2C3E" w:rsidRDefault="00064E2B" w:rsidP="00233D41">
            <w:pPr>
              <w:jc w:val="right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bg-BG"/>
              </w:rPr>
            </w:pPr>
            <w:r w:rsidRPr="00BE2C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6727" w14:textId="3E0F58B2" w:rsidR="00064E2B" w:rsidRPr="00BE2C3E" w:rsidRDefault="00064E2B" w:rsidP="00944E68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BE2C3E">
              <w:rPr>
                <w:rFonts w:ascii="Verdana" w:hAnsi="Verdana"/>
                <w:sz w:val="16"/>
                <w:szCs w:val="16"/>
              </w:rPr>
              <w:t>50</w:t>
            </w:r>
            <w:r w:rsidR="00944E68" w:rsidRPr="00BE2C3E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</w:tr>
    </w:tbl>
    <w:p w14:paraId="578188AA" w14:textId="77777777" w:rsidR="009B2C45" w:rsidRDefault="009B2C45" w:rsidP="009B2C45">
      <w:pPr>
        <w:tabs>
          <w:tab w:val="left" w:pos="3055"/>
        </w:tabs>
        <w:ind w:right="567"/>
        <w:rPr>
          <w:rFonts w:ascii="Verdana" w:eastAsia="Μοντέρνα" w:hAnsi="Verdana" w:cs="Times New Roman"/>
          <w:snapToGrid w:val="0"/>
          <w:color w:val="000000"/>
          <w:sz w:val="16"/>
          <w:szCs w:val="16"/>
          <w:vertAlign w:val="superscript"/>
          <w:lang w:eastAsia="bg-BG"/>
        </w:rPr>
      </w:pPr>
    </w:p>
    <w:p w14:paraId="4046F740" w14:textId="3F0310C4" w:rsidR="00621DA8" w:rsidRPr="00F84B20" w:rsidRDefault="00F84B20" w:rsidP="00F84B20">
      <w:pPr>
        <w:tabs>
          <w:tab w:val="left" w:pos="8222"/>
        </w:tabs>
        <w:ind w:right="-19"/>
        <w:rPr>
          <w:rFonts w:eastAsia="Μοντέρνα" w:cs="Times New Roman"/>
          <w:bCs/>
          <w:snapToGrid w:val="0"/>
          <w:szCs w:val="20"/>
          <w:highlight w:val="yellow"/>
          <w:lang w:val="en-US" w:eastAsia="bg-BG"/>
        </w:rPr>
      </w:pPr>
      <w:r w:rsidRPr="00906407"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  <w:t>* Предварителни данни.</w:t>
      </w:r>
    </w:p>
    <w:p w14:paraId="7E6D768B" w14:textId="147B93A5" w:rsidR="009B2C45" w:rsidRPr="00906407" w:rsidRDefault="009B2C45" w:rsidP="009564C7">
      <w:pPr>
        <w:tabs>
          <w:tab w:val="left" w:pos="3055"/>
          <w:tab w:val="left" w:pos="8460"/>
        </w:tabs>
        <w:ind w:right="-19"/>
        <w:jc w:val="both"/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</w:pPr>
      <w:r w:rsidRPr="0089519E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14AC" wp14:editId="52EB80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4490" cy="635"/>
                <wp:effectExtent l="0" t="0" r="2286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38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-.05pt;width:128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"/>
            </w:pict>
          </mc:Fallback>
        </mc:AlternateContent>
      </w:r>
      <w:r w:rsidRPr="0089519E">
        <w:rPr>
          <w:rFonts w:ascii="Verdana" w:eastAsia="Μοντέρνα" w:hAnsi="Verdana" w:cs="Times New Roman"/>
          <w:snapToGrid w:val="0"/>
          <w:color w:val="000000"/>
          <w:sz w:val="16"/>
          <w:szCs w:val="16"/>
          <w:vertAlign w:val="superscript"/>
          <w:lang w:eastAsia="bg-BG"/>
        </w:rPr>
        <w:t>1</w:t>
      </w:r>
      <w:r w:rsidRPr="0089519E"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  <w:t xml:space="preserve"> </w:t>
      </w:r>
      <w:r w:rsidR="007C1D1D" w:rsidRPr="00906407"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  <w:t>Приходите от регламентирана дейност включват приходи от дарения под условие, приходи от дарения без условие, членски внос и други приходи.</w:t>
      </w:r>
    </w:p>
    <w:p w14:paraId="19F66EFB" w14:textId="3E3E904E" w:rsidR="009B2C45" w:rsidRPr="00906407" w:rsidRDefault="009B2C45" w:rsidP="00234210">
      <w:pPr>
        <w:tabs>
          <w:tab w:val="left" w:pos="9639"/>
        </w:tabs>
        <w:ind w:right="-19"/>
        <w:jc w:val="both"/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</w:pPr>
      <w:r w:rsidRPr="00906407">
        <w:rPr>
          <w:rFonts w:ascii="Verdana" w:eastAsia="Μοντέρνα" w:hAnsi="Verdana" w:cs="Times New Roman"/>
          <w:snapToGrid w:val="0"/>
          <w:color w:val="000000"/>
          <w:sz w:val="16"/>
          <w:szCs w:val="16"/>
          <w:vertAlign w:val="superscript"/>
          <w:lang w:eastAsia="bg-BG"/>
        </w:rPr>
        <w:t>2</w:t>
      </w:r>
      <w:r w:rsidRPr="00906407"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  <w:t xml:space="preserve"> </w:t>
      </w:r>
      <w:r w:rsidR="007C1D1D" w:rsidRPr="007C1D1D">
        <w:rPr>
          <w:rFonts w:ascii="Verdana" w:eastAsia="Μοντέρνα" w:hAnsi="Verdana" w:cs="Times New Roman"/>
          <w:snapToGrid w:val="0"/>
          <w:color w:val="000000"/>
          <w:sz w:val="16"/>
          <w:szCs w:val="16"/>
          <w:lang w:eastAsia="bg-BG"/>
        </w:rPr>
        <w:t>Разходите за регламентирана дейност включват дарения и други разходи.</w:t>
      </w:r>
    </w:p>
    <w:p w14:paraId="538F162B" w14:textId="128BA9C9" w:rsidR="00064E2B" w:rsidRDefault="00064E2B" w:rsidP="009564C7">
      <w:pPr>
        <w:tabs>
          <w:tab w:val="left" w:pos="9639"/>
        </w:tabs>
        <w:spacing w:before="24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</w:pPr>
      <w:r w:rsidRPr="004927E1">
        <w:rPr>
          <w:rFonts w:ascii="Verdana" w:eastAsia="Μοντέρνα" w:hAnsi="Verdana" w:cs="Times New Roman"/>
          <w:b/>
          <w:snapToGrid w:val="0"/>
          <w:color w:val="000000"/>
          <w:sz w:val="20"/>
          <w:szCs w:val="20"/>
          <w:lang w:eastAsia="bg-BG"/>
        </w:rPr>
        <w:t xml:space="preserve">Фиг. 4. </w:t>
      </w:r>
      <w:r w:rsidRPr="004927E1">
        <w:rPr>
          <w:rFonts w:ascii="Verdana" w:eastAsia="Μοντέρνα" w:hAnsi="Verdana" w:cs="Times New Roman"/>
          <w:b/>
          <w:bCs/>
          <w:snapToGrid w:val="0"/>
          <w:sz w:val="20"/>
          <w:szCs w:val="20"/>
          <w:lang w:eastAsia="bg-BG"/>
        </w:rPr>
        <w:t>Балансова стойност на активите и приходи от регламентирана дейност по години</w:t>
      </w:r>
    </w:p>
    <w:p w14:paraId="78AD9075" w14:textId="0413B483" w:rsidR="00064E2B" w:rsidRPr="00F17527" w:rsidRDefault="009564C7" w:rsidP="00F17527">
      <w:pPr>
        <w:tabs>
          <w:tab w:val="left" w:pos="9639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napToGrid w:val="0"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napToGrid w:val="0"/>
          <w:sz w:val="16"/>
          <w:szCs w:val="16"/>
          <w:lang w:eastAsia="bg-BG"/>
        </w:rPr>
        <w:pict w14:anchorId="7D00002D">
          <v:shape id="_x0000_i1028" type="#_x0000_t75" style="width:427.5pt;height:281.25pt">
            <v:imagedata r:id="rId11" o:title=""/>
          </v:shape>
        </w:pict>
      </w:r>
    </w:p>
    <w:p w14:paraId="41BB4D8C" w14:textId="23170098" w:rsidR="00C63952" w:rsidRPr="00A842E0" w:rsidRDefault="00064E2B" w:rsidP="00F84B20">
      <w:pPr>
        <w:tabs>
          <w:tab w:val="left" w:pos="9639"/>
        </w:tabs>
        <w:spacing w:before="240" w:line="360" w:lineRule="auto"/>
        <w:ind w:firstLine="567"/>
        <w:jc w:val="both"/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sectPr w:rsidR="00C63952" w:rsidRPr="00A842E0" w:rsidSect="001E5BA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Членовете на сдруженията и фондациите към 31.12.20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2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3 г. са 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GB" w:eastAsia="bg-BG"/>
        </w:rPr>
        <w:t>2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1</w:t>
      </w:r>
      <w:r w:rsidR="0037074D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36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</w:t>
      </w:r>
      <w:r w:rsidR="0037074D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824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, като от тях юридическите лица са 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92 </w:t>
      </w:r>
      <w:r w:rsidR="003455E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724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, а физическите - 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</w:t>
      </w:r>
      <w:r w:rsidR="003455E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94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4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</w:t>
      </w:r>
      <w:r w:rsidR="003455E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100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. В тях работят 1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086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="003455E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516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 xml:space="preserve"> доброволни сътрудници, които са отработили 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1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 4</w:t>
      </w:r>
      <w:r w:rsidR="003455E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60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8</w:t>
      </w:r>
      <w:r w:rsidR="003455EC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43</w:t>
      </w:r>
      <w:r w:rsidRPr="004927E1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 </w:t>
      </w:r>
      <w:r w:rsidR="00144E94">
        <w:rPr>
          <w:rFonts w:ascii="Verdana" w:eastAsia="Μοντέρνα" w:hAnsi="Verdana" w:cs="Times New Roman"/>
          <w:bCs/>
          <w:snapToGrid w:val="0"/>
          <w:sz w:val="20"/>
          <w:szCs w:val="20"/>
          <w:lang w:eastAsia="bg-BG"/>
        </w:rPr>
        <w:t>часа</w:t>
      </w:r>
      <w:r w:rsidR="00A842E0">
        <w:rPr>
          <w:rFonts w:ascii="Verdana" w:eastAsia="Μοντέρνα" w:hAnsi="Verdana" w:cs="Times New Roman"/>
          <w:bCs/>
          <w:snapToGrid w:val="0"/>
          <w:sz w:val="20"/>
          <w:szCs w:val="20"/>
          <w:lang w:val="en-US" w:eastAsia="bg-BG"/>
        </w:rPr>
        <w:t>.</w:t>
      </w:r>
      <w:bookmarkStart w:id="0" w:name="_GoBack"/>
      <w:bookmarkEnd w:id="0"/>
    </w:p>
    <w:p w14:paraId="56D45C62" w14:textId="773747EB" w:rsidR="007B0065" w:rsidRPr="00CA0766" w:rsidRDefault="007B0065" w:rsidP="00A842E0">
      <w:pPr>
        <w:spacing w:line="360" w:lineRule="auto"/>
        <w:jc w:val="both"/>
      </w:pPr>
    </w:p>
    <w:sectPr w:rsidR="007B0065" w:rsidRPr="00CA0766" w:rsidSect="008748F1">
      <w:headerReference w:type="first" r:id="rId16"/>
      <w:footerReference w:type="first" r:id="rId17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7206" w14:textId="77777777" w:rsidR="00775ED3" w:rsidRDefault="00775ED3" w:rsidP="00214ACA">
      <w:r>
        <w:separator/>
      </w:r>
    </w:p>
  </w:endnote>
  <w:endnote w:type="continuationSeparator" w:id="0">
    <w:p w14:paraId="24D1F6AB" w14:textId="77777777" w:rsidR="00775ED3" w:rsidRDefault="00775ED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E96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8D46E2" wp14:editId="58E51FC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E38A7" w14:textId="459D58C7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42E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8D46E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61DE38A7" w14:textId="459D58C7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42E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01AAD3" wp14:editId="0003591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B7C90AF" wp14:editId="14C7433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F98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909AC9E" wp14:editId="6330218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8825896" wp14:editId="4B8D3C99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CF054" w14:textId="4EFAAE3A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4F1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2589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6ECF054" w14:textId="4EFAAE3A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74F1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20E4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61D2958" wp14:editId="47C7EC1C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B9D187" wp14:editId="02A7FC5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5298" w14:textId="051E7AB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42E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B9D18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7EE5298" w14:textId="051E7AB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42E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1885659" wp14:editId="6665456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8718126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CF598" w14:textId="77777777" w:rsidR="00775ED3" w:rsidRDefault="00775ED3" w:rsidP="00214ACA">
      <w:r>
        <w:separator/>
      </w:r>
    </w:p>
  </w:footnote>
  <w:footnote w:type="continuationSeparator" w:id="0">
    <w:p w14:paraId="632AAFEC" w14:textId="77777777" w:rsidR="00775ED3" w:rsidRDefault="00775ED3" w:rsidP="00214ACA">
      <w:r>
        <w:continuationSeparator/>
      </w:r>
    </w:p>
  </w:footnote>
  <w:footnote w:id="1">
    <w:p w14:paraId="5624BD01" w14:textId="77777777" w:rsidR="00064E2B" w:rsidRPr="0089519E" w:rsidRDefault="00064E2B" w:rsidP="00064E2B">
      <w:pPr>
        <w:jc w:val="both"/>
        <w:rPr>
          <w:rFonts w:ascii="Verdana" w:eastAsia="Times New Roman" w:hAnsi="Verdana" w:cs="Tahoma"/>
          <w:bCs/>
          <w:snapToGrid w:val="0"/>
          <w:sz w:val="16"/>
          <w:szCs w:val="16"/>
          <w:lang w:eastAsia="x-none"/>
        </w:rPr>
      </w:pPr>
      <w:r w:rsidRPr="0089519E">
        <w:rPr>
          <w:rFonts w:ascii="Verdana" w:eastAsia="Times New Roman" w:hAnsi="Verdana" w:cs="Tahoma"/>
          <w:bCs/>
          <w:snapToGrid w:val="0"/>
          <w:sz w:val="16"/>
          <w:szCs w:val="16"/>
          <w:vertAlign w:val="superscript"/>
          <w:lang w:eastAsia="x-none"/>
        </w:rPr>
        <w:footnoteRef/>
      </w:r>
      <w:r w:rsidRPr="0089519E">
        <w:rPr>
          <w:rFonts w:ascii="Verdana" w:eastAsia="Times New Roman" w:hAnsi="Verdana" w:cs="Tahoma"/>
          <w:bCs/>
          <w:snapToGrid w:val="0"/>
          <w:sz w:val="16"/>
          <w:szCs w:val="16"/>
          <w:vertAlign w:val="superscript"/>
          <w:lang w:eastAsia="x-none"/>
        </w:rPr>
        <w:t xml:space="preserve"> </w:t>
      </w:r>
      <w:r w:rsidRPr="0089519E">
        <w:rPr>
          <w:rFonts w:ascii="Verdana" w:eastAsia="Times New Roman" w:hAnsi="Verdana" w:cs="Tahoma"/>
          <w:bCs/>
          <w:snapToGrid w:val="0"/>
          <w:sz w:val="16"/>
          <w:szCs w:val="16"/>
          <w:lang w:eastAsia="x-none"/>
        </w:rPr>
        <w:t>Оборотът включва Спечелени премии, нетни от презастраховане</w:t>
      </w:r>
      <w:r w:rsidRPr="0089519E">
        <w:rPr>
          <w:rFonts w:ascii="Verdana" w:eastAsia="Times New Roman" w:hAnsi="Verdana" w:cs="Tahoma"/>
          <w:bCs/>
          <w:snapToGrid w:val="0"/>
          <w:sz w:val="16"/>
          <w:szCs w:val="16"/>
          <w:lang w:val="en-US" w:eastAsia="x-none"/>
        </w:rPr>
        <w:t xml:space="preserve"> </w:t>
      </w:r>
      <w:r w:rsidRPr="0089519E">
        <w:rPr>
          <w:rFonts w:ascii="Verdana" w:eastAsia="Times New Roman" w:hAnsi="Verdana" w:cs="Tahoma"/>
          <w:bCs/>
          <w:snapToGrid w:val="0"/>
          <w:sz w:val="16"/>
          <w:szCs w:val="16"/>
          <w:lang w:eastAsia="x-none"/>
        </w:rPr>
        <w:t>през отчетната година.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6B6D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AAF8AD4" wp14:editId="6BFAA66C">
              <wp:simplePos x="0" y="0"/>
              <wp:positionH relativeFrom="margin">
                <wp:posOffset>605790</wp:posOffset>
              </wp:positionH>
              <wp:positionV relativeFrom="paragraph">
                <wp:posOffset>-961390</wp:posOffset>
              </wp:positionV>
              <wp:extent cx="4638675" cy="8953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893C8" w14:textId="77777777" w:rsidR="00F9526F" w:rsidRPr="0076335C" w:rsidRDefault="00F9526F" w:rsidP="00F9526F">
                          <w:pPr>
                            <w:tabs>
                              <w:tab w:val="left" w:pos="9639"/>
                            </w:tabs>
                            <w:spacing w:before="160" w:after="160"/>
                            <w:ind w:right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eastAsia="bg-BG"/>
                            </w:rPr>
                            <w:t>ДЕЙНОСТ НА ФИНАНСОВИТЕ ПРЕДПРИЯТИЯ И</w:t>
                          </w:r>
                        </w:p>
                        <w:p w14:paraId="7DBA37FE" w14:textId="51D52FA0" w:rsidR="00F9526F" w:rsidRPr="0076335C" w:rsidRDefault="00F9526F" w:rsidP="00F9526F">
                          <w:pPr>
                            <w:tabs>
                              <w:tab w:val="left" w:pos="9639"/>
                            </w:tabs>
                            <w:spacing w:before="160" w:after="160"/>
                            <w:ind w:right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val="en-US" w:eastAsia="bg-BG"/>
                            </w:rPr>
                          </w:pP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eastAsia="bg-BG"/>
                            </w:rPr>
                            <w:t>НА</w:t>
                          </w: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eastAsia="bg-BG"/>
                            </w:rPr>
                            <w:t>СДРУЖЕНИЯТА И ФОНДАЦИИТЕ ЗА 202</w:t>
                          </w: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val="en-US" w:eastAsia="bg-BG"/>
                            </w:rPr>
                            <w:t>3</w:t>
                          </w: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  <w:p w14:paraId="4CBF2EED" w14:textId="218BA16D" w:rsidR="00101DE0" w:rsidRPr="003F4F62" w:rsidRDefault="00F9526F" w:rsidP="003F4F62">
                          <w:pPr>
                            <w:tabs>
                              <w:tab w:val="left" w:pos="9639"/>
                            </w:tabs>
                            <w:spacing w:before="160" w:after="160"/>
                            <w:ind w:left="426" w:right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val="ru-RU" w:eastAsia="bg-BG"/>
                            </w:rPr>
                          </w:pP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val="ru-RU" w:eastAsia="bg-BG"/>
                            </w:rPr>
                            <w:t>(</w:t>
                          </w: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eastAsia="bg-BG"/>
                            </w:rPr>
                            <w:t>ПРЕДВАРИТЕЛНИ ДАННИ</w:t>
                          </w:r>
                          <w:r w:rsidRPr="0076335C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napToGrid w:val="0"/>
                              <w:sz w:val="20"/>
                              <w:szCs w:val="20"/>
                              <w:lang w:val="ru-RU" w:eastAsia="bg-BG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F8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7pt;margin-top:-75.7pt;width:365.25pt;height:7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" stroked="f">
              <v:textbox>
                <w:txbxContent>
                  <w:p w14:paraId="262893C8" w14:textId="77777777" w:rsidR="00F9526F" w:rsidRPr="0076335C" w:rsidRDefault="00F9526F" w:rsidP="00F9526F">
                    <w:pPr>
                      <w:tabs>
                        <w:tab w:val="left" w:pos="9639"/>
                      </w:tabs>
                      <w:spacing w:before="160" w:after="160"/>
                      <w:ind w:right="567"/>
                      <w:jc w:val="center"/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eastAsia="bg-BG"/>
                      </w:rPr>
                    </w:pP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eastAsia="bg-BG"/>
                      </w:rPr>
                      <w:t>ДЕЙНОСТ НА ФИНАНСОВИТЕ ПРЕДПРИЯТИЯ И</w:t>
                    </w:r>
                  </w:p>
                  <w:p w14:paraId="7DBA37FE" w14:textId="51D52FA0" w:rsidR="00F9526F" w:rsidRPr="0076335C" w:rsidRDefault="00F9526F" w:rsidP="00F9526F">
                    <w:pPr>
                      <w:tabs>
                        <w:tab w:val="left" w:pos="9639"/>
                      </w:tabs>
                      <w:spacing w:before="160" w:after="160"/>
                      <w:ind w:right="567"/>
                      <w:jc w:val="center"/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val="en-US" w:eastAsia="bg-BG"/>
                      </w:rPr>
                    </w:pP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eastAsia="bg-BG"/>
                      </w:rPr>
                      <w:t>НА</w:t>
                    </w: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eastAsia="bg-BG"/>
                      </w:rPr>
                      <w:t>СДРУЖЕНИЯТА И ФОНДАЦИИТЕ ЗА 202</w:t>
                    </w: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val="en-US" w:eastAsia="bg-BG"/>
                      </w:rPr>
                      <w:t>3</w:t>
                    </w: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  <w:p w14:paraId="4CBF2EED" w14:textId="218BA16D" w:rsidR="00101DE0" w:rsidRPr="003F4F62" w:rsidRDefault="00F9526F" w:rsidP="003F4F62">
                    <w:pPr>
                      <w:tabs>
                        <w:tab w:val="left" w:pos="9639"/>
                      </w:tabs>
                      <w:spacing w:before="160" w:after="160"/>
                      <w:ind w:left="426" w:right="567"/>
                      <w:jc w:val="center"/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val="ru-RU" w:eastAsia="bg-BG"/>
                      </w:rPr>
                    </w:pP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val="ru-RU" w:eastAsia="bg-BG"/>
                      </w:rPr>
                      <w:t>(</w:t>
                    </w: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eastAsia="bg-BG"/>
                      </w:rPr>
                      <w:t>ПРЕДВАРИТЕЛНИ ДАННИ</w:t>
                    </w:r>
                    <w:r w:rsidRPr="0076335C">
                      <w:rPr>
                        <w:rFonts w:ascii="Verdana" w:eastAsia="Μοντέρνα" w:hAnsi="Verdana" w:cs="Times New Roman"/>
                        <w:b/>
                        <w:bCs/>
                        <w:snapToGrid w:val="0"/>
                        <w:sz w:val="20"/>
                        <w:szCs w:val="20"/>
                        <w:lang w:val="ru-RU" w:eastAsia="bg-BG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6119A9" wp14:editId="212243BC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EEBD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B69B09D" wp14:editId="60A9584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BAB9645" wp14:editId="60B0BB0B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047700" wp14:editId="01562B52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3D180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2A8F08A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477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47A3D180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2A8F08A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1C8A70E" wp14:editId="69BD9BC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A0D0DFC" wp14:editId="51DE525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09610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D218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45A85B7" wp14:editId="1FC85F9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0756AD" wp14:editId="6595279A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197E3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56A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69B197E3" w14:textId="77777777"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80F"/>
    <w:multiLevelType w:val="hybridMultilevel"/>
    <w:tmpl w:val="2CCC1982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357E"/>
    <w:rsid w:val="00023F96"/>
    <w:rsid w:val="00047CDE"/>
    <w:rsid w:val="0006051E"/>
    <w:rsid w:val="000607BC"/>
    <w:rsid w:val="00064E2B"/>
    <w:rsid w:val="0007471C"/>
    <w:rsid w:val="00077C97"/>
    <w:rsid w:val="000840F3"/>
    <w:rsid w:val="000964DC"/>
    <w:rsid w:val="000B17C2"/>
    <w:rsid w:val="000B2B10"/>
    <w:rsid w:val="000C0D56"/>
    <w:rsid w:val="000C23B5"/>
    <w:rsid w:val="000F0B88"/>
    <w:rsid w:val="00101DE0"/>
    <w:rsid w:val="00115B65"/>
    <w:rsid w:val="0012599C"/>
    <w:rsid w:val="001301C2"/>
    <w:rsid w:val="0014364A"/>
    <w:rsid w:val="00144E94"/>
    <w:rsid w:val="00155C19"/>
    <w:rsid w:val="001601C2"/>
    <w:rsid w:val="00171C36"/>
    <w:rsid w:val="001901A0"/>
    <w:rsid w:val="001B03D8"/>
    <w:rsid w:val="001C0734"/>
    <w:rsid w:val="001D726C"/>
    <w:rsid w:val="001E4B7E"/>
    <w:rsid w:val="001E5830"/>
    <w:rsid w:val="001E5BA2"/>
    <w:rsid w:val="001E7AC3"/>
    <w:rsid w:val="001F7533"/>
    <w:rsid w:val="00214ACA"/>
    <w:rsid w:val="002151E1"/>
    <w:rsid w:val="00217F2C"/>
    <w:rsid w:val="00234210"/>
    <w:rsid w:val="00240EB4"/>
    <w:rsid w:val="002532FF"/>
    <w:rsid w:val="00264F30"/>
    <w:rsid w:val="00296985"/>
    <w:rsid w:val="002B364B"/>
    <w:rsid w:val="002C72D4"/>
    <w:rsid w:val="002D2143"/>
    <w:rsid w:val="002D5CE5"/>
    <w:rsid w:val="002F158B"/>
    <w:rsid w:val="00332C88"/>
    <w:rsid w:val="00332D29"/>
    <w:rsid w:val="00333C7E"/>
    <w:rsid w:val="00336556"/>
    <w:rsid w:val="00341DBC"/>
    <w:rsid w:val="003455EC"/>
    <w:rsid w:val="003535BD"/>
    <w:rsid w:val="00364357"/>
    <w:rsid w:val="0037074D"/>
    <w:rsid w:val="0038746A"/>
    <w:rsid w:val="003B2503"/>
    <w:rsid w:val="003B42F8"/>
    <w:rsid w:val="003B46BA"/>
    <w:rsid w:val="003C2111"/>
    <w:rsid w:val="003C324E"/>
    <w:rsid w:val="003D5F6D"/>
    <w:rsid w:val="003F28AE"/>
    <w:rsid w:val="003F4F62"/>
    <w:rsid w:val="0041321C"/>
    <w:rsid w:val="00423FF0"/>
    <w:rsid w:val="00446CF4"/>
    <w:rsid w:val="00474C95"/>
    <w:rsid w:val="0047592B"/>
    <w:rsid w:val="00475A39"/>
    <w:rsid w:val="004760D3"/>
    <w:rsid w:val="00477B4D"/>
    <w:rsid w:val="00486232"/>
    <w:rsid w:val="004912B3"/>
    <w:rsid w:val="00491740"/>
    <w:rsid w:val="004927E1"/>
    <w:rsid w:val="00494DA3"/>
    <w:rsid w:val="00495F82"/>
    <w:rsid w:val="004A2286"/>
    <w:rsid w:val="004A43B8"/>
    <w:rsid w:val="004D2824"/>
    <w:rsid w:val="004D2AC1"/>
    <w:rsid w:val="004E60DE"/>
    <w:rsid w:val="004F064E"/>
    <w:rsid w:val="004F6970"/>
    <w:rsid w:val="004F7C92"/>
    <w:rsid w:val="00510231"/>
    <w:rsid w:val="00514368"/>
    <w:rsid w:val="005201F1"/>
    <w:rsid w:val="00520539"/>
    <w:rsid w:val="00523B7F"/>
    <w:rsid w:val="0056108F"/>
    <w:rsid w:val="00567FE3"/>
    <w:rsid w:val="00570FF3"/>
    <w:rsid w:val="00586112"/>
    <w:rsid w:val="005A33F2"/>
    <w:rsid w:val="005A3F1F"/>
    <w:rsid w:val="005B4023"/>
    <w:rsid w:val="005B5662"/>
    <w:rsid w:val="005B7176"/>
    <w:rsid w:val="005D18BA"/>
    <w:rsid w:val="005F1FBE"/>
    <w:rsid w:val="006120F5"/>
    <w:rsid w:val="00621DA8"/>
    <w:rsid w:val="0063317C"/>
    <w:rsid w:val="00640DF3"/>
    <w:rsid w:val="00644D53"/>
    <w:rsid w:val="00647F2C"/>
    <w:rsid w:val="00654814"/>
    <w:rsid w:val="00664327"/>
    <w:rsid w:val="00670674"/>
    <w:rsid w:val="00687BDB"/>
    <w:rsid w:val="006961B2"/>
    <w:rsid w:val="006A212D"/>
    <w:rsid w:val="006D1BE4"/>
    <w:rsid w:val="006D2B72"/>
    <w:rsid w:val="006F1E74"/>
    <w:rsid w:val="007006A7"/>
    <w:rsid w:val="00704539"/>
    <w:rsid w:val="00726C1E"/>
    <w:rsid w:val="00727E3D"/>
    <w:rsid w:val="00737AFB"/>
    <w:rsid w:val="00764226"/>
    <w:rsid w:val="0077257D"/>
    <w:rsid w:val="00775ED3"/>
    <w:rsid w:val="007B0065"/>
    <w:rsid w:val="007B1E5E"/>
    <w:rsid w:val="007C1D1D"/>
    <w:rsid w:val="007C61E0"/>
    <w:rsid w:val="007C7A6A"/>
    <w:rsid w:val="007D2B70"/>
    <w:rsid w:val="007E1F3C"/>
    <w:rsid w:val="007F116A"/>
    <w:rsid w:val="007F17B3"/>
    <w:rsid w:val="00822006"/>
    <w:rsid w:val="008510FD"/>
    <w:rsid w:val="00870559"/>
    <w:rsid w:val="008745D7"/>
    <w:rsid w:val="008748F1"/>
    <w:rsid w:val="008748F7"/>
    <w:rsid w:val="00881B14"/>
    <w:rsid w:val="00883238"/>
    <w:rsid w:val="008B2591"/>
    <w:rsid w:val="008B7819"/>
    <w:rsid w:val="008C3DCB"/>
    <w:rsid w:val="008D3797"/>
    <w:rsid w:val="008E71E8"/>
    <w:rsid w:val="00906407"/>
    <w:rsid w:val="009308C4"/>
    <w:rsid w:val="0094060D"/>
    <w:rsid w:val="00944E68"/>
    <w:rsid w:val="00947EBF"/>
    <w:rsid w:val="009564C7"/>
    <w:rsid w:val="00964B88"/>
    <w:rsid w:val="00985157"/>
    <w:rsid w:val="0099070E"/>
    <w:rsid w:val="00995821"/>
    <w:rsid w:val="009B2C45"/>
    <w:rsid w:val="009D25E0"/>
    <w:rsid w:val="009D61CE"/>
    <w:rsid w:val="009E4021"/>
    <w:rsid w:val="00A1152D"/>
    <w:rsid w:val="00A14E83"/>
    <w:rsid w:val="00A23351"/>
    <w:rsid w:val="00A24E1D"/>
    <w:rsid w:val="00A7142A"/>
    <w:rsid w:val="00A842E0"/>
    <w:rsid w:val="00A869E9"/>
    <w:rsid w:val="00A912FA"/>
    <w:rsid w:val="00A9352A"/>
    <w:rsid w:val="00A94EB5"/>
    <w:rsid w:val="00AC3D78"/>
    <w:rsid w:val="00AE0B6B"/>
    <w:rsid w:val="00AE1C0D"/>
    <w:rsid w:val="00AE4196"/>
    <w:rsid w:val="00AF2D94"/>
    <w:rsid w:val="00B0333E"/>
    <w:rsid w:val="00B07D27"/>
    <w:rsid w:val="00B55B11"/>
    <w:rsid w:val="00B71D28"/>
    <w:rsid w:val="00B77149"/>
    <w:rsid w:val="00B93EAD"/>
    <w:rsid w:val="00B954D0"/>
    <w:rsid w:val="00BA5E1E"/>
    <w:rsid w:val="00BD5B47"/>
    <w:rsid w:val="00BE1D13"/>
    <w:rsid w:val="00BE2C3E"/>
    <w:rsid w:val="00BE7127"/>
    <w:rsid w:val="00C01176"/>
    <w:rsid w:val="00C14799"/>
    <w:rsid w:val="00C17EB3"/>
    <w:rsid w:val="00C22E8B"/>
    <w:rsid w:val="00C24766"/>
    <w:rsid w:val="00C32C42"/>
    <w:rsid w:val="00C5348D"/>
    <w:rsid w:val="00C616FD"/>
    <w:rsid w:val="00C63952"/>
    <w:rsid w:val="00C74D2A"/>
    <w:rsid w:val="00C74F69"/>
    <w:rsid w:val="00C82EEC"/>
    <w:rsid w:val="00C91F81"/>
    <w:rsid w:val="00C93974"/>
    <w:rsid w:val="00C94CEB"/>
    <w:rsid w:val="00CA0766"/>
    <w:rsid w:val="00CA6B1D"/>
    <w:rsid w:val="00CB53E8"/>
    <w:rsid w:val="00CC0D72"/>
    <w:rsid w:val="00D2747B"/>
    <w:rsid w:val="00D31E46"/>
    <w:rsid w:val="00D63B1D"/>
    <w:rsid w:val="00D7039A"/>
    <w:rsid w:val="00D82477"/>
    <w:rsid w:val="00DA23CC"/>
    <w:rsid w:val="00DC27BD"/>
    <w:rsid w:val="00DD11CB"/>
    <w:rsid w:val="00DE20CA"/>
    <w:rsid w:val="00DE4F56"/>
    <w:rsid w:val="00DE74FC"/>
    <w:rsid w:val="00E01A0D"/>
    <w:rsid w:val="00E13DB4"/>
    <w:rsid w:val="00E45A67"/>
    <w:rsid w:val="00E55C8D"/>
    <w:rsid w:val="00E563C3"/>
    <w:rsid w:val="00E67823"/>
    <w:rsid w:val="00E74F1E"/>
    <w:rsid w:val="00EB5089"/>
    <w:rsid w:val="00ED06E7"/>
    <w:rsid w:val="00ED188D"/>
    <w:rsid w:val="00EE12CD"/>
    <w:rsid w:val="00EE4F30"/>
    <w:rsid w:val="00F17527"/>
    <w:rsid w:val="00F20BED"/>
    <w:rsid w:val="00F33E66"/>
    <w:rsid w:val="00F828BA"/>
    <w:rsid w:val="00F84B20"/>
    <w:rsid w:val="00F9526F"/>
    <w:rsid w:val="00F955D9"/>
    <w:rsid w:val="00FA00EF"/>
    <w:rsid w:val="00FA239C"/>
    <w:rsid w:val="00FB6B3C"/>
    <w:rsid w:val="00FC0D29"/>
    <w:rsid w:val="00FD731D"/>
    <w:rsid w:val="00FE148F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A21DE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23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F9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4B20"/>
    <w:pPr>
      <w:ind w:left="720"/>
      <w:contextualSpacing/>
    </w:pPr>
  </w:style>
  <w:style w:type="character" w:customStyle="1" w:styleId="hgkelc">
    <w:name w:val="hgkelc"/>
    <w:basedOn w:val="DefaultParagraphFont"/>
    <w:rsid w:val="004A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0EBE-9AD8-449A-B419-DEFA2CAE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Desislava Asenova</cp:lastModifiedBy>
  <cp:revision>8</cp:revision>
  <dcterms:created xsi:type="dcterms:W3CDTF">2024-08-22T11:51:00Z</dcterms:created>
  <dcterms:modified xsi:type="dcterms:W3CDTF">2024-08-27T13:49:00Z</dcterms:modified>
</cp:coreProperties>
</file>