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00" w:rsidRPr="00CB0000" w:rsidRDefault="00CB0000" w:rsidP="00C721EF">
      <w:pPr>
        <w:autoSpaceDE w:val="0"/>
        <w:autoSpaceDN w:val="0"/>
        <w:adjustRightInd w:val="0"/>
        <w:spacing w:before="160" w:line="360" w:lineRule="auto"/>
        <w:ind w:firstLine="567"/>
        <w:jc w:val="center"/>
        <w:rPr>
          <w:rFonts w:ascii="Verdana" w:eastAsia="Μοντέρνα" w:hAnsi="Verdana" w:cs="Times New Roman"/>
          <w:b/>
          <w:smallCaps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mallCaps/>
          <w:sz w:val="20"/>
          <w:szCs w:val="20"/>
          <w:lang w:eastAsia="bg-BG"/>
        </w:rPr>
        <w:t>ДЕЙНОСТ НА НЕФИНАНСОВИТЕ ПРЕДПРИЯТИЯ ЗА 2023 ГОДИНА</w:t>
      </w:r>
    </w:p>
    <w:p w:rsidR="00CB0000" w:rsidRPr="00CB0000" w:rsidRDefault="00CB0000" w:rsidP="008A43C4">
      <w:pPr>
        <w:autoSpaceDE w:val="0"/>
        <w:autoSpaceDN w:val="0"/>
        <w:adjustRightInd w:val="0"/>
        <w:spacing w:after="160" w:line="360" w:lineRule="auto"/>
        <w:ind w:firstLine="567"/>
        <w:jc w:val="center"/>
        <w:rPr>
          <w:rFonts w:ascii="Verdana" w:eastAsia="Μοντέρνα" w:hAnsi="Verdana" w:cs="Times New Roman"/>
          <w:b/>
          <w:smallCaps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mallCaps/>
          <w:sz w:val="20"/>
          <w:szCs w:val="20"/>
          <w:lang w:eastAsia="bg-BG"/>
        </w:rPr>
        <w:t>(ПРЕДВАРИТЕЛНИ ДАННИ)</w:t>
      </w:r>
    </w:p>
    <w:p w:rsidR="00CB0000" w:rsidRPr="00CB0000" w:rsidRDefault="00CB0000" w:rsidP="006D27D4">
      <w:pPr>
        <w:autoSpaceDE w:val="0"/>
        <w:autoSpaceDN w:val="0"/>
        <w:adjustRightInd w:val="0"/>
        <w:spacing w:before="160" w:after="160"/>
        <w:ind w:right="-1"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1. Общ преглед</w:t>
      </w:r>
    </w:p>
    <w:p w:rsidR="00CB0000" w:rsidRPr="00CB0000" w:rsidRDefault="00570EE8" w:rsidP="006D27D4">
      <w:pPr>
        <w:keepNext/>
        <w:tabs>
          <w:tab w:val="left" w:pos="1418"/>
          <w:tab w:val="left" w:pos="9639"/>
        </w:tabs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За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г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 461</w:t>
      </w:r>
      <w:r w:rsidR="00CB0000" w:rsidRPr="00CB0000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819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нефинансови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предприятия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България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подали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годишен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отчет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за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дейността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Националния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статистически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институт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НСИ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),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което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е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="00D873B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2.7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повече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сравнение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="00D873B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2022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година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val="en-GB"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Заетите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лица</w:t>
      </w:r>
      <w:r w:rsidR="00CB0000" w:rsidRPr="00CB0000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тях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еквивалент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пълна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заетост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</w:t>
      </w:r>
      <w:r w:rsidR="00CB27B6">
        <w:rPr>
          <w:rFonts w:ascii="Verdana" w:eastAsia="Μοντέρνα" w:hAnsi="Verdana" w:cs="Times New Roman"/>
          <w:sz w:val="20"/>
          <w:szCs w:val="20"/>
          <w:lang w:val="en-US" w:eastAsia="bg-BG"/>
        </w:rPr>
        <w:t> 217 960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или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="00CB27B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1.4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повече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спрямо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предходната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година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CB0000" w:rsidRPr="00CB27B6" w:rsidRDefault="00CB0000" w:rsidP="006D27D4">
      <w:pPr>
        <w:tabs>
          <w:tab w:val="left" w:pos="1418"/>
          <w:tab w:val="left" w:pos="9639"/>
        </w:tabs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Най-голям е делът на н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ефинансови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те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предприятия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сектора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услугите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търговията</w:t>
      </w:r>
      <w:r w:rsidR="00CB27B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(76.0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%), които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формират</w:t>
      </w:r>
      <w:r w:rsidR="00CB27B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62.8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от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всички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заети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лица</w:t>
      </w:r>
      <w:r w:rsidR="003A4482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(</w:t>
      </w:r>
      <w:r w:rsidR="003A4482">
        <w:rPr>
          <w:rFonts w:ascii="Verdana" w:eastAsia="Μοντέρνα" w:hAnsi="Verdana" w:cs="Times New Roman"/>
          <w:sz w:val="20"/>
          <w:szCs w:val="20"/>
          <w:lang w:eastAsia="bg-BG"/>
        </w:rPr>
        <w:t>виж фиг. 1)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Сектори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27B6" w:rsidRPr="00CB0000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CB27B6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Селско</w:t>
      </w:r>
      <w:r w:rsidR="00CB27B6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CB27B6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горско</w:t>
      </w:r>
      <w:r w:rsidR="00CB27B6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27B6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CB27B6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27B6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рибно</w:t>
      </w:r>
      <w:r w:rsidR="00CB27B6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27B6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стопанство</w:t>
      </w:r>
      <w:r w:rsidR="00CB27B6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CB27B6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CB27B6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Промишленост</w:t>
      </w:r>
      <w:r w:rsidR="00CB27B6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27B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Строителство</w:t>
      </w:r>
      <w:r w:rsidR="00CB27B6">
        <w:rPr>
          <w:rFonts w:ascii="Verdana" w:eastAsia="Μοντέρνα" w:hAnsi="Verdana" w:cs="Times New Roman"/>
          <w:sz w:val="20"/>
          <w:szCs w:val="20"/>
          <w:lang w:eastAsia="bg-BG"/>
        </w:rPr>
        <w:t>“ формират 24.0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от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всички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27B6">
        <w:rPr>
          <w:rFonts w:ascii="Verdana" w:eastAsia="Μοντέρνα" w:hAnsi="Verdana" w:cs="Times New Roman" w:hint="cs"/>
          <w:sz w:val="20"/>
          <w:szCs w:val="20"/>
          <w:lang w:eastAsia="bg-BG"/>
        </w:rPr>
        <w:t>отчетени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предприятия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заетите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тях</w:t>
      </w:r>
      <w:r w:rsidR="00CB27B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37.2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от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всички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заети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лица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нефинансовия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сектор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:rsidR="00CB0000" w:rsidRPr="00CB0000" w:rsidRDefault="00CB0000" w:rsidP="00984BAC">
      <w:pPr>
        <w:spacing w:before="160" w:after="160" w:line="360" w:lineRule="auto"/>
        <w:ind w:right="-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</w:pP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Фиг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.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  <w:t xml:space="preserve"> 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1.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  <w:t xml:space="preserve"> </w:t>
      </w: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Относителен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дял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на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предприятия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та и заетите лица </w:t>
      </w: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по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икономически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сектори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="00D827FD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>за 202</w:t>
      </w:r>
      <w:r w:rsidR="00D827F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  <w:t>3</w:t>
      </w:r>
      <w:r w:rsidRPr="00CB0000">
        <w:rPr>
          <w:rFonts w:ascii="Verdana" w:eastAsia="Times New Roman" w:hAnsi="Verdana" w:cs="Times New Roman" w:hint="cs"/>
          <w:b/>
          <w:bCs/>
          <w:color w:val="000000"/>
          <w:sz w:val="20"/>
          <w:szCs w:val="20"/>
          <w:lang w:eastAsia="bg-BG"/>
        </w:rPr>
        <w:t xml:space="preserve"> година</w:t>
      </w:r>
    </w:p>
    <w:p w:rsidR="00CB0000" w:rsidRPr="00CB0000" w:rsidRDefault="00136A7D" w:rsidP="00D827FD">
      <w:pPr>
        <w:autoSpaceDE w:val="0"/>
        <w:autoSpaceDN w:val="0"/>
        <w:adjustRightInd w:val="0"/>
        <w:ind w:right="-1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268.5pt">
            <v:imagedata r:id="rId7" o:title=""/>
          </v:shape>
        </w:pict>
      </w:r>
    </w:p>
    <w:p w:rsidR="00CB0000" w:rsidRPr="00CB0000" w:rsidRDefault="00CB0000" w:rsidP="006D27D4">
      <w:pPr>
        <w:keepNext/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Стойността на продукцията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по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текущи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цени</w:t>
      </w:r>
      <w:r w:rsidR="00E0045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288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E00459">
        <w:rPr>
          <w:rFonts w:ascii="Verdana" w:eastAsia="Μοντέρνα" w:hAnsi="Verdana" w:cs="Times New Roman"/>
          <w:sz w:val="20"/>
          <w:szCs w:val="20"/>
          <w:lang w:val="en-US" w:eastAsia="bg-BG"/>
        </w:rPr>
        <w:t>962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лв., като с най-голям </w:t>
      </w:r>
      <w:r w:rsidR="00E00459">
        <w:rPr>
          <w:rFonts w:ascii="Verdana" w:eastAsia="Μοντέρνα" w:hAnsi="Verdana" w:cs="Times New Roman"/>
          <w:sz w:val="20"/>
          <w:szCs w:val="20"/>
          <w:lang w:eastAsia="bg-BG"/>
        </w:rPr>
        <w:t>дял е сектор „Промишленост“ - 39.4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CB0000" w:rsidRPr="00CB0000" w:rsidRDefault="00CB0000" w:rsidP="00984BAC">
      <w:pPr>
        <w:tabs>
          <w:tab w:val="left" w:pos="9072"/>
        </w:tabs>
        <w:spacing w:before="160" w:after="160" w:line="360" w:lineRule="auto"/>
        <w:ind w:right="-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Фиг. 2. Стойност на продукцията на един зает</w:t>
      </w:r>
      <w:r w:rsidR="007E4F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по икономически сектори за 202</w:t>
      </w:r>
      <w:r w:rsidR="007E4F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bg-BG"/>
        </w:rPr>
        <w:t>3</w:t>
      </w:r>
      <w:r w:rsidRPr="00CB00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година</w:t>
      </w:r>
    </w:p>
    <w:p w:rsidR="00CB0000" w:rsidRPr="00CB0000" w:rsidRDefault="00136A7D" w:rsidP="007E4F72">
      <w:pPr>
        <w:tabs>
          <w:tab w:val="left" w:pos="2175"/>
        </w:tabs>
        <w:spacing w:after="120" w:line="360" w:lineRule="auto"/>
        <w:ind w:right="-1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>
          <v:shape id="_x0000_i1026" type="#_x0000_t75" style="width:464.25pt;height:230.25pt">
            <v:imagedata r:id="rId8" o:title=""/>
          </v:shape>
        </w:pict>
      </w:r>
    </w:p>
    <w:p w:rsidR="00CB0000" w:rsidRPr="00CB0000" w:rsidRDefault="00BA1526" w:rsidP="006D27D4">
      <w:pPr>
        <w:keepNext/>
        <w:tabs>
          <w:tab w:val="left" w:pos="2175"/>
        </w:tabs>
        <w:spacing w:before="160" w:line="360" w:lineRule="auto"/>
        <w:ind w:right="-1"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 2023 г. е отчетен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пол</w:t>
      </w:r>
      <w:r w:rsidR="00E00459">
        <w:rPr>
          <w:rFonts w:ascii="Verdana" w:eastAsia="Μοντέρνα" w:hAnsi="Verdana" w:cs="Times New Roman"/>
          <w:sz w:val="20"/>
          <w:szCs w:val="20"/>
          <w:lang w:eastAsia="bg-BG"/>
        </w:rPr>
        <w:t>ожителен финансов резултат от 35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E00459">
        <w:rPr>
          <w:rFonts w:ascii="Verdana" w:eastAsia="Μοντέρνα" w:hAnsi="Verdana" w:cs="Times New Roman"/>
          <w:sz w:val="20"/>
          <w:szCs w:val="20"/>
          <w:lang w:val="en-US" w:eastAsia="bg-BG"/>
        </w:rPr>
        <w:t>809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</w:t>
      </w:r>
    </w:p>
    <w:p w:rsidR="00CB0000" w:rsidRPr="00CB0000" w:rsidRDefault="00CB0000" w:rsidP="00922A44">
      <w:pPr>
        <w:tabs>
          <w:tab w:val="left" w:pos="2175"/>
        </w:tabs>
        <w:spacing w:before="160" w:after="160" w:line="360" w:lineRule="auto"/>
        <w:ind w:right="-1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Относителен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дял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предприятия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според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финансовия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резултат</w:t>
      </w:r>
      <w:r w:rsidRPr="00CB000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икономически сектори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="007E4F7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CB0000" w:rsidRPr="00CB0000" w:rsidRDefault="00136A7D" w:rsidP="007E4F72">
      <w:pPr>
        <w:tabs>
          <w:tab w:val="left" w:pos="9639"/>
        </w:tabs>
        <w:autoSpaceDE w:val="0"/>
        <w:autoSpaceDN w:val="0"/>
        <w:adjustRightInd w:val="0"/>
        <w:spacing w:line="360" w:lineRule="auto"/>
        <w:ind w:right="-1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>
          <v:shape id="_x0000_i1027" type="#_x0000_t75" style="width:448.5pt;height:243pt">
            <v:imagedata r:id="rId9" o:title=""/>
          </v:shape>
        </w:pict>
      </w:r>
    </w:p>
    <w:p w:rsidR="00CB0000" w:rsidRPr="00CB0000" w:rsidRDefault="00CB0000" w:rsidP="006D27D4">
      <w:pPr>
        <w:tabs>
          <w:tab w:val="left" w:pos="9639"/>
        </w:tabs>
        <w:autoSpaceDE w:val="0"/>
        <w:autoSpaceDN w:val="0"/>
        <w:adjustRightInd w:val="0"/>
        <w:spacing w:before="160" w:after="160" w:line="360" w:lineRule="auto"/>
        <w:ind w:right="-1"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2. Селско, горско и рибно стопанство</w:t>
      </w:r>
    </w:p>
    <w:p w:rsidR="00CB0000" w:rsidRPr="00CB0000" w:rsidRDefault="00CB0000" w:rsidP="006D27D4">
      <w:pPr>
        <w:keepNext/>
        <w:autoSpaceDE w:val="0"/>
        <w:autoSpaceDN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Годишен</w:t>
      </w:r>
      <w:r w:rsidR="008D4D5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 за дейността си през 2023 г. в НСИ са представили 48 906</w:t>
      </w:r>
      <w:r w:rsidRPr="00CB0000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предприятия от сектор „Селско, горс</w:t>
      </w:r>
      <w:r w:rsidR="008D4D52">
        <w:rPr>
          <w:rFonts w:ascii="Verdana" w:eastAsia="Μοντέρνα" w:hAnsi="Verdana" w:cs="Times New Roman"/>
          <w:sz w:val="20"/>
          <w:szCs w:val="20"/>
          <w:lang w:eastAsia="bg-BG"/>
        </w:rPr>
        <w:t>ко и рибно стопанство“, или 10.6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общия брой нефинансови предприятия. </w:t>
      </w:r>
    </w:p>
    <w:p w:rsidR="00CB0000" w:rsidRPr="00CB0000" w:rsidRDefault="008D4D52" w:rsidP="006D27D4">
      <w:pPr>
        <w:keepNext/>
        <w:autoSpaceDE w:val="0"/>
        <w:autoSpaceDN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Заетите лица са 109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822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произвели продукция на стойност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11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893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 по текущи цени.</w:t>
      </w:r>
    </w:p>
    <w:p w:rsidR="00DC4961" w:rsidRPr="00CB0000" w:rsidRDefault="00CB0000" w:rsidP="00DA49A7">
      <w:pPr>
        <w:keepNext/>
        <w:autoSpaceDE w:val="0"/>
        <w:autoSpaceDN w:val="0"/>
        <w:spacing w:after="12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Секторът има положителен финансов резултат от </w:t>
      </w:r>
      <w:r w:rsidR="008D4D52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8D4D52">
        <w:rPr>
          <w:rFonts w:ascii="Verdana" w:eastAsia="Μοντέρνα" w:hAnsi="Verdana" w:cs="Times New Roman"/>
          <w:sz w:val="20"/>
          <w:szCs w:val="20"/>
          <w:lang w:val="en-US" w:eastAsia="bg-BG"/>
        </w:rPr>
        <w:t>028</w:t>
      </w:r>
      <w:r w:rsidR="008D4D5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лв., като 79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.7% от предприятията са </w:t>
      </w:r>
      <w:r w:rsidR="008D4D52">
        <w:rPr>
          <w:rFonts w:ascii="Verdana" w:eastAsia="Μοντέρνα" w:hAnsi="Verdana" w:cs="Times New Roman"/>
          <w:sz w:val="20"/>
          <w:szCs w:val="20"/>
          <w:lang w:eastAsia="bg-BG"/>
        </w:rPr>
        <w:t>приключили годината с печалба, 11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D4D52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Pr="00CB000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-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 загуба, и </w:t>
      </w:r>
      <w:r w:rsidR="008D4D52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D4D52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нулев финансов резултат.</w:t>
      </w:r>
    </w:p>
    <w:p w:rsidR="00CB0000" w:rsidRPr="00CB0000" w:rsidRDefault="00CB0000" w:rsidP="00504148">
      <w:pPr>
        <w:tabs>
          <w:tab w:val="left" w:pos="9639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. 4.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Стойност на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продукция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един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зает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с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елско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то,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горско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то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рибно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то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стопанство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дейности </w:t>
      </w:r>
      <w:r w:rsidR="00CA412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 202</w:t>
      </w:r>
      <w:r w:rsidR="00CA412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E92B23" w:rsidRDefault="00136A7D" w:rsidP="00DA49A7">
      <w:pPr>
        <w:autoSpaceDE w:val="0"/>
        <w:autoSpaceDN w:val="0"/>
        <w:adjustRightInd w:val="0"/>
        <w:spacing w:line="360" w:lineRule="auto"/>
        <w:ind w:right="-1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>
          <v:shape id="_x0000_i1028" type="#_x0000_t75" style="width:460.5pt;height:235.5pt">
            <v:imagedata r:id="rId10" o:title=""/>
          </v:shape>
        </w:pict>
      </w:r>
    </w:p>
    <w:p w:rsidR="00CB0000" w:rsidRPr="00CB0000" w:rsidRDefault="00CB0000" w:rsidP="00DA49A7">
      <w:pPr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3. Промишленост</w:t>
      </w:r>
    </w:p>
    <w:p w:rsidR="00CB0000" w:rsidRPr="00CB0000" w:rsidRDefault="00CB0000" w:rsidP="006D27D4">
      <w:pPr>
        <w:autoSpaceDE w:val="0"/>
        <w:autoSpaceDN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Промишлените предприятия, представили в НСИ годишен отчет за дейността си, са 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36 570</w:t>
      </w:r>
      <w:r w:rsidR="007660A2">
        <w:rPr>
          <w:rFonts w:ascii="Verdana" w:eastAsia="Μοντέρνα" w:hAnsi="Verdana" w:cs="Times New Roman"/>
          <w:sz w:val="20"/>
          <w:szCs w:val="20"/>
          <w:lang w:eastAsia="bg-BG"/>
        </w:rPr>
        <w:t>, или 7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общия брой, като с най-голям дял е сектор </w:t>
      </w:r>
      <w:r w:rsidR="007660A2">
        <w:rPr>
          <w:rFonts w:ascii="Verdana" w:eastAsia="Μοντέρνα" w:hAnsi="Verdana" w:cs="Times New Roman"/>
          <w:sz w:val="20"/>
          <w:szCs w:val="20"/>
          <w:lang w:eastAsia="bg-BG"/>
        </w:rPr>
        <w:t>„Преработваща промишленост“ - 82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:rsidR="00CB0000" w:rsidRPr="00CB0000" w:rsidRDefault="00CB0000" w:rsidP="006D27D4">
      <w:pPr>
        <w:keepNext/>
        <w:autoSpaceDE w:val="0"/>
        <w:autoSpaceDN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Стойността на продукцията в промишлените сектори по текущи цени е 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113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935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 и формира 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39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общия обем на продукцията на нефинансовите предприятия. </w:t>
      </w:r>
    </w:p>
    <w:p w:rsidR="00DC4961" w:rsidRPr="00CB0000" w:rsidRDefault="00CB0000" w:rsidP="00DA49A7">
      <w:pPr>
        <w:autoSpaceDE w:val="0"/>
        <w:autoSpaceDN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промишлеността заетите са 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566 332</w:t>
      </w:r>
      <w:r w:rsidR="007660A2">
        <w:rPr>
          <w:rFonts w:ascii="Verdana" w:eastAsia="Μοντέρνα" w:hAnsi="Verdana" w:cs="Times New Roman"/>
          <w:sz w:val="20"/>
          <w:szCs w:val="20"/>
          <w:lang w:eastAsia="bg-BG"/>
        </w:rPr>
        <w:t>, или 25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660A2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общия брой на заетите лица в нефинансовите предприятия.</w:t>
      </w:r>
    </w:p>
    <w:p w:rsidR="00CB0000" w:rsidRPr="00CB0000" w:rsidRDefault="00CB0000" w:rsidP="006D27D4">
      <w:pPr>
        <w:spacing w:before="160" w:after="160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Стойност на продукцията на един зает в промишлеността по</w:t>
      </w:r>
      <w:r w:rsidR="00A212D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CA4124">
        <w:rPr>
          <w:rFonts w:ascii="Verdana" w:eastAsia="Μοντέρνα" w:hAnsi="Verdana" w:cs="Times New Roman"/>
          <w:b/>
          <w:sz w:val="20"/>
          <w:szCs w:val="20"/>
          <w:lang w:eastAsia="bg-BG"/>
        </w:rPr>
        <w:t>сектори за 2023</w:t>
      </w:r>
      <w:r w:rsidR="002B3C6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882C27" w:rsidRPr="003E3BDE" w:rsidRDefault="00136A7D" w:rsidP="003E3BDE">
      <w:pPr>
        <w:tabs>
          <w:tab w:val="left" w:pos="9639"/>
        </w:tabs>
        <w:autoSpaceDE w:val="0"/>
        <w:autoSpaceDN w:val="0"/>
        <w:adjustRightInd w:val="0"/>
        <w:spacing w:line="360" w:lineRule="auto"/>
        <w:ind w:right="-1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>
          <v:shape id="_x0000_i1029" type="#_x0000_t75" style="width:465.75pt;height:241.5pt">
            <v:imagedata r:id="rId11" o:title=""/>
          </v:shape>
        </w:pict>
      </w:r>
    </w:p>
    <w:p w:rsidR="00583D89" w:rsidRPr="00CB0000" w:rsidRDefault="00CB0000" w:rsidP="00504148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Промишлените предприятия са приключили 20</w:t>
      </w:r>
      <w:r w:rsidR="00C70D49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="00C70D49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 положителен финансов резултат от </w:t>
      </w:r>
      <w:r w:rsidR="000455B9">
        <w:rPr>
          <w:rFonts w:ascii="Verdana" w:eastAsia="Μοντέρνα" w:hAnsi="Verdana" w:cs="Times New Roman"/>
          <w:sz w:val="20"/>
          <w:szCs w:val="20"/>
          <w:lang w:val="en-US" w:eastAsia="bg-BG"/>
        </w:rPr>
        <w:t>9 538</w:t>
      </w:r>
      <w:r w:rsidRPr="00CB000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млн. лв., като с най-голям принос е сектор</w:t>
      </w:r>
      <w:r w:rsidRPr="00CB0000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„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Преработваща</w:t>
      </w:r>
      <w:r w:rsidR="00C70D4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промишленост“, който формира 69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70D49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този резултат.</w:t>
      </w:r>
    </w:p>
    <w:p w:rsidR="00CB0000" w:rsidRPr="00CB0000" w:rsidRDefault="00CB0000" w:rsidP="006D27D4">
      <w:pPr>
        <w:tabs>
          <w:tab w:val="left" w:pos="-4820"/>
        </w:tabs>
        <w:spacing w:before="160" w:after="160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6.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Относителен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дял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промишлените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предприятия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според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финансовия</w:t>
      </w:r>
      <w:r w:rsidR="00A212D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резултат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по сектори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="00CA412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583D89" w:rsidRPr="00417245" w:rsidRDefault="00136A7D" w:rsidP="00417245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>
          <v:shape id="_x0000_i1030" type="#_x0000_t75" style="width:456.75pt;height:252pt">
            <v:imagedata r:id="rId12" o:title=""/>
          </v:shape>
        </w:pict>
      </w:r>
    </w:p>
    <w:p w:rsidR="00CB0000" w:rsidRPr="00583D89" w:rsidRDefault="00CB0000" w:rsidP="00583D89">
      <w:pPr>
        <w:autoSpaceDE w:val="0"/>
        <w:autoSpaceDN w:val="0"/>
        <w:adjustRightInd w:val="0"/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4. Строителство</w:t>
      </w:r>
    </w:p>
    <w:p w:rsidR="00CB0000" w:rsidRPr="00CB0000" w:rsidRDefault="00CB0000" w:rsidP="006D27D4">
      <w:pPr>
        <w:tabs>
          <w:tab w:val="left" w:pos="9639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Годишен отчет з</w:t>
      </w:r>
      <w:r w:rsidR="00C70D49">
        <w:rPr>
          <w:rFonts w:ascii="Verdana" w:eastAsia="Μοντέρνα" w:hAnsi="Verdana" w:cs="Times New Roman"/>
          <w:sz w:val="20"/>
          <w:szCs w:val="20"/>
          <w:lang w:eastAsia="bg-BG"/>
        </w:rPr>
        <w:t>а дейността си са представили 25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C70D49">
        <w:rPr>
          <w:rFonts w:ascii="Verdana" w:eastAsia="Μοντέρνα" w:hAnsi="Verdana" w:cs="Times New Roman"/>
          <w:sz w:val="20"/>
          <w:szCs w:val="20"/>
          <w:lang w:val="en-US" w:eastAsia="bg-BG"/>
        </w:rPr>
        <w:t>138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строителни предприятия, или 5.</w:t>
      </w:r>
      <w:r w:rsidR="00C70D49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общия брой </w:t>
      </w:r>
      <w:r w:rsidRPr="00CB0000">
        <w:rPr>
          <w:rFonts w:ascii="Verdana" w:eastAsia="Times New Roman" w:hAnsi="Verdana" w:cs="Times New Roman"/>
          <w:sz w:val="20"/>
          <w:szCs w:val="20"/>
          <w:lang w:eastAsia="bg-BG"/>
        </w:rPr>
        <w:t>на отчетените нефинансови предприятия в НСИ. Най-голям е делът на предприятията от строителния сектор, извършващи специализирани строителни дейности - 5</w:t>
      </w:r>
      <w:r w:rsidR="00C70D49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Pr="00CB0000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CB0000"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 w:rsidRPr="00CB0000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7485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7)</w:t>
      </w:r>
      <w:r w:rsidRPr="00CB0000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583D89" w:rsidRPr="00504148" w:rsidRDefault="00CB0000" w:rsidP="00504148">
      <w:pPr>
        <w:tabs>
          <w:tab w:val="left" w:pos="9639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Заетите в строителните предприятия са 14</w:t>
      </w:r>
      <w:r w:rsidR="00CD4471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CD4471">
        <w:rPr>
          <w:rFonts w:ascii="Verdana" w:eastAsia="Μοντέρνα" w:hAnsi="Verdana" w:cs="Times New Roman"/>
          <w:sz w:val="20"/>
          <w:szCs w:val="20"/>
          <w:lang w:val="en-US" w:eastAsia="bg-BG"/>
        </w:rPr>
        <w:t>503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формират 6.</w:t>
      </w:r>
      <w:r w:rsidR="00CD4471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общия брой на заетите лица в нефинансовите предприятия.</w:t>
      </w:r>
    </w:p>
    <w:p w:rsidR="00CB0000" w:rsidRPr="00CB0000" w:rsidRDefault="00CB0000" w:rsidP="00504148">
      <w:pPr>
        <w:tabs>
          <w:tab w:val="left" w:pos="9214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7. Относителен дял на предприятията и заетите лица по ви</w:t>
      </w:r>
      <w:r w:rsidR="00DC4961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дове строителни дейности за 2023</w:t>
      </w:r>
      <w:r w:rsidR="002B3C6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DC4961" w:rsidRPr="00583D89" w:rsidRDefault="00136A7D" w:rsidP="00583D89">
      <w:pPr>
        <w:spacing w:before="120" w:line="360" w:lineRule="auto"/>
        <w:ind w:right="-1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>
          <v:shape id="_x0000_i1031" type="#_x0000_t75" style="width:462pt;height:259.5pt">
            <v:imagedata r:id="rId13" o:title=""/>
          </v:shape>
        </w:pict>
      </w:r>
    </w:p>
    <w:p w:rsidR="00CB0000" w:rsidRDefault="00CB0000" w:rsidP="006D27D4">
      <w:pPr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Стойността на продукцията в строителния сектор е </w:t>
      </w:r>
      <w:r w:rsidR="00CD4471">
        <w:rPr>
          <w:rFonts w:ascii="Verdana" w:eastAsia="Μοντέρνα" w:hAnsi="Verdana" w:cs="Times New Roman"/>
          <w:sz w:val="20"/>
          <w:szCs w:val="20"/>
          <w:lang w:val="en-US" w:eastAsia="bg-BG"/>
        </w:rPr>
        <w:t>29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CD4471">
        <w:rPr>
          <w:rFonts w:ascii="Verdana" w:eastAsia="Μοντέρνα" w:hAnsi="Verdana" w:cs="Times New Roman"/>
          <w:sz w:val="20"/>
          <w:szCs w:val="20"/>
          <w:lang w:val="en-US" w:eastAsia="bg-BG"/>
        </w:rPr>
        <w:t>031</w:t>
      </w:r>
      <w:r w:rsidR="00CD447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 по текущи цени, или 10.0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общия обем на продукцията на нефинансовите предприятия.</w:t>
      </w:r>
    </w:p>
    <w:p w:rsidR="00504148" w:rsidRDefault="00504148" w:rsidP="006D27D4">
      <w:pPr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04148" w:rsidRDefault="00504148" w:rsidP="006D27D4">
      <w:pPr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04148" w:rsidRDefault="00504148" w:rsidP="006D27D4">
      <w:pPr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04148" w:rsidRDefault="00504148" w:rsidP="006D27D4">
      <w:pPr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04148" w:rsidRPr="00CB0000" w:rsidRDefault="00504148" w:rsidP="006D27D4">
      <w:pPr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B0000" w:rsidRPr="00CB0000" w:rsidRDefault="00CB0000" w:rsidP="006D27D4">
      <w:pPr>
        <w:tabs>
          <w:tab w:val="left" w:pos="9639"/>
        </w:tabs>
        <w:spacing w:before="160" w:after="160" w:line="360" w:lineRule="auto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lastRenderedPageBreak/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8. Стойност на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продукция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един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зает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строителството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по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дейности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 xml:space="preserve">за </w:t>
      </w:r>
      <w:r w:rsidR="00DC4961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CB0000" w:rsidRPr="00CB0000" w:rsidRDefault="00136A7D" w:rsidP="00DC4961">
      <w:pPr>
        <w:tabs>
          <w:tab w:val="left" w:pos="9639"/>
        </w:tabs>
        <w:spacing w:line="360" w:lineRule="auto"/>
        <w:ind w:right="-1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>
          <v:shape id="_x0000_i1032" type="#_x0000_t75" style="width:465.75pt;height:222.75pt">
            <v:imagedata r:id="rId14" o:title=""/>
          </v:shape>
        </w:pict>
      </w:r>
    </w:p>
    <w:p w:rsidR="00CB0000" w:rsidRPr="00CB0000" w:rsidRDefault="00CB0000" w:rsidP="006D27D4">
      <w:pPr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Строителният сектор завършва 20</w:t>
      </w:r>
      <w:r w:rsidR="00690338">
        <w:rPr>
          <w:rFonts w:ascii="Verdana" w:eastAsia="Μοντέρνα" w:hAnsi="Verdana" w:cs="Times New Roman"/>
          <w:sz w:val="20"/>
          <w:szCs w:val="20"/>
          <w:lang w:val="en-US" w:eastAsia="bg-BG"/>
        </w:rPr>
        <w:t>23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 положителен финансов резултат от </w:t>
      </w:r>
      <w:r w:rsidR="00690338">
        <w:rPr>
          <w:rFonts w:ascii="Verdana" w:eastAsia="Μοντέρνα" w:hAnsi="Verdana" w:cs="Times New Roman"/>
          <w:sz w:val="20"/>
          <w:szCs w:val="20"/>
          <w:lang w:val="en-US" w:eastAsia="bg-BG"/>
        </w:rPr>
        <w:t>2 480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млн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лв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по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текущи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цени</w:t>
      </w:r>
      <w:r w:rsidR="00690338">
        <w:rPr>
          <w:rFonts w:ascii="Verdana" w:eastAsia="Μοντέρνα" w:hAnsi="Verdana" w:cs="Times New Roman"/>
          <w:sz w:val="20"/>
          <w:szCs w:val="20"/>
          <w:lang w:eastAsia="bg-BG"/>
        </w:rPr>
        <w:t>, като 35.8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него са реализирани в „</w:t>
      </w:r>
      <w:r w:rsidR="00690338">
        <w:rPr>
          <w:rFonts w:ascii="Verdana" w:eastAsia="Μοντέρνα" w:hAnsi="Verdana" w:cs="Times New Roman" w:hint="cs"/>
          <w:sz w:val="20"/>
          <w:szCs w:val="20"/>
          <w:lang w:eastAsia="bg-BG"/>
        </w:rPr>
        <w:t>Специализирани строителни дейности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“.</w:t>
      </w:r>
    </w:p>
    <w:p w:rsidR="00CB0000" w:rsidRPr="00CB0000" w:rsidRDefault="00CB0000" w:rsidP="006D27D4">
      <w:pPr>
        <w:tabs>
          <w:tab w:val="left" w:pos="-4820"/>
        </w:tabs>
        <w:spacing w:before="160" w:after="160" w:line="360" w:lineRule="auto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9.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Относителен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дял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строителните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предприятия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според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финансовия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резултат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по дейности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="00DC496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583D89" w:rsidRPr="00504148" w:rsidRDefault="004B6D93" w:rsidP="00504148">
      <w:pPr>
        <w:tabs>
          <w:tab w:val="left" w:pos="9639"/>
        </w:tabs>
        <w:spacing w:line="360" w:lineRule="auto"/>
        <w:ind w:right="-1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>
          <v:shape id="_x0000_i1033" type="#_x0000_t75" style="width:448.5pt;height:255pt">
            <v:imagedata r:id="rId15" o:title=""/>
          </v:shape>
        </w:pict>
      </w:r>
    </w:p>
    <w:p w:rsidR="00CB0000" w:rsidRPr="00CB0000" w:rsidRDefault="00CB0000" w:rsidP="006D27D4">
      <w:pPr>
        <w:autoSpaceDE w:val="0"/>
        <w:autoSpaceDN w:val="0"/>
        <w:adjustRightInd w:val="0"/>
        <w:spacing w:before="160" w:after="160" w:line="360" w:lineRule="auto"/>
        <w:ind w:right="-1"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5. Търговия; ремонт на автомобили и мотоциклети</w:t>
      </w:r>
    </w:p>
    <w:p w:rsidR="00CB0000" w:rsidRPr="00CB0000" w:rsidRDefault="00CB0000" w:rsidP="006D27D4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В НСИ годишен</w:t>
      </w:r>
      <w:r w:rsidR="00CB1D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 за дейността си през 2023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представили 13</w:t>
      </w:r>
      <w:r w:rsidRPr="00CB0000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="00CB1DAE">
        <w:rPr>
          <w:rFonts w:ascii="Verdana" w:eastAsia="Μοντέρνα" w:hAnsi="Verdana" w:cs="Times New Roman"/>
          <w:sz w:val="20"/>
          <w:szCs w:val="20"/>
          <w:lang w:eastAsia="bg-BG"/>
        </w:rPr>
        <w:t> 767 търговски предприятия, или 29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B1DAE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общия брой на отчетените нефинансови предприятия. Най-голям е делът на предприятията в търговията на дребно - 6</w:t>
      </w:r>
      <w:r w:rsidR="00CB1DAE">
        <w:rPr>
          <w:rFonts w:ascii="Verdana" w:eastAsia="Μοντέρνα" w:hAnsi="Verdana" w:cs="Times New Roman"/>
          <w:sz w:val="20"/>
          <w:szCs w:val="20"/>
          <w:lang w:val="en-US" w:eastAsia="bg-BG"/>
        </w:rPr>
        <w:t>7.9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31E3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CB1DAE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r w:rsidR="00D31E34">
        <w:rPr>
          <w:rFonts w:ascii="Verdana" w:eastAsia="Μοντέρνα" w:hAnsi="Verdana" w:cs="Times New Roman"/>
          <w:sz w:val="20"/>
          <w:szCs w:val="20"/>
          <w:lang w:eastAsia="bg-BG"/>
        </w:rPr>
        <w:t>виж фиг. 10)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583D89" w:rsidRPr="00504148" w:rsidRDefault="00CB0000" w:rsidP="00504148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Заетите лица в търговията са </w:t>
      </w:r>
      <w:r w:rsidR="00027C8B">
        <w:rPr>
          <w:rFonts w:ascii="Verdana" w:eastAsia="Μοντέρνα" w:hAnsi="Verdana" w:cs="Times New Roman"/>
          <w:sz w:val="20"/>
          <w:szCs w:val="20"/>
          <w:lang w:val="en-US" w:eastAsia="bg-BG"/>
        </w:rPr>
        <w:t>491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027C8B">
        <w:rPr>
          <w:rFonts w:ascii="Verdana" w:eastAsia="Μοντέρνα" w:hAnsi="Verdana" w:cs="Times New Roman"/>
          <w:sz w:val="20"/>
          <w:szCs w:val="20"/>
          <w:lang w:val="en-US" w:eastAsia="bg-BG"/>
        </w:rPr>
        <w:t>710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, или 22.</w:t>
      </w:r>
      <w:r w:rsidR="00027C8B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общия брой заети в нефинансовите предприятия.</w:t>
      </w:r>
      <w:r w:rsidRPr="00CB0000">
        <w:rPr>
          <w:rFonts w:ascii="Verdana" w:eastAsia="Μοντέρνα" w:hAnsi="Verdana" w:cs="Times New Roman" w:hint="cs"/>
          <w:sz w:val="20"/>
          <w:szCs w:val="20"/>
          <w:lang w:val="en-GB" w:eastAsia="bg-BG"/>
        </w:rPr>
        <w:t xml:space="preserve"> </w:t>
      </w:r>
    </w:p>
    <w:p w:rsidR="00CB0000" w:rsidRPr="00CB0000" w:rsidRDefault="00CB0000" w:rsidP="00504148">
      <w:pPr>
        <w:tabs>
          <w:tab w:val="left" w:pos="9639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10.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Относителен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дял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предприятията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заетите лица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търговски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дейности</w:t>
      </w:r>
      <w:r w:rsidR="00DC496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за 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CB0000" w:rsidRPr="00CB0000" w:rsidRDefault="004B6D93" w:rsidP="00DC4961">
      <w:pPr>
        <w:tabs>
          <w:tab w:val="left" w:pos="9639"/>
          <w:tab w:val="left" w:pos="11766"/>
        </w:tabs>
        <w:autoSpaceDE w:val="0"/>
        <w:autoSpaceDN w:val="0"/>
        <w:adjustRightInd w:val="0"/>
        <w:spacing w:line="360" w:lineRule="auto"/>
        <w:ind w:right="-1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>
          <v:shape id="_x0000_i1034" type="#_x0000_t75" style="width:465pt;height:261pt">
            <v:imagedata r:id="rId16" o:title=""/>
          </v:shape>
        </w:pict>
      </w:r>
    </w:p>
    <w:p w:rsidR="00CB0000" w:rsidRDefault="00CB0000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В търговския сектор е прои</w:t>
      </w:r>
      <w:r w:rsidR="00027C8B">
        <w:rPr>
          <w:rFonts w:ascii="Verdana" w:eastAsia="Μοντέρνα" w:hAnsi="Verdana" w:cs="Times New Roman"/>
          <w:sz w:val="20"/>
          <w:szCs w:val="20"/>
          <w:lang w:eastAsia="bg-BG"/>
        </w:rPr>
        <w:t>зведена продукция на стойност 40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027C8B">
        <w:rPr>
          <w:rFonts w:ascii="Verdana" w:eastAsia="Μοντέρνα" w:hAnsi="Verdana" w:cs="Times New Roman"/>
          <w:sz w:val="20"/>
          <w:szCs w:val="20"/>
          <w:lang w:val="en-US" w:eastAsia="bg-BG"/>
        </w:rPr>
        <w:t>891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 по те</w:t>
      </w:r>
      <w:r w:rsidR="00027C8B">
        <w:rPr>
          <w:rFonts w:ascii="Verdana" w:eastAsia="Μοντέρνα" w:hAnsi="Verdana" w:cs="Times New Roman"/>
          <w:sz w:val="20"/>
          <w:szCs w:val="20"/>
          <w:lang w:eastAsia="bg-BG"/>
        </w:rPr>
        <w:t>кущи цени, което представлява 14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27C8B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общия обем на продукцията на нефинансовите предприятия. </w:t>
      </w:r>
    </w:p>
    <w:p w:rsidR="00504148" w:rsidRDefault="00504148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04148" w:rsidRDefault="00504148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04148" w:rsidRDefault="00504148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04148" w:rsidRPr="00CB0000" w:rsidRDefault="00504148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B0000" w:rsidRPr="00CB0000" w:rsidRDefault="00CB0000" w:rsidP="006D27D4">
      <w:pPr>
        <w:spacing w:before="160" w:after="160" w:line="360" w:lineRule="auto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lastRenderedPageBreak/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11. Стойност на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продукция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един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зает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търговията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дейности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47A82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 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CB0000" w:rsidRPr="00CB0000" w:rsidRDefault="004B6D93" w:rsidP="00F47A82">
      <w:pPr>
        <w:spacing w:line="360" w:lineRule="auto"/>
        <w:ind w:right="-1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>
          <v:shape id="_x0000_i1035" type="#_x0000_t75" style="width:462pt;height:232.5pt">
            <v:imagedata r:id="rId17" o:title=""/>
          </v:shape>
        </w:pict>
      </w:r>
    </w:p>
    <w:p w:rsidR="00CB0000" w:rsidRPr="00CB0000" w:rsidRDefault="00CB0000" w:rsidP="006D27D4">
      <w:pPr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Търговските предприятия реализират положителен финансов резултат от </w:t>
      </w:r>
      <w:r w:rsidR="00AE72B9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AE72B9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AE72B9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Pr="00CB0000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 по текущи цени, като търговията на едро формира </w:t>
      </w:r>
      <w:r w:rsidR="00AE72B9">
        <w:rPr>
          <w:rFonts w:ascii="Verdana" w:eastAsia="Μοντέρνα" w:hAnsi="Verdana" w:cs="Times New Roman"/>
          <w:sz w:val="20"/>
          <w:szCs w:val="20"/>
          <w:lang w:val="en-US" w:eastAsia="bg-BG"/>
        </w:rPr>
        <w:t>64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E72B9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този резултат.</w:t>
      </w:r>
    </w:p>
    <w:p w:rsidR="00CB0000" w:rsidRPr="00CB0000" w:rsidRDefault="00CB0000" w:rsidP="006D27D4">
      <w:pPr>
        <w:tabs>
          <w:tab w:val="left" w:pos="-4820"/>
        </w:tabs>
        <w:spacing w:before="160" w:after="160" w:line="360" w:lineRule="auto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.</w:t>
      </w:r>
      <w:r w:rsidRPr="00CB000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12.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Относителен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дял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търговските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предприятия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според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финансовия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резултат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по дейности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</w:t>
      </w:r>
      <w:r w:rsidR="005D4C8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583D89" w:rsidRPr="00504148" w:rsidRDefault="004B6D93" w:rsidP="00504148">
      <w:pPr>
        <w:tabs>
          <w:tab w:val="left" w:pos="-4820"/>
        </w:tabs>
        <w:spacing w:line="360" w:lineRule="auto"/>
        <w:ind w:right="-1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>
          <v:shape id="_x0000_i1036" type="#_x0000_t75" style="width:451.5pt;height:270pt">
            <v:imagedata r:id="rId18" o:title=""/>
          </v:shape>
        </w:pict>
      </w:r>
    </w:p>
    <w:p w:rsidR="00CB0000" w:rsidRPr="00CB0000" w:rsidRDefault="00CB0000" w:rsidP="006D27D4">
      <w:pPr>
        <w:autoSpaceDE w:val="0"/>
        <w:autoSpaceDN w:val="0"/>
        <w:adjustRightInd w:val="0"/>
        <w:spacing w:before="160" w:after="160" w:line="360" w:lineRule="auto"/>
        <w:ind w:right="-1"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6. Услуги</w:t>
      </w:r>
    </w:p>
    <w:p w:rsidR="00CB0000" w:rsidRPr="00CB0000" w:rsidRDefault="00CB0000" w:rsidP="006D27D4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Данните от подадените годишни отчети в НСИ показват, че най-много са предприятията в сектора на услугите - 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213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438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, или 4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общия брой на отчетените нефинансови предприятия.</w:t>
      </w:r>
    </w:p>
    <w:p w:rsidR="00583D89" w:rsidRPr="00504148" w:rsidRDefault="00CB0000" w:rsidP="00504148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този сектор са заети 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900 593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души, или 40.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общия брой на заетите в нефинансовите предприятия. </w:t>
      </w:r>
    </w:p>
    <w:p w:rsidR="00CB0000" w:rsidRPr="00CB0000" w:rsidRDefault="00CB0000" w:rsidP="00504148">
      <w:pPr>
        <w:tabs>
          <w:tab w:val="left" w:pos="9639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13.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Относителен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дял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предприятията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заетите лица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видове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услуги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A212DF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 xml:space="preserve">за </w:t>
      </w:r>
      <w:r w:rsidR="005D4C89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CB0000" w:rsidRPr="00CB0000" w:rsidRDefault="004B6D93" w:rsidP="00F47A82">
      <w:pPr>
        <w:autoSpaceDE w:val="0"/>
        <w:autoSpaceDN w:val="0"/>
        <w:adjustRightInd w:val="0"/>
        <w:spacing w:line="360" w:lineRule="auto"/>
        <w:ind w:right="-1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>
          <v:shape id="_x0000_i1037" type="#_x0000_t75" style="width:459.75pt;height:257.25pt">
            <v:imagedata r:id="rId19" o:title=""/>
          </v:shape>
        </w:pict>
      </w:r>
    </w:p>
    <w:p w:rsidR="00CB0000" w:rsidRDefault="00CB0000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Стойнос</w:t>
      </w:r>
      <w:r w:rsidR="007A0F4C">
        <w:rPr>
          <w:rFonts w:ascii="Verdana" w:eastAsia="Μοντέρνα" w:hAnsi="Verdana" w:cs="Times New Roman"/>
          <w:sz w:val="20"/>
          <w:szCs w:val="20"/>
          <w:lang w:eastAsia="bg-BG"/>
        </w:rPr>
        <w:t>тта на продукцията в сектора е 9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3 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212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 лв. по текущи цени и формира 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32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A0F4C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от общия обем на продукцията на нефинансовите предприятия</w:t>
      </w:r>
      <w:r w:rsidRPr="00CB0000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B8402A" w:rsidRDefault="00B8402A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B8402A" w:rsidRDefault="00B8402A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B8402A" w:rsidRDefault="00B8402A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B8402A" w:rsidRDefault="00B8402A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B8402A" w:rsidRDefault="00B8402A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B8402A" w:rsidRPr="00CB0000" w:rsidRDefault="00B8402A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CB0000" w:rsidRPr="00CB0000" w:rsidRDefault="00CB0000" w:rsidP="006D27D4">
      <w:pPr>
        <w:spacing w:before="160" w:after="160" w:line="360" w:lineRule="auto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lastRenderedPageBreak/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14. Стойност на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продукция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един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зает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видове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услуги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47A82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 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CB0000" w:rsidRPr="00CB0000" w:rsidRDefault="004B6D93" w:rsidP="00F47A82">
      <w:pPr>
        <w:spacing w:line="360" w:lineRule="auto"/>
        <w:ind w:right="-1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>
          <v:shape id="_x0000_i1038" type="#_x0000_t75" style="width:463.5pt;height:230.25pt">
            <v:imagedata r:id="rId20" o:title=""/>
          </v:shape>
        </w:pict>
      </w:r>
    </w:p>
    <w:p w:rsidR="00CB0000" w:rsidRPr="00CB0000" w:rsidRDefault="007A0F4C" w:rsidP="006D27D4">
      <w:pPr>
        <w:autoSpaceDE w:val="0"/>
        <w:autoSpaceDN w:val="0"/>
        <w:adjustRightInd w:val="0"/>
        <w:spacing w:before="160"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Услугите приключват 2023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 пол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ожителен финансов резултат от 13 455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лв., като 26.1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>% са реализирани в „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Създаване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разпространение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информация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творчески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продукти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; </w:t>
      </w:r>
      <w:r w:rsidR="00CB0000"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далекосъобщения</w:t>
      </w:r>
      <w:r w:rsidR="00CB0000"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“. </w:t>
      </w:r>
    </w:p>
    <w:p w:rsidR="00CB0000" w:rsidRPr="00CB0000" w:rsidRDefault="00CB0000" w:rsidP="006D27D4">
      <w:pPr>
        <w:tabs>
          <w:tab w:val="left" w:pos="-4820"/>
          <w:tab w:val="left" w:pos="9639"/>
        </w:tabs>
        <w:spacing w:before="160" w:after="160" w:line="360" w:lineRule="auto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15.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Относителен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дял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п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редприятия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сектора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услугите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според</w:t>
      </w:r>
      <w:r w:rsidR="00A212D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финансовия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резултат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="00F47A8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2023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година</w:t>
      </w:r>
    </w:p>
    <w:p w:rsidR="00583D89" w:rsidRPr="00CB0000" w:rsidRDefault="004B6D93" w:rsidP="00B8402A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>
          <v:shape id="_x0000_i1039" type="#_x0000_t75" style="width:445.5pt;height:246.75pt">
            <v:imagedata r:id="rId21" o:title=""/>
          </v:shape>
        </w:pict>
      </w:r>
    </w:p>
    <w:p w:rsidR="00CB0000" w:rsidRPr="00CB0000" w:rsidRDefault="00CB0000" w:rsidP="00805CFF">
      <w:pPr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CB0000" w:rsidRPr="00CB0000" w:rsidRDefault="00CB0000" w:rsidP="00805CF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Обхват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всички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сектори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по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КИД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 - 2008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изключение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„Финансови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застрахователни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дейности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“,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„Държавно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управление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“,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„Дейности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организации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нестопанска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цел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„Дейности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CB0000">
        <w:rPr>
          <w:rFonts w:ascii="Verdana" w:eastAsia="Μοντέρνα" w:hAnsi="Verdana" w:cs="Times New Roman" w:hint="cs"/>
          <w:sz w:val="20"/>
          <w:szCs w:val="20"/>
          <w:lang w:eastAsia="bg-BG"/>
        </w:rPr>
        <w:t>домакинствата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“.</w:t>
      </w:r>
    </w:p>
    <w:p w:rsidR="00CB0000" w:rsidRPr="00CB0000" w:rsidRDefault="00CB0000" w:rsidP="00805C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Брой предприятия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всички нефинансови предприятия, които са били активни през цялата или част от референтната година и са представили годишен отчет за дейността си в НСИ и/или НАП.</w:t>
      </w:r>
    </w:p>
    <w:p w:rsidR="00CB0000" w:rsidRPr="00CB0000" w:rsidRDefault="00CB0000" w:rsidP="00805C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Нетен оборот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стойността на нетните приходи от продажби на собствена продукция, купени и продадени в същия вид стоки, предоставени услуги и продадени суровини и материали. Не се включват приходите от продажби на дълготрайни активи, приходите от финансирания, финансовите и извънредните приходи. В стойността на нетния оборот не</w:t>
      </w:r>
      <w:r w:rsidR="000455B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включват начислените акцизи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, данъци, мита или налози, пряко свързани с приходите.</w:t>
      </w:r>
    </w:p>
    <w:p w:rsidR="00CB0000" w:rsidRPr="00CB0000" w:rsidRDefault="00CB0000" w:rsidP="00805C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Стойност на продукцията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стойността на нетния оборот, намалена с балансовата стойност на продадените активи, без тази на собствените дълготрайни активи. В нея се включва и изменението на запасите от продукция и незавършено производство, стойността на направените разходи за придобиване на активи по стопански начин</w:t>
      </w:r>
      <w:r w:rsidRPr="00CB000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, 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както и приходите от субсидии, свързани с продуктите или оборота.</w:t>
      </w:r>
    </w:p>
    <w:p w:rsidR="00CB0000" w:rsidRPr="00CB0000" w:rsidRDefault="00CB0000" w:rsidP="00805C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Добавена стойност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стойността на продукцията, намалена с разходите за оперативна дейност, без тези за персонал и за амортизация.</w:t>
      </w:r>
    </w:p>
    <w:p w:rsidR="00CB0000" w:rsidRPr="00CB0000" w:rsidRDefault="00CB0000" w:rsidP="00805C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Финансов резултат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CB0000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CB00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 разликата между печалбата и загубата за дадено ниво на агрегация. </w:t>
      </w:r>
    </w:p>
    <w:p w:rsidR="00CB0000" w:rsidRPr="00CB0000" w:rsidRDefault="00CB0000" w:rsidP="00805CF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CB0000">
        <w:rPr>
          <w:rFonts w:ascii="Verdana" w:eastAsia="Μοντέρνα" w:hAnsi="Verdana" w:cs="Times New Roman"/>
          <w:sz w:val="20"/>
          <w:szCs w:val="20"/>
          <w:lang w:val="ru-RU" w:eastAsia="bg-BG"/>
        </w:rPr>
        <w:t>Съгласно Регламент (ЕС) 2019/2152 на Европейския парламент и на Съвета за европейската бизнес статистика и на Регламент за изпълнение (ЕС) 2020/1197 на Европейската комисия, за отчетната 2021 г. е направена промяна в дефинициите на някои от показателите в сравнение с 2020 година.</w:t>
      </w:r>
    </w:p>
    <w:p w:rsidR="00CB0000" w:rsidRPr="00CB0000" w:rsidRDefault="00CB0000" w:rsidP="006D27D4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B0000" w:rsidRPr="00CB0000" w:rsidRDefault="00CB0000" w:rsidP="006D27D4">
      <w:pPr>
        <w:spacing w:line="360" w:lineRule="auto"/>
        <w:ind w:right="-1"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B0000" w:rsidRPr="00CB0000" w:rsidRDefault="00CB0000" w:rsidP="006D27D4">
      <w:pPr>
        <w:ind w:right="-1"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B0000" w:rsidRPr="00CB0000" w:rsidRDefault="00CB0000" w:rsidP="006D27D4">
      <w:pPr>
        <w:ind w:right="-1"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B0000" w:rsidRPr="00CB0000" w:rsidRDefault="00CB0000" w:rsidP="006D27D4">
      <w:pPr>
        <w:ind w:right="-1"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B0000" w:rsidRPr="00CB0000" w:rsidRDefault="00CB0000" w:rsidP="006D27D4">
      <w:pPr>
        <w:autoSpaceDE w:val="0"/>
        <w:autoSpaceDN w:val="0"/>
        <w:adjustRightInd w:val="0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B0000" w:rsidRPr="00CB0000" w:rsidRDefault="00CB0000" w:rsidP="006D27D4">
      <w:pPr>
        <w:autoSpaceDE w:val="0"/>
        <w:autoSpaceDN w:val="0"/>
        <w:adjustRightInd w:val="0"/>
        <w:ind w:right="-1"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D731D" w:rsidRDefault="00FD731D" w:rsidP="00270A6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6D27D4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tbl>
      <w:tblPr>
        <w:tblW w:w="1059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1134"/>
        <w:gridCol w:w="824"/>
        <w:gridCol w:w="800"/>
        <w:gridCol w:w="913"/>
        <w:gridCol w:w="1521"/>
      </w:tblGrid>
      <w:tr w:rsidR="00270A6C" w:rsidRPr="00270A6C" w:rsidTr="005948BB">
        <w:trPr>
          <w:trHeight w:val="1089"/>
        </w:trPr>
        <w:tc>
          <w:tcPr>
            <w:tcW w:w="10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A6C" w:rsidRPr="00270A6C" w:rsidRDefault="00270A6C" w:rsidP="00270A6C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bg-BG"/>
              </w:rPr>
              <w:lastRenderedPageBreak/>
              <w:t xml:space="preserve">                                                                                                                          </w:t>
            </w:r>
            <w:r w:rsidRPr="00270A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Таблица </w:t>
            </w:r>
            <w:r w:rsidRPr="00270A6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bg-BG"/>
              </w:rPr>
              <w:t>3</w:t>
            </w:r>
          </w:p>
          <w:p w:rsidR="00270A6C" w:rsidRPr="00270A6C" w:rsidRDefault="00270A6C" w:rsidP="00270A6C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Производство на някои промишлени продукти за периода 202</w:t>
            </w: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- 202</w:t>
            </w: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година</w:t>
            </w:r>
          </w:p>
          <w:p w:rsidR="00270A6C" w:rsidRPr="00270A6C" w:rsidRDefault="00270A6C" w:rsidP="00270A6C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US" w:eastAsia="bg-BG"/>
              </w:rPr>
            </w:pPr>
          </w:p>
        </w:tc>
      </w:tr>
      <w:tr w:rsidR="00270A6C" w:rsidRPr="00270A6C" w:rsidTr="005948BB">
        <w:trPr>
          <w:trHeight w:val="80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A6C" w:rsidRPr="00270A6C" w:rsidRDefault="00270A6C" w:rsidP="00270A6C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A6C" w:rsidRPr="00270A6C" w:rsidRDefault="00270A6C" w:rsidP="00270A6C">
            <w:pP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A6C" w:rsidRPr="00270A6C" w:rsidRDefault="00270A6C" w:rsidP="00270A6C">
            <w:pP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A6C" w:rsidRPr="00270A6C" w:rsidRDefault="00270A6C" w:rsidP="00270A6C">
            <w:pPr>
              <w:rPr>
                <w:rFonts w:ascii="Calibri" w:eastAsia="Times New Roman" w:hAnsi="Calibri" w:cs="Calibri"/>
                <w:sz w:val="22"/>
                <w:szCs w:val="22"/>
                <w:lang w:eastAsia="bg-BG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A6C" w:rsidRPr="00270A6C" w:rsidRDefault="00270A6C" w:rsidP="00270A6C">
            <w:pPr>
              <w:rPr>
                <w:rFonts w:ascii="Calibri" w:eastAsia="Times New Roman" w:hAnsi="Calibri" w:cs="Calibri"/>
                <w:sz w:val="22"/>
                <w:szCs w:val="22"/>
                <w:lang w:eastAsia="bg-BG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bg-BG"/>
              </w:rPr>
            </w:pPr>
          </w:p>
        </w:tc>
      </w:tr>
      <w:tr w:rsidR="00270A6C" w:rsidRPr="00270A6C" w:rsidTr="005948BB">
        <w:trPr>
          <w:trHeight w:val="4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Промишлени продукти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Мерна единица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6C" w:rsidRPr="00270A6C" w:rsidRDefault="00270A6C" w:rsidP="001E069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  <w:r w:rsidR="001E0690" w:rsidRPr="001E0690">
              <w:rPr>
                <w:vertAlign w:val="superscript"/>
              </w:rPr>
              <w:t>*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5B" w:rsidRPr="00805CFF" w:rsidRDefault="00270A6C" w:rsidP="00270A6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</w:t>
            </w: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3</w:t>
            </w: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/20</w:t>
            </w:r>
            <w:r w:rsidRPr="00270A6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22</w:t>
            </w:r>
            <w:r w:rsidR="000A5E3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- </w:t>
            </w:r>
          </w:p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%</w:t>
            </w:r>
          </w:p>
        </w:tc>
      </w:tr>
      <w:tr w:rsidR="00270A6C" w:rsidRPr="00270A6C" w:rsidTr="005948BB">
        <w:trPr>
          <w:trHeight w:val="2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Медни руди и техните концентрати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30 774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35 521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34 435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96.9</w:t>
            </w:r>
          </w:p>
        </w:tc>
      </w:tr>
      <w:tr w:rsidR="00270A6C" w:rsidRPr="00270A6C" w:rsidTr="005948BB">
        <w:trPr>
          <w:trHeight w:val="2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Оловни, цинкови и калаени руди и техните концентрати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881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879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873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99.3</w:t>
            </w:r>
          </w:p>
        </w:tc>
      </w:tr>
      <w:tr w:rsidR="00270A6C" w:rsidRPr="00270A6C" w:rsidTr="005948BB">
        <w:trPr>
          <w:trHeight w:val="2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Естествен пясък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/>
                <w:color w:val="000000"/>
                <w:sz w:val="16"/>
                <w:szCs w:val="16"/>
              </w:rPr>
              <w:t>7 518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7 262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7 207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99.2</w:t>
            </w:r>
          </w:p>
        </w:tc>
      </w:tr>
      <w:tr w:rsidR="00270A6C" w:rsidRPr="00270A6C" w:rsidTr="005948BB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Колбаси и подобни продукти от месо, субпродукти или кръв, без колбаси от черен дроб и готови ястия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101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95.3</w:t>
            </w:r>
          </w:p>
        </w:tc>
      </w:tr>
      <w:tr w:rsidR="00270A6C" w:rsidRPr="00270A6C" w:rsidTr="005948BB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Слънчогледово масло или масло от шафранка и техните фракции, рафинирани, но не химически променени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379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210.6</w:t>
            </w:r>
          </w:p>
        </w:tc>
      </w:tr>
      <w:tr w:rsidR="00270A6C" w:rsidRPr="00270A6C" w:rsidTr="005948BB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Конфитюри, мармалади, желета, сладка, мус, пюрета и каши от плодове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13 895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12 234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136A7D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136A7D" w:rsidRDefault="00136A7D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Calibri"/>
                <w:color w:val="000000"/>
                <w:sz w:val="16"/>
                <w:szCs w:val="16"/>
                <w:lang w:eastAsia="bg-BG"/>
              </w:rPr>
              <w:t>..</w:t>
            </w:r>
          </w:p>
        </w:tc>
      </w:tr>
      <w:tr w:rsidR="00270A6C" w:rsidRPr="00270A6C" w:rsidTr="005948BB">
        <w:trPr>
          <w:trHeight w:val="5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Макаронени изделия, неварени, нито пълнени, нито обработени по друг начин, несъдържащи 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9 199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10 564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9 655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91.4</w:t>
            </w:r>
          </w:p>
        </w:tc>
      </w:tr>
      <w:tr w:rsidR="00270A6C" w:rsidRPr="00270A6C" w:rsidTr="005948BB">
        <w:trPr>
          <w:trHeight w:val="5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Готови храни (фуражи) за селскостопански животни, без брашно и агломерати от люцерна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1 005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1 036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105.8</w:t>
            </w:r>
          </w:p>
        </w:tc>
      </w:tr>
      <w:tr w:rsidR="00270A6C" w:rsidRPr="00270A6C" w:rsidTr="005948BB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Ориз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21 925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30 300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22 592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bookmarkStart w:id="0" w:name="_GoBack"/>
            <w:bookmarkEnd w:id="0"/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74.6</w:t>
            </w:r>
          </w:p>
        </w:tc>
      </w:tr>
      <w:tr w:rsidR="00270A6C" w:rsidRPr="00270A6C" w:rsidTr="005948BB">
        <w:trPr>
          <w:trHeight w:val="41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Спиртни напитки от дестилати от вино и/или гроздови джибри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л алк. 100%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4 898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5 572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 w:cs="Calibri"/>
                <w:color w:val="000000"/>
                <w:sz w:val="16"/>
                <w:szCs w:val="16"/>
              </w:rPr>
              <w:t>5 273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94.6</w:t>
            </w:r>
          </w:p>
        </w:tc>
      </w:tr>
      <w:tr w:rsidR="00270A6C" w:rsidRPr="00270A6C" w:rsidTr="005948BB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Пиво от малц (без безалкохолно пиво и пиво със съдържание на алкохол &lt;= 0.5% обемни)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млн. л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439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463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104.8</w:t>
            </w:r>
          </w:p>
        </w:tc>
      </w:tr>
      <w:tr w:rsidR="00270A6C" w:rsidRPr="00270A6C" w:rsidTr="005948BB">
        <w:trPr>
          <w:trHeight w:val="5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Води, вкл. минерални и газирани води, подсладени със захар или други подсладители или ароматизирани (безалкохолни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млн. 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486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533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109.7</w:t>
            </w:r>
          </w:p>
        </w:tc>
      </w:tr>
      <w:tr w:rsidR="00270A6C" w:rsidRPr="00270A6C" w:rsidTr="005948BB">
        <w:trPr>
          <w:trHeight w:val="2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Памучни тъкани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хил</w:t>
            </w: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 м</w:t>
            </w:r>
            <w:r w:rsidRPr="00270A6C">
              <w:rPr>
                <w:rFonts w:ascii="Verdana" w:eastAsia="Times New Roman" w:hAnsi="Verdana" w:cs="Calibri"/>
                <w:color w:val="000000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5 012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5 049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4 160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82.</w:t>
            </w: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</w:tr>
      <w:tr w:rsidR="00270A6C" w:rsidRPr="00270A6C" w:rsidTr="005948BB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Плочи от дървесни частици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м</w:t>
            </w:r>
            <w:r w:rsidRPr="00270A6C">
              <w:rPr>
                <w:rFonts w:ascii="Verdana" w:eastAsia="Times New Roman" w:hAnsi="Verdana" w:cs="Calibri"/>
                <w:color w:val="000000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686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689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100.4</w:t>
            </w:r>
          </w:p>
        </w:tc>
      </w:tr>
      <w:tr w:rsidR="00270A6C" w:rsidRPr="00270A6C" w:rsidTr="005948BB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Паста за зъби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бр.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76 579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93 262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90 568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97.1</w:t>
            </w:r>
          </w:p>
        </w:tc>
      </w:tr>
      <w:tr w:rsidR="00270A6C" w:rsidRPr="00270A6C" w:rsidTr="005948BB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Етилов алкохол и спиртове, денатурирани, с всякакво алкохолно съдържание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хил. 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39 278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42 031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49 789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118.</w:t>
            </w: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</w:tr>
      <w:tr w:rsidR="00270A6C" w:rsidRPr="00270A6C" w:rsidTr="005948BB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Шампоани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4 246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4 851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5 349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110.</w:t>
            </w: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eastAsia="bg-BG"/>
              </w:rPr>
              <w:t>3</w:t>
            </w:r>
          </w:p>
        </w:tc>
      </w:tr>
      <w:tr w:rsidR="00270A6C" w:rsidRPr="00270A6C" w:rsidTr="005948BB">
        <w:trPr>
          <w:trHeight w:val="2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Строителни тухли от неогнеупорна керамика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м</w:t>
            </w:r>
            <w:r w:rsidRPr="00270A6C">
              <w:rPr>
                <w:rFonts w:ascii="Verdana" w:eastAsia="Times New Roman" w:hAnsi="Verdana" w:cs="Calibri"/>
                <w:color w:val="000000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564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693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643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92.7</w:t>
            </w:r>
          </w:p>
        </w:tc>
      </w:tr>
      <w:tr w:rsidR="00270A6C" w:rsidRPr="00270A6C" w:rsidTr="005948BB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Портландцимент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/>
                <w:color w:val="000000"/>
                <w:sz w:val="16"/>
                <w:szCs w:val="16"/>
              </w:rPr>
              <w:t>2 186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2 204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2 307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104.7</w:t>
            </w:r>
          </w:p>
        </w:tc>
      </w:tr>
      <w:tr w:rsidR="00270A6C" w:rsidRPr="00270A6C" w:rsidTr="005948B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Негасена, гасена и хидратна 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/>
                <w:color w:val="000000"/>
                <w:sz w:val="16"/>
                <w:szCs w:val="16"/>
              </w:rPr>
              <w:t>1 519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1 418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1 308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92.2</w:t>
            </w:r>
          </w:p>
        </w:tc>
      </w:tr>
      <w:tr w:rsidR="00270A6C" w:rsidRPr="00270A6C" w:rsidTr="005948B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Готови за изливане бетонови смеси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хил. 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/>
                <w:color w:val="000000"/>
                <w:sz w:val="16"/>
                <w:szCs w:val="16"/>
              </w:rPr>
              <w:t>11 660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12 509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12 742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101.9</w:t>
            </w:r>
          </w:p>
        </w:tc>
      </w:tr>
      <w:tr w:rsidR="00270A6C" w:rsidRPr="00270A6C" w:rsidTr="005948B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Електрически бойлери и бързовари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хил. бр.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/>
                <w:color w:val="000000"/>
                <w:sz w:val="16"/>
                <w:szCs w:val="16"/>
              </w:rPr>
              <w:t>1 239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1 162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1 127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</w:pPr>
            <w:r w:rsidRPr="00270A6C">
              <w:rPr>
                <w:rFonts w:ascii="Verdana" w:eastAsia="Μοντέρνα" w:hAnsi="Verdana" w:cs="Calibri"/>
                <w:color w:val="000000"/>
                <w:sz w:val="16"/>
                <w:szCs w:val="16"/>
                <w:lang w:val="en-GB" w:eastAsia="bg-BG"/>
              </w:rPr>
              <w:t>97.0</w:t>
            </w:r>
          </w:p>
        </w:tc>
      </w:tr>
      <w:tr w:rsidR="00270A6C" w:rsidRPr="00270A6C" w:rsidTr="005948B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Електрокари с височина на подема &gt;= 1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бр.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43.9</w:t>
            </w:r>
          </w:p>
        </w:tc>
      </w:tr>
      <w:tr w:rsidR="00270A6C" w:rsidRPr="00270A6C" w:rsidTr="005948B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Мотокари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бр.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..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..</w:t>
            </w:r>
          </w:p>
        </w:tc>
      </w:tr>
      <w:tr w:rsidR="00270A6C" w:rsidRPr="00270A6C" w:rsidTr="005948B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Електрически грилове и скари за домакинска употреба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бр.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70A6C">
              <w:rPr>
                <w:rFonts w:ascii="Verdana" w:hAnsi="Verdana"/>
                <w:color w:val="000000"/>
                <w:sz w:val="16"/>
                <w:szCs w:val="16"/>
              </w:rPr>
              <w:t>189 325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color w:val="000000"/>
                <w:sz w:val="20"/>
                <w:szCs w:val="20"/>
              </w:rPr>
            </w:pPr>
            <w:r w:rsidRPr="00270A6C">
              <w:rPr>
                <w:rFonts w:asciiTheme="minorHAnsi" w:hAnsiTheme="minorHAnsi"/>
                <w:color w:val="000000"/>
                <w:sz w:val="20"/>
                <w:szCs w:val="20"/>
              </w:rPr>
              <w:t>161 614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A6C" w:rsidRPr="00270A6C" w:rsidRDefault="00270A6C" w:rsidP="00270A6C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0A6C">
              <w:rPr>
                <w:rFonts w:asciiTheme="minorHAnsi" w:hAnsiTheme="minorHAnsi"/>
                <w:color w:val="000000"/>
                <w:sz w:val="20"/>
                <w:szCs w:val="20"/>
              </w:rPr>
              <w:t>167 526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color w:val="171717" w:themeColor="background2" w:themeShade="1A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color w:val="171717" w:themeColor="background2" w:themeShade="1A"/>
                <w:sz w:val="16"/>
                <w:szCs w:val="16"/>
                <w:lang w:eastAsia="bg-BG"/>
              </w:rPr>
              <w:t>103.7</w:t>
            </w:r>
          </w:p>
        </w:tc>
      </w:tr>
      <w:tr w:rsidR="00270A6C" w:rsidRPr="00270A6C" w:rsidTr="005948BB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Счетоводни машини и подобни машини, съдържащи сметачно устройство; машини за автоматично издаване на билети; автоматични регистриращи касови апарати; машини за обработка на текстове (без пишещи машини)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хил. бр.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402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258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64.2</w:t>
            </w:r>
          </w:p>
        </w:tc>
      </w:tr>
      <w:tr w:rsidR="00270A6C" w:rsidRPr="00270A6C" w:rsidTr="005948BB">
        <w:trPr>
          <w:trHeight w:val="2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Велосипеди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хил. бр.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381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351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193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6C" w:rsidRPr="00270A6C" w:rsidRDefault="00270A6C" w:rsidP="00270A6C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70A6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55.0</w:t>
            </w:r>
          </w:p>
        </w:tc>
      </w:tr>
    </w:tbl>
    <w:p w:rsidR="001E0690" w:rsidRDefault="001E0690" w:rsidP="001E0690">
      <w:pPr>
        <w:spacing w:before="120"/>
        <w:jc w:val="both"/>
        <w:rPr>
          <w:rFonts w:ascii="Verdana" w:eastAsia="Times New Roman" w:hAnsi="Verdana" w:cs="Times New Roman"/>
          <w:sz w:val="16"/>
          <w:szCs w:val="16"/>
          <w:lang w:val="en-US" w:eastAsia="bg-BG"/>
        </w:rPr>
      </w:pPr>
      <w:r w:rsidRPr="001E0690">
        <w:rPr>
          <w:rFonts w:ascii="Verdana" w:eastAsia="Times New Roman" w:hAnsi="Verdana" w:cs="Times New Roman"/>
          <w:sz w:val="16"/>
          <w:szCs w:val="16"/>
          <w:lang w:val="en-US" w:eastAsia="bg-BG"/>
        </w:rPr>
        <w:t xml:space="preserve">* </w:t>
      </w:r>
      <w:r w:rsidRPr="001E0690">
        <w:rPr>
          <w:rFonts w:ascii="Verdana" w:eastAsia="Times New Roman" w:hAnsi="Verdana" w:cs="Times New Roman"/>
          <w:sz w:val="16"/>
          <w:szCs w:val="16"/>
          <w:lang w:eastAsia="bg-BG"/>
        </w:rPr>
        <w:t>Данните са предварителни и извадкови</w:t>
      </w:r>
      <w:r w:rsidRPr="001E0690">
        <w:rPr>
          <w:rFonts w:ascii="Verdana" w:eastAsia="Times New Roman" w:hAnsi="Verdana" w:cs="Times New Roman"/>
          <w:sz w:val="16"/>
          <w:szCs w:val="16"/>
          <w:lang w:val="en-US" w:eastAsia="bg-BG"/>
        </w:rPr>
        <w:t xml:space="preserve"> </w:t>
      </w:r>
      <w:r w:rsidRPr="001E0690">
        <w:rPr>
          <w:rFonts w:ascii="Verdana" w:eastAsia="Times New Roman" w:hAnsi="Verdana" w:cs="Times New Roman"/>
          <w:sz w:val="16"/>
          <w:szCs w:val="16"/>
          <w:lang w:eastAsia="bg-BG"/>
        </w:rPr>
        <w:t>(на базата на годишна</w:t>
      </w:r>
      <w:r w:rsidRPr="001E0690">
        <w:rPr>
          <w:rFonts w:ascii="Verdana" w:eastAsia="Times New Roman" w:hAnsi="Verdana" w:cs="Times New Roman"/>
          <w:sz w:val="16"/>
          <w:szCs w:val="16"/>
          <w:lang w:val="en-US" w:eastAsia="bg-BG"/>
        </w:rPr>
        <w:t xml:space="preserve"> </w:t>
      </w:r>
      <w:r w:rsidRPr="001E0690">
        <w:rPr>
          <w:rFonts w:ascii="Verdana" w:eastAsia="Times New Roman" w:hAnsi="Verdana" w:cs="Times New Roman"/>
          <w:sz w:val="16"/>
          <w:szCs w:val="16"/>
          <w:lang w:eastAsia="bg-BG"/>
        </w:rPr>
        <w:t>извадка</w:t>
      </w:r>
      <w:r w:rsidRPr="001E0690">
        <w:rPr>
          <w:rFonts w:ascii="Verdana" w:eastAsia="Times New Roman" w:hAnsi="Verdana" w:cs="Times New Roman"/>
          <w:sz w:val="16"/>
          <w:szCs w:val="16"/>
          <w:lang w:val="en-US" w:eastAsia="bg-BG"/>
        </w:rPr>
        <w:t>)</w:t>
      </w:r>
      <w:r>
        <w:rPr>
          <w:rFonts w:ascii="Verdana" w:eastAsia="Times New Roman" w:hAnsi="Verdana" w:cs="Times New Roman"/>
          <w:sz w:val="16"/>
          <w:szCs w:val="16"/>
          <w:lang w:val="en-US" w:eastAsia="bg-BG"/>
        </w:rPr>
        <w:t>.</w:t>
      </w:r>
    </w:p>
    <w:p w:rsidR="00171C36" w:rsidRPr="00552EA8" w:rsidRDefault="001E0690" w:rsidP="00552EA8">
      <w:pPr>
        <w:spacing w:before="120"/>
        <w:jc w:val="both"/>
        <w:rPr>
          <w:rFonts w:ascii="Verdana" w:hAnsi="Verdana"/>
          <w:sz w:val="16"/>
          <w:szCs w:val="16"/>
        </w:rPr>
      </w:pPr>
      <w:r w:rsidRPr="001E0690">
        <w:rPr>
          <w:rFonts w:ascii="Verdana" w:eastAsia="Times New Roman" w:hAnsi="Verdana" w:cs="Times New Roman"/>
          <w:sz w:val="16"/>
          <w:szCs w:val="16"/>
          <w:lang w:eastAsia="bg-BG"/>
        </w:rPr>
        <w:t>„</w:t>
      </w:r>
      <w:r w:rsidRPr="001E0690">
        <w:rPr>
          <w:rFonts w:ascii="Verdana" w:eastAsia="Times New Roman" w:hAnsi="Verdana" w:cs="Times New Roman"/>
          <w:sz w:val="16"/>
          <w:szCs w:val="16"/>
          <w:lang w:val="en-US" w:eastAsia="bg-BG"/>
        </w:rPr>
        <w:t>..</w:t>
      </w:r>
      <w:r w:rsidRPr="001E0690">
        <w:rPr>
          <w:rFonts w:ascii="Verdana" w:eastAsia="Times New Roman" w:hAnsi="Verdana" w:cs="Times New Roman"/>
          <w:sz w:val="16"/>
          <w:szCs w:val="16"/>
          <w:lang w:eastAsia="bg-BG"/>
        </w:rPr>
        <w:t>“</w:t>
      </w:r>
      <w:r w:rsidR="007302C5">
        <w:rPr>
          <w:rFonts w:ascii="Verdana" w:eastAsia="Times New Roman" w:hAnsi="Verdana" w:cs="Times New Roman"/>
          <w:sz w:val="16"/>
          <w:szCs w:val="16"/>
          <w:lang w:eastAsia="bg-BG"/>
        </w:rPr>
        <w:t xml:space="preserve"> </w:t>
      </w:r>
      <w:r w:rsidRPr="001E0690">
        <w:rPr>
          <w:rFonts w:ascii="Verdana" w:eastAsia="Times New Roman" w:hAnsi="Verdana" w:cs="Times New Roman"/>
          <w:sz w:val="16"/>
          <w:szCs w:val="16"/>
          <w:lang w:eastAsia="bg-BG"/>
        </w:rPr>
        <w:t>-</w:t>
      </w:r>
      <w:r w:rsidR="007302C5">
        <w:rPr>
          <w:rFonts w:ascii="Verdana" w:eastAsia="Times New Roman" w:hAnsi="Verdana" w:cs="Times New Roman"/>
          <w:sz w:val="16"/>
          <w:szCs w:val="16"/>
          <w:lang w:eastAsia="bg-BG"/>
        </w:rPr>
        <w:t xml:space="preserve"> </w:t>
      </w:r>
      <w:r w:rsidRPr="001E0690">
        <w:rPr>
          <w:rFonts w:ascii="Verdana" w:eastAsia="Times New Roman" w:hAnsi="Verdana" w:cs="Times New Roman"/>
          <w:sz w:val="16"/>
          <w:szCs w:val="16"/>
          <w:lang w:eastAsia="bg-BG"/>
        </w:rPr>
        <w:t>конфиденциални данни.</w:t>
      </w:r>
    </w:p>
    <w:sectPr w:rsidR="00171C36" w:rsidRPr="00552EA8" w:rsidSect="008748F1">
      <w:headerReference w:type="first" r:id="rId26"/>
      <w:footerReference w:type="first" r:id="rId27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93" w:rsidRDefault="004B6D93" w:rsidP="00214ACA">
      <w:r>
        <w:separator/>
      </w:r>
    </w:p>
  </w:endnote>
  <w:endnote w:type="continuationSeparator" w:id="0">
    <w:p w:rsidR="004B6D93" w:rsidRDefault="004B6D9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6A7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36A7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6A7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36A7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6A7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36A7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93" w:rsidRDefault="004B6D93" w:rsidP="00214ACA">
      <w:r>
        <w:separator/>
      </w:r>
    </w:p>
  </w:footnote>
  <w:footnote w:type="continuationSeparator" w:id="0">
    <w:p w:rsidR="004B6D93" w:rsidRDefault="004B6D93" w:rsidP="00214ACA">
      <w:r>
        <w:continuationSeparator/>
      </w:r>
    </w:p>
  </w:footnote>
  <w:footnote w:id="1">
    <w:p w:rsidR="003D1AE2" w:rsidRPr="00757AEB" w:rsidRDefault="003D1AE2" w:rsidP="00757AEB">
      <w:pPr>
        <w:tabs>
          <w:tab w:val="left" w:pos="9781"/>
        </w:tabs>
        <w:ind w:right="-1"/>
        <w:jc w:val="both"/>
        <w:rPr>
          <w:rFonts w:ascii="Verdana" w:eastAsia="Μοντέρνα" w:hAnsi="Verdana" w:cs="Times New Roman"/>
          <w:smallCaps/>
          <w:sz w:val="16"/>
          <w:szCs w:val="16"/>
          <w:lang w:eastAsia="bg-BG"/>
        </w:rPr>
      </w:pPr>
      <w:r w:rsidRPr="00757AEB">
        <w:rPr>
          <w:rFonts w:ascii="Verdana" w:eastAsia="Μοντέρνα" w:hAnsi="Verdana" w:cs="Times New Roman"/>
          <w:sz w:val="16"/>
          <w:szCs w:val="16"/>
          <w:lang w:eastAsia="bg-BG"/>
        </w:rPr>
        <w:t>В обхвата на нефинансовите предприятия са включени всички сектори по КИД</w:t>
      </w:r>
      <w:r w:rsidRPr="00757AEB">
        <w:rPr>
          <w:rFonts w:ascii="Verdana" w:eastAsia="Μοντέρνα" w:hAnsi="Verdana" w:cs="Times New Roman"/>
          <w:sz w:val="16"/>
          <w:szCs w:val="16"/>
          <w:lang w:val="en-US" w:eastAsia="bg-BG"/>
        </w:rPr>
        <w:t xml:space="preserve"> </w:t>
      </w:r>
      <w:r w:rsidRPr="00757AEB">
        <w:rPr>
          <w:rFonts w:ascii="Verdana" w:eastAsia="Μοντέρνα" w:hAnsi="Verdana" w:cs="Times New Roman"/>
          <w:sz w:val="16"/>
          <w:szCs w:val="16"/>
          <w:lang w:eastAsia="bg-BG"/>
        </w:rPr>
        <w:t>-</w:t>
      </w:r>
      <w:r w:rsidRPr="00757AEB">
        <w:rPr>
          <w:rFonts w:ascii="Verdana" w:eastAsia="Μοντέρνα" w:hAnsi="Verdana" w:cs="Times New Roman"/>
          <w:sz w:val="16"/>
          <w:szCs w:val="16"/>
          <w:lang w:val="en-US" w:eastAsia="bg-BG"/>
        </w:rPr>
        <w:t xml:space="preserve"> </w:t>
      </w:r>
      <w:r w:rsidRPr="00757AEB">
        <w:rPr>
          <w:rFonts w:ascii="Verdana" w:eastAsia="Μοντέρνα" w:hAnsi="Verdana" w:cs="Times New Roman"/>
          <w:sz w:val="16"/>
          <w:szCs w:val="16"/>
          <w:lang w:eastAsia="bg-BG"/>
        </w:rPr>
        <w:t>2008 с изключение на „Финансови и застрахователни дейности“, „Държавно управление“, „Дейности на организации с нестопанска цел“ и „Дейности на домакинствата“.</w:t>
      </w:r>
    </w:p>
    <w:p w:rsidR="00CB0000" w:rsidRPr="003D1AE2" w:rsidRDefault="000221C7" w:rsidP="00757AEB">
      <w:pPr>
        <w:autoSpaceDE w:val="0"/>
        <w:autoSpaceDN w:val="0"/>
        <w:adjustRightInd w:val="0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57AEB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1</w:t>
      </w:r>
      <w:r w:rsidR="00F55102" w:rsidRPr="00757AEB">
        <w:rPr>
          <w:rFonts w:ascii="Verdana" w:eastAsia="Μοντέρνα" w:hAnsi="Verdana" w:cs="Times New Roman"/>
          <w:sz w:val="16"/>
          <w:szCs w:val="16"/>
          <w:vertAlign w:val="superscript"/>
          <w:lang w:val="en-US" w:eastAsia="bg-BG"/>
        </w:rPr>
        <w:t xml:space="preserve"> </w:t>
      </w:r>
      <w:r w:rsidR="003D1AE2" w:rsidRPr="003D1AE2">
        <w:rPr>
          <w:rFonts w:ascii="Verdana" w:eastAsia="Μοντέρνα" w:hAnsi="Verdana" w:cs="Times New Roman"/>
          <w:sz w:val="16"/>
          <w:szCs w:val="16"/>
          <w:lang w:eastAsia="bg-BG"/>
        </w:rPr>
        <w:t>Всички лица, работещи в дадено предприятие на пълно или непълно работно време, включително сезонните и надомните работници (преизчислени в еквивалент на пълна заетост), работещите собственици, наетите по договор за управление и контрол, наетите по извънтрудови правоотношения (граждански договори), които не работят при друг работодател, и неплатените семейни работници.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-234315</wp:posOffset>
              </wp:positionH>
              <wp:positionV relativeFrom="paragraph">
                <wp:posOffset>-466090</wp:posOffset>
              </wp:positionV>
              <wp:extent cx="6610350" cy="40957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5D9F" w:rsidRPr="00CB0000" w:rsidRDefault="00C25D9F" w:rsidP="00C25D9F">
                          <w:pPr>
                            <w:autoSpaceDE w:val="0"/>
                            <w:autoSpaceDN w:val="0"/>
                            <w:adjustRightInd w:val="0"/>
                            <w:ind w:right="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mallCaps/>
                              <w:sz w:val="20"/>
                              <w:szCs w:val="20"/>
                              <w:lang w:eastAsia="bg-BG"/>
                            </w:rPr>
                          </w:pPr>
                          <w:r w:rsidRPr="00CB0000">
                            <w:rPr>
                              <w:rFonts w:ascii="Verdana" w:eastAsia="Μοντέρνα" w:hAnsi="Verdana" w:cs="Times New Roman"/>
                              <w:b/>
                              <w:smallCaps/>
                              <w:sz w:val="20"/>
                              <w:szCs w:val="20"/>
                              <w:lang w:eastAsia="bg-BG"/>
                            </w:rPr>
                            <w:t>ДЕЙНОСТ НА НЕФИНАНСОВИТЕ ПРЕДПРИЯТИЯ ЗА 2023 ГОДИНА</w:t>
                          </w:r>
                        </w:p>
                        <w:p w:rsidR="00C25D9F" w:rsidRPr="00CB0000" w:rsidRDefault="00C25D9F" w:rsidP="00C25D9F">
                          <w:pPr>
                            <w:autoSpaceDE w:val="0"/>
                            <w:autoSpaceDN w:val="0"/>
                            <w:adjustRightInd w:val="0"/>
                            <w:spacing w:after="240"/>
                            <w:ind w:right="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mallCaps/>
                              <w:sz w:val="20"/>
                              <w:szCs w:val="20"/>
                              <w:lang w:eastAsia="bg-BG"/>
                            </w:rPr>
                          </w:pPr>
                          <w:r w:rsidRPr="00CB0000">
                            <w:rPr>
                              <w:rFonts w:ascii="Verdana" w:eastAsia="Μοντέρνα" w:hAnsi="Verdana" w:cs="Times New Roman"/>
                              <w:b/>
                              <w:smallCaps/>
                              <w:sz w:val="20"/>
                              <w:szCs w:val="20"/>
                              <w:lang w:eastAsia="bg-BG"/>
                            </w:rPr>
                            <w:t>(ПРЕДВАРИТЕЛНИ ДАННИ)</w:t>
                          </w:r>
                        </w:p>
                        <w:p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45pt;margin-top:-36.7pt;width:520.5pt;height:3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38IAIAABsEAAAOAAAAZHJzL2Uyb0RvYy54bWysU9tu2zAMfR+wfxD0vtjJ4rQx4hRdugwD&#10;ugvQ7gNoWY6FSaInKbG7rx+lpGm2vQ3TgyCK5NHhIbW6GY1mB+m8Qlvx6STnTFqBjbK7in973L65&#10;5swHsA1otLLiT9Lzm/XrV6uhL+UMO9SNdIxArC+HvuJdCH2ZZV500oCfYC8tOVt0BgKZbpc1DgZC&#10;Nzqb5fkiG9A1vUMhvafbu6OTrxN+20oRvrStl4HpihO3kHaX9jru2XoF5c5B3ylxogH/wMKAsvTo&#10;GeoOArC9U39BGSUcemzDRKDJsG2VkKkGqmaa/1HNQwe9TLWQOL4/y+T/H6z4fPjqmGoqvuDMgqEW&#10;PcoxsHc4sllUZ+h9SUEPPYWFka6py6lS39+j+O6ZxU0HdidvncOhk9AQu2nMzC5Sjzg+gtTDJ2zo&#10;GdgHTEBj60yUjsRghE5dejp3JlIRdLlYTPO3BbkE+eb5srgq0hNQPmf3zocPEg2Lh4o76nxCh8O9&#10;D5ENlM8h8TGPWjVbpXUy3K7eaMcOQFOyTeuE/luYtmyo+LKYFQnZYsxPA2RUoCnWylT8Oo8rpkMZ&#10;1Xhvm3QOoPTxTEy0PckTFTlqE8Z6pMCoWY3NEwnl8Dit9Lvo0KH7ydlAk1px/2MPTnKmP1oSezmd&#10;z+NoJ2NeXM3IcJee+tIDVhBUxQNnx+MmpO8Q+Vq8paa0Kun1wuTElSYwyXj6LXHEL+0U9fKn178A&#10;AAD//wMAUEsDBBQABgAIAAAAIQARSxMT3wAAAAsBAAAPAAAAZHJzL2Rvd25yZXYueG1sTI/PToNA&#10;EIfvJr7DZky8mHapRSjI0qiJxmtrH2Bhp0BkZwm7LfTtnZ7sbf58+c03xXa2vTjj6DtHClbLCARS&#10;7UxHjYLDz+diA8IHTUb3jlDBBT1sy/u7QufGTbTD8z40gkPI51pBG8KQS+nrFq32Szcg8e7oRqsD&#10;t2MjzagnDre9fI6iRFrdEV9o9YAfLda/+5NVcPyenl6yqfoKh3QXJ++6Syt3UerxYX57BRFwDv8w&#10;XPVZHUp2qtyJjBe9gsU6yRjlIl3HIK5EFMUrEBWPNhnIspC3P5R/AAAA//8DAFBLAQItABQABgAI&#10;AAAAIQC2gziS/gAAAOEBAAATAAAAAAAAAAAAAAAAAAAAAABbQ29udGVudF9UeXBlc10ueG1sUEsB&#10;Ai0AFAAGAAgAAAAhADj9If/WAAAAlAEAAAsAAAAAAAAAAAAAAAAALwEAAF9yZWxzLy5yZWxzUEsB&#10;Ai0AFAAGAAgAAAAhAO1HnfwgAgAAGwQAAA4AAAAAAAAAAAAAAAAALgIAAGRycy9lMm9Eb2MueG1s&#10;UEsBAi0AFAAGAAgAAAAhABFLExPfAAAACwEAAA8AAAAAAAAAAAAAAAAAegQAAGRycy9kb3ducmV2&#10;LnhtbFBLBQYAAAAABAAEAPMAAACGBQAAAAA=&#10;" stroked="f">
              <v:textbox>
                <w:txbxContent>
                  <w:p w:rsidR="00C25D9F" w:rsidRPr="00CB0000" w:rsidRDefault="00C25D9F" w:rsidP="00C25D9F">
                    <w:pPr>
                      <w:autoSpaceDE w:val="0"/>
                      <w:autoSpaceDN w:val="0"/>
                      <w:adjustRightInd w:val="0"/>
                      <w:ind w:right="142"/>
                      <w:jc w:val="center"/>
                      <w:rPr>
                        <w:rFonts w:ascii="Verdana" w:eastAsia="Μοντέρνα" w:hAnsi="Verdana" w:cs="Times New Roman"/>
                        <w:b/>
                        <w:smallCaps/>
                        <w:sz w:val="20"/>
                        <w:szCs w:val="20"/>
                        <w:lang w:eastAsia="bg-BG"/>
                      </w:rPr>
                    </w:pPr>
                    <w:r w:rsidRPr="00CB0000">
                      <w:rPr>
                        <w:rFonts w:ascii="Verdana" w:eastAsia="Μοντέρνα" w:hAnsi="Verdana" w:cs="Times New Roman"/>
                        <w:b/>
                        <w:smallCaps/>
                        <w:sz w:val="20"/>
                        <w:szCs w:val="20"/>
                        <w:lang w:eastAsia="bg-BG"/>
                      </w:rPr>
                      <w:t>ДЕЙНОСТ НА НЕФИНАНСОВИТЕ ПРЕДПРИЯТИЯ ЗА 2023 ГОДИНА</w:t>
                    </w:r>
                  </w:p>
                  <w:p w:rsidR="00C25D9F" w:rsidRPr="00CB0000" w:rsidRDefault="00C25D9F" w:rsidP="00C25D9F">
                    <w:pPr>
                      <w:autoSpaceDE w:val="0"/>
                      <w:autoSpaceDN w:val="0"/>
                      <w:adjustRightInd w:val="0"/>
                      <w:spacing w:after="240"/>
                      <w:ind w:right="142"/>
                      <w:jc w:val="center"/>
                      <w:rPr>
                        <w:rFonts w:ascii="Verdana" w:eastAsia="Μοντέρνα" w:hAnsi="Verdana" w:cs="Times New Roman"/>
                        <w:b/>
                        <w:smallCaps/>
                        <w:sz w:val="20"/>
                        <w:szCs w:val="20"/>
                        <w:lang w:eastAsia="bg-BG"/>
                      </w:rPr>
                    </w:pPr>
                    <w:r w:rsidRPr="00CB0000">
                      <w:rPr>
                        <w:rFonts w:ascii="Verdana" w:eastAsia="Μοντέρνα" w:hAnsi="Verdana" w:cs="Times New Roman"/>
                        <w:b/>
                        <w:smallCaps/>
                        <w:sz w:val="20"/>
                        <w:szCs w:val="20"/>
                        <w:lang w:eastAsia="bg-BG"/>
                      </w:rPr>
                      <w:t>(ПРЕДВАРИТЕЛНИ ДАННИ)</w:t>
                    </w:r>
                  </w:p>
                  <w:p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4B27E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posOffset>-156210</wp:posOffset>
              </wp:positionH>
              <wp:positionV relativeFrom="paragraph">
                <wp:posOffset>-42545</wp:posOffset>
              </wp:positionV>
              <wp:extent cx="601980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6C9D" w:rsidRPr="00CB0000" w:rsidRDefault="004E6C9D" w:rsidP="004E6C9D">
                          <w:pPr>
                            <w:autoSpaceDE w:val="0"/>
                            <w:autoSpaceDN w:val="0"/>
                            <w:adjustRightInd w:val="0"/>
                            <w:ind w:right="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mallCaps/>
                              <w:sz w:val="20"/>
                              <w:szCs w:val="20"/>
                              <w:lang w:eastAsia="bg-BG"/>
                            </w:rPr>
                          </w:pPr>
                          <w:r w:rsidRPr="00CB0000">
                            <w:rPr>
                              <w:rFonts w:ascii="Verdana" w:eastAsia="Μοντέρνα" w:hAnsi="Verdana" w:cs="Times New Roman"/>
                              <w:b/>
                              <w:smallCaps/>
                              <w:sz w:val="20"/>
                              <w:szCs w:val="20"/>
                              <w:lang w:eastAsia="bg-BG"/>
                            </w:rPr>
                            <w:t>ДЕЙНОСТ НА НЕФИНАНСОВИТЕ ПРЕДПРИЯТИЯ ЗА 2023 ГОДИНА</w:t>
                          </w:r>
                        </w:p>
                        <w:p w:rsidR="004E6C9D" w:rsidRPr="00CB0000" w:rsidRDefault="004E6C9D" w:rsidP="004E6C9D">
                          <w:pPr>
                            <w:autoSpaceDE w:val="0"/>
                            <w:autoSpaceDN w:val="0"/>
                            <w:adjustRightInd w:val="0"/>
                            <w:spacing w:after="240"/>
                            <w:ind w:right="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mallCaps/>
                              <w:sz w:val="20"/>
                              <w:szCs w:val="20"/>
                              <w:lang w:eastAsia="bg-BG"/>
                            </w:rPr>
                          </w:pPr>
                          <w:r w:rsidRPr="00CB0000">
                            <w:rPr>
                              <w:rFonts w:ascii="Verdana" w:eastAsia="Μοντέρνα" w:hAnsi="Verdana" w:cs="Times New Roman"/>
                              <w:b/>
                              <w:smallCaps/>
                              <w:sz w:val="20"/>
                              <w:szCs w:val="20"/>
                              <w:lang w:eastAsia="bg-BG"/>
                            </w:rPr>
                            <w:t>(ПРЕДВАРИТЕЛНИ ДАННИ)</w:t>
                          </w:r>
                        </w:p>
                        <w:p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2.3pt;margin-top:-3.35pt;width:474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05IAIAACMEAAAOAAAAZHJzL2Uyb0RvYy54bWysU9tu2zAMfR+wfxD0vtgJkq4x6hRdugwD&#10;ugvQ7gNoWY6FSaImKbGzrx+lpGm2vQ3Tg0CJ5NHhIXVzOxrN9tIHhbbm00nJmbQCW2W3Nf/2tHlz&#10;zVmIYFvQaGXNDzLw29XrVzeDq+QMe9St9IxAbKgGV/M+RlcVRRC9NBAm6KQlZ4feQKSj3xath4HQ&#10;jS5mZXlVDOhb51HIEOj2/ujkq4zfdVLEL10XZGS65sQt5t3nvUl7sbqBauvB9UqcaMA/sDCgLD16&#10;hrqHCGzn1V9QRgmPAbs4EWgK7DolZK6BqpmWf1Tz2IOTuRYSJ7izTOH/wYrP+6+eqbbmsyVnFgz1&#10;6EmOkb3Dkc2SPIMLFUU9OoqLI11Tm3OpwT2g+B6YxXUPdivvvMehl9ASvWnKLC5SjzghgTTDJ2zp&#10;GdhFzEBj503SjtRghE5tOpxbk6gIurwqp8vrklyCfPPFW+p9fgKq52znQ/wg0bBk1NxT6zM67B9C&#10;TGygeg5JjwXUqt0orfPBb5u19mwPNCabvE7ov4Vpy4aaLxezRUa2mPLzBBkVaYy1MjUnlrRSOlRJ&#10;jfe2zXYEpY82MdH2JE9S5KhNHJsxN2KecpN0DbYH0svjcWrpl5HRo//J2UATW/PwYwdecqY/WtJ8&#10;OZ3P04jnQ5aIM3/paS49YAVB1TxydjTXMX+LRNviHfWmU1m2FyYnyjSJWc3Tr0mjfnnOUS9/e/UL&#10;AAD//wMAUEsDBBQABgAIAAAAIQBsy6UR3gAAAAkBAAAPAAAAZHJzL2Rvd25yZXYueG1sTI/BToNA&#10;EIbvJr7DZky8mHaR0sVSlkZNNF5b+wADbIGUnSXsttC3dzzpbSbz5Z/vz3ez7cXVjL5zpOF5GYEw&#10;VLm6o0bD8ftj8QLCB6Qae0dGw8142BX3dzlmtZtob66H0AgOIZ+hhjaEIZPSV62x6JduMMS3kxst&#10;Bl7HRtYjThxuexlHkZIWO+IPLQ7mvTXV+XCxGk5f09N6M5Wf4ZjuE/WGXVq6m9aPD/PrFkQwc/iD&#10;4Vef1aFgp9JdqPai17CIE8UoDyoFwcAmXiUgSg1qvQJZ5PJ/g+IHAAD//wMAUEsBAi0AFAAGAAgA&#10;AAAhALaDOJL+AAAA4QEAABMAAAAAAAAAAAAAAAAAAAAAAFtDb250ZW50X1R5cGVzXS54bWxQSwEC&#10;LQAUAAYACAAAACEAOP0h/9YAAACUAQAACwAAAAAAAAAAAAAAAAAvAQAAX3JlbHMvLnJlbHNQSwEC&#10;LQAUAAYACAAAACEAxq3dOSACAAAjBAAADgAAAAAAAAAAAAAAAAAuAgAAZHJzL2Uyb0RvYy54bWxQ&#10;SwECLQAUAAYACAAAACEAbMulEd4AAAAJAQAADwAAAAAAAAAAAAAAAAB6BAAAZHJzL2Rvd25yZXYu&#10;eG1sUEsFBgAAAAAEAAQA8wAAAIUFAAAAAA==&#10;" stroked="f">
              <v:textbox>
                <w:txbxContent>
                  <w:p w:rsidR="004E6C9D" w:rsidRPr="00CB0000" w:rsidRDefault="004E6C9D" w:rsidP="004E6C9D">
                    <w:pPr>
                      <w:autoSpaceDE w:val="0"/>
                      <w:autoSpaceDN w:val="0"/>
                      <w:adjustRightInd w:val="0"/>
                      <w:ind w:right="142"/>
                      <w:jc w:val="center"/>
                      <w:rPr>
                        <w:rFonts w:ascii="Verdana" w:eastAsia="Μοντέρνα" w:hAnsi="Verdana" w:cs="Times New Roman"/>
                        <w:b/>
                        <w:smallCaps/>
                        <w:sz w:val="20"/>
                        <w:szCs w:val="20"/>
                        <w:lang w:eastAsia="bg-BG"/>
                      </w:rPr>
                    </w:pPr>
                    <w:r w:rsidRPr="00CB0000">
                      <w:rPr>
                        <w:rFonts w:ascii="Verdana" w:eastAsia="Μοντέρνα" w:hAnsi="Verdana" w:cs="Times New Roman"/>
                        <w:b/>
                        <w:smallCaps/>
                        <w:sz w:val="20"/>
                        <w:szCs w:val="20"/>
                        <w:lang w:eastAsia="bg-BG"/>
                      </w:rPr>
                      <w:t>ДЕЙНОСТ НА НЕФИНАНСОВИТЕ ПРЕДПРИЯТИЯ ЗА 2023 ГОДИНА</w:t>
                    </w:r>
                  </w:p>
                  <w:p w:rsidR="004E6C9D" w:rsidRPr="00CB0000" w:rsidRDefault="004E6C9D" w:rsidP="004E6C9D">
                    <w:pPr>
                      <w:autoSpaceDE w:val="0"/>
                      <w:autoSpaceDN w:val="0"/>
                      <w:adjustRightInd w:val="0"/>
                      <w:spacing w:after="240"/>
                      <w:ind w:right="142"/>
                      <w:jc w:val="center"/>
                      <w:rPr>
                        <w:rFonts w:ascii="Verdana" w:eastAsia="Μοντέρνα" w:hAnsi="Verdana" w:cs="Times New Roman"/>
                        <w:b/>
                        <w:smallCaps/>
                        <w:sz w:val="20"/>
                        <w:szCs w:val="20"/>
                        <w:lang w:eastAsia="bg-BG"/>
                      </w:rPr>
                    </w:pPr>
                    <w:r w:rsidRPr="00CB0000">
                      <w:rPr>
                        <w:rFonts w:ascii="Verdana" w:eastAsia="Μοντέρνα" w:hAnsi="Verdana" w:cs="Times New Roman"/>
                        <w:b/>
                        <w:smallCaps/>
                        <w:sz w:val="20"/>
                        <w:szCs w:val="20"/>
                        <w:lang w:eastAsia="bg-BG"/>
                      </w:rPr>
                      <w:t>(ПРЕДВАРИТЕЛНИ ДАННИ)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posOffset>-158750</wp:posOffset>
              </wp:positionH>
              <wp:positionV relativeFrom="paragraph">
                <wp:posOffset>523240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D93BF" id="Graphic 7" o:spid="_x0000_s1026" style="position:absolute;margin-left:-12.5pt;margin-top:41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9enx9wAAAAJAQAADwAAAGRycy9kb3ducmV2Lnht&#10;bEyPwU7DMBBE70j8g7VI3FqnAaoQ4lQFxBWpLR/g2IsTNV6H2G3Sv2d7gtvuzmj2TbWZfS/OOMYu&#10;kILVMgOBZILtyCn4OnwsChAxabK6D4QKLhhhU9/eVLq0YaIdnvfJCQ6hWGoFbUpDKWU0LXodl2FA&#10;Yu07jF4nXkcn7agnDve9zLNsLb3uiD+0esC3Fs1xf/IKJtyZ1fTZFG5+/Rnc+9Fs50uh1P3dvH0B&#10;kXBOf2a44jM61MzUhBPZKHoFi/yJuyQFRf4Igg3PDxkPzfWwBllX8n+D+hcAAP//AwBQSwECLQAU&#10;AAYACAAAACEAtoM4kv4AAADhAQAAEwAAAAAAAAAAAAAAAAAAAAAAW0NvbnRlbnRfVHlwZXNdLnht&#10;bFBLAQItABQABgAIAAAAIQA4/SH/1gAAAJQBAAALAAAAAAAAAAAAAAAAAC8BAABfcmVscy8ucmVs&#10;c1BLAQItABQABgAIAAAAIQD/v3yRJwIAAIAEAAAOAAAAAAAAAAAAAAAAAC4CAABkcnMvZTJvRG9j&#10;LnhtbFBLAQItABQABgAIAAAAIQCn16fH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1789"/>
    <w:rsid w:val="000221C7"/>
    <w:rsid w:val="00027C8B"/>
    <w:rsid w:val="00033AE9"/>
    <w:rsid w:val="000455B9"/>
    <w:rsid w:val="000462D4"/>
    <w:rsid w:val="00055822"/>
    <w:rsid w:val="00055BEB"/>
    <w:rsid w:val="00056298"/>
    <w:rsid w:val="0005662F"/>
    <w:rsid w:val="0005764D"/>
    <w:rsid w:val="0006051E"/>
    <w:rsid w:val="000607BC"/>
    <w:rsid w:val="00074854"/>
    <w:rsid w:val="00077C97"/>
    <w:rsid w:val="000A5E3A"/>
    <w:rsid w:val="000B17C2"/>
    <w:rsid w:val="000B2B10"/>
    <w:rsid w:val="000C0D56"/>
    <w:rsid w:val="000C5D83"/>
    <w:rsid w:val="000F0B88"/>
    <w:rsid w:val="000F243D"/>
    <w:rsid w:val="00101DE0"/>
    <w:rsid w:val="00136A7D"/>
    <w:rsid w:val="00160483"/>
    <w:rsid w:val="0016260B"/>
    <w:rsid w:val="00167C58"/>
    <w:rsid w:val="00171C36"/>
    <w:rsid w:val="0017512A"/>
    <w:rsid w:val="001901A0"/>
    <w:rsid w:val="001B03D8"/>
    <w:rsid w:val="001E0690"/>
    <w:rsid w:val="001E5BA2"/>
    <w:rsid w:val="001E7AC3"/>
    <w:rsid w:val="00214ACA"/>
    <w:rsid w:val="00270A6C"/>
    <w:rsid w:val="002B3C6A"/>
    <w:rsid w:val="002C72D4"/>
    <w:rsid w:val="002F34C7"/>
    <w:rsid w:val="00332C88"/>
    <w:rsid w:val="00336556"/>
    <w:rsid w:val="00354411"/>
    <w:rsid w:val="0036071F"/>
    <w:rsid w:val="00364357"/>
    <w:rsid w:val="0038746A"/>
    <w:rsid w:val="003A4482"/>
    <w:rsid w:val="003A749E"/>
    <w:rsid w:val="003B0302"/>
    <w:rsid w:val="003B2503"/>
    <w:rsid w:val="003B42F8"/>
    <w:rsid w:val="003B46BA"/>
    <w:rsid w:val="003C2111"/>
    <w:rsid w:val="003D1AE2"/>
    <w:rsid w:val="003D5F6D"/>
    <w:rsid w:val="003E3BDE"/>
    <w:rsid w:val="00411E86"/>
    <w:rsid w:val="00417245"/>
    <w:rsid w:val="00417D49"/>
    <w:rsid w:val="00446CF4"/>
    <w:rsid w:val="004760D3"/>
    <w:rsid w:val="00486232"/>
    <w:rsid w:val="0049460B"/>
    <w:rsid w:val="004B27E6"/>
    <w:rsid w:val="004B6D93"/>
    <w:rsid w:val="004E6C9D"/>
    <w:rsid w:val="004F064E"/>
    <w:rsid w:val="004F37B7"/>
    <w:rsid w:val="00504148"/>
    <w:rsid w:val="0051179C"/>
    <w:rsid w:val="00520539"/>
    <w:rsid w:val="00542245"/>
    <w:rsid w:val="00552EA8"/>
    <w:rsid w:val="00570EE8"/>
    <w:rsid w:val="00583D89"/>
    <w:rsid w:val="005B4023"/>
    <w:rsid w:val="005C615B"/>
    <w:rsid w:val="005D4C89"/>
    <w:rsid w:val="005F4002"/>
    <w:rsid w:val="00611374"/>
    <w:rsid w:val="006120F5"/>
    <w:rsid w:val="00614AED"/>
    <w:rsid w:val="00644D53"/>
    <w:rsid w:val="00654814"/>
    <w:rsid w:val="006548D0"/>
    <w:rsid w:val="00690338"/>
    <w:rsid w:val="006A212D"/>
    <w:rsid w:val="006A4A94"/>
    <w:rsid w:val="006D1BE4"/>
    <w:rsid w:val="006D27D4"/>
    <w:rsid w:val="00704539"/>
    <w:rsid w:val="00717402"/>
    <w:rsid w:val="007302C5"/>
    <w:rsid w:val="007536EC"/>
    <w:rsid w:val="00757AEB"/>
    <w:rsid w:val="00764226"/>
    <w:rsid w:val="007660A2"/>
    <w:rsid w:val="00797E38"/>
    <w:rsid w:val="007A0F4C"/>
    <w:rsid w:val="007C61E0"/>
    <w:rsid w:val="007C7A6A"/>
    <w:rsid w:val="007E4F72"/>
    <w:rsid w:val="007E7CDD"/>
    <w:rsid w:val="007F116A"/>
    <w:rsid w:val="007F17B3"/>
    <w:rsid w:val="00805CFF"/>
    <w:rsid w:val="00832FE1"/>
    <w:rsid w:val="00836B2B"/>
    <w:rsid w:val="00870559"/>
    <w:rsid w:val="008748F1"/>
    <w:rsid w:val="00881B14"/>
    <w:rsid w:val="00882C27"/>
    <w:rsid w:val="00883238"/>
    <w:rsid w:val="00893897"/>
    <w:rsid w:val="008977F4"/>
    <w:rsid w:val="008A43C4"/>
    <w:rsid w:val="008D0332"/>
    <w:rsid w:val="008D16A1"/>
    <w:rsid w:val="008D3797"/>
    <w:rsid w:val="008D4D52"/>
    <w:rsid w:val="008D720B"/>
    <w:rsid w:val="008E71E8"/>
    <w:rsid w:val="008F3BA5"/>
    <w:rsid w:val="00904857"/>
    <w:rsid w:val="009073BB"/>
    <w:rsid w:val="00922A44"/>
    <w:rsid w:val="0094060D"/>
    <w:rsid w:val="00943285"/>
    <w:rsid w:val="00947EBF"/>
    <w:rsid w:val="00982E42"/>
    <w:rsid w:val="00984BAC"/>
    <w:rsid w:val="0099588F"/>
    <w:rsid w:val="009C4005"/>
    <w:rsid w:val="009E4021"/>
    <w:rsid w:val="009F240E"/>
    <w:rsid w:val="009F4E19"/>
    <w:rsid w:val="00A14E83"/>
    <w:rsid w:val="00A212DF"/>
    <w:rsid w:val="00A7142A"/>
    <w:rsid w:val="00A856B2"/>
    <w:rsid w:val="00A869E9"/>
    <w:rsid w:val="00AA6CDA"/>
    <w:rsid w:val="00AB3A4C"/>
    <w:rsid w:val="00AC3D78"/>
    <w:rsid w:val="00AE4196"/>
    <w:rsid w:val="00AE72B9"/>
    <w:rsid w:val="00AF2D94"/>
    <w:rsid w:val="00B0333E"/>
    <w:rsid w:val="00B07D27"/>
    <w:rsid w:val="00B42D79"/>
    <w:rsid w:val="00B53217"/>
    <w:rsid w:val="00B55B11"/>
    <w:rsid w:val="00B77149"/>
    <w:rsid w:val="00B8402A"/>
    <w:rsid w:val="00BA1526"/>
    <w:rsid w:val="00BB1D38"/>
    <w:rsid w:val="00BB2234"/>
    <w:rsid w:val="00C06294"/>
    <w:rsid w:val="00C14799"/>
    <w:rsid w:val="00C22E8B"/>
    <w:rsid w:val="00C25D9F"/>
    <w:rsid w:val="00C50ADB"/>
    <w:rsid w:val="00C616FD"/>
    <w:rsid w:val="00C70D49"/>
    <w:rsid w:val="00C721EF"/>
    <w:rsid w:val="00C93974"/>
    <w:rsid w:val="00CA0766"/>
    <w:rsid w:val="00CA4124"/>
    <w:rsid w:val="00CB0000"/>
    <w:rsid w:val="00CB1DAE"/>
    <w:rsid w:val="00CB27B6"/>
    <w:rsid w:val="00CC771A"/>
    <w:rsid w:val="00CD4471"/>
    <w:rsid w:val="00CF47CB"/>
    <w:rsid w:val="00D015A7"/>
    <w:rsid w:val="00D17DFB"/>
    <w:rsid w:val="00D31E34"/>
    <w:rsid w:val="00D378CE"/>
    <w:rsid w:val="00D667D2"/>
    <w:rsid w:val="00D82477"/>
    <w:rsid w:val="00D827FD"/>
    <w:rsid w:val="00D873BC"/>
    <w:rsid w:val="00DA395A"/>
    <w:rsid w:val="00DA49A7"/>
    <w:rsid w:val="00DC4961"/>
    <w:rsid w:val="00DD11CB"/>
    <w:rsid w:val="00DE20CA"/>
    <w:rsid w:val="00DE4F56"/>
    <w:rsid w:val="00E00459"/>
    <w:rsid w:val="00E13DB4"/>
    <w:rsid w:val="00E15CF9"/>
    <w:rsid w:val="00E563C3"/>
    <w:rsid w:val="00E63C3F"/>
    <w:rsid w:val="00E67823"/>
    <w:rsid w:val="00E92B23"/>
    <w:rsid w:val="00E93432"/>
    <w:rsid w:val="00EB5089"/>
    <w:rsid w:val="00EC4148"/>
    <w:rsid w:val="00EE17F8"/>
    <w:rsid w:val="00F47A82"/>
    <w:rsid w:val="00F47BDC"/>
    <w:rsid w:val="00F55102"/>
    <w:rsid w:val="00FA00E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D66C4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CB0000"/>
  </w:style>
  <w:style w:type="character" w:styleId="Hyperlink">
    <w:name w:val="Hyperlink"/>
    <w:uiPriority w:val="99"/>
    <w:unhideWhenUsed/>
    <w:rsid w:val="00CB000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B0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00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00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000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7.jpeg"/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3853-8085-4E46-896A-83DF7A08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Maya Y. Simeonova</cp:lastModifiedBy>
  <cp:revision>18</cp:revision>
  <dcterms:created xsi:type="dcterms:W3CDTF">2024-08-20T10:19:00Z</dcterms:created>
  <dcterms:modified xsi:type="dcterms:W3CDTF">2024-08-22T12:42:00Z</dcterms:modified>
</cp:coreProperties>
</file>