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1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D2CBE" w14:textId="2DF734D7" w:rsidR="001D1EAB" w:rsidRDefault="001D1EAB" w:rsidP="000146DA">
      <w:pPr>
        <w:spacing w:after="120" w:line="240" w:lineRule="auto"/>
        <w:jc w:val="both"/>
        <w:rPr>
          <w:rFonts w:ascii="Tahoma" w:hAnsi="Tahoma" w:cs="Tahoma"/>
          <w:i/>
          <w:sz w:val="20"/>
          <w:szCs w:val="20"/>
          <w:u w:val="single"/>
        </w:rPr>
      </w:pPr>
    </w:p>
    <w:p w14:paraId="648FD8EE" w14:textId="59A4C7CB" w:rsidR="000146DA" w:rsidRDefault="00D6143F" w:rsidP="00D6143F">
      <w:pPr>
        <w:spacing w:after="120" w:line="240" w:lineRule="auto"/>
        <w:jc w:val="center"/>
        <w:rPr>
          <w:rFonts w:ascii="Tahoma" w:hAnsi="Tahoma" w:cs="Tahoma"/>
          <w:b/>
          <w:bCs/>
          <w:iCs/>
          <w:sz w:val="20"/>
          <w:szCs w:val="20"/>
        </w:rPr>
      </w:pPr>
      <w:r w:rsidRPr="00D6143F">
        <w:rPr>
          <w:rFonts w:ascii="Tahoma" w:hAnsi="Tahoma" w:cs="Tahoma"/>
          <w:b/>
          <w:bCs/>
          <w:iCs/>
          <w:sz w:val="20"/>
          <w:szCs w:val="20"/>
        </w:rPr>
        <w:t xml:space="preserve">По-младите поколения са по-склонни към мислене и нагласи, повлияни от </w:t>
      </w:r>
      <w:proofErr w:type="spellStart"/>
      <w:r w:rsidRPr="00D6143F">
        <w:rPr>
          <w:rFonts w:ascii="Tahoma" w:hAnsi="Tahoma" w:cs="Tahoma"/>
          <w:b/>
          <w:bCs/>
          <w:iCs/>
          <w:sz w:val="20"/>
          <w:szCs w:val="20"/>
        </w:rPr>
        <w:t>ейджизъм</w:t>
      </w:r>
      <w:proofErr w:type="spellEnd"/>
      <w:r>
        <w:rPr>
          <w:rFonts w:ascii="Tahoma" w:hAnsi="Tahoma" w:cs="Tahoma"/>
          <w:b/>
          <w:bCs/>
          <w:iCs/>
          <w:sz w:val="20"/>
          <w:szCs w:val="20"/>
        </w:rPr>
        <w:t xml:space="preserve"> </w:t>
      </w:r>
    </w:p>
    <w:p w14:paraId="0DC2F671" w14:textId="438BA9D5" w:rsidR="00D6143F" w:rsidRPr="00D6143F" w:rsidRDefault="00D6143F" w:rsidP="00D6143F">
      <w:pPr>
        <w:pBdr>
          <w:bottom w:val="single" w:sz="4" w:space="1" w:color="auto"/>
        </w:pBdr>
        <w:spacing w:after="120" w:line="240" w:lineRule="auto"/>
        <w:jc w:val="center"/>
        <w:rPr>
          <w:rFonts w:ascii="Tahoma" w:hAnsi="Tahoma" w:cs="Tahoma"/>
          <w:i/>
          <w:sz w:val="20"/>
          <w:szCs w:val="20"/>
        </w:rPr>
      </w:pPr>
      <w:r w:rsidRPr="00D6143F">
        <w:rPr>
          <w:rFonts w:ascii="Tahoma" w:hAnsi="Tahoma" w:cs="Tahoma"/>
          <w:i/>
          <w:sz w:val="20"/>
          <w:szCs w:val="20"/>
        </w:rPr>
        <w:t>Д</w:t>
      </w:r>
      <w:r w:rsidRPr="00D6143F">
        <w:rPr>
          <w:rFonts w:ascii="Tahoma" w:hAnsi="Tahoma" w:cs="Tahoma"/>
          <w:i/>
          <w:sz w:val="20"/>
          <w:szCs w:val="20"/>
        </w:rPr>
        <w:t>истанцията във възрастта остава значим фактор за неразбирателството и проблемите в общуването и междуличностното взаимодействието на работното място</w:t>
      </w:r>
    </w:p>
    <w:p w14:paraId="63C266A0" w14:textId="77777777" w:rsidR="00D4304F" w:rsidRDefault="000146DA" w:rsidP="00D4304F">
      <w:pPr>
        <w:spacing w:after="120" w:line="240" w:lineRule="auto"/>
        <w:ind w:firstLine="567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Експертни екипи на Българската стопанска камара осъществиха </w:t>
      </w:r>
      <w:r w:rsidRPr="000146DA">
        <w:rPr>
          <w:rFonts w:ascii="Tahoma" w:hAnsi="Tahoma" w:cs="Tahoma"/>
          <w:b/>
          <w:bCs/>
          <w:iCs/>
          <w:sz w:val="20"/>
          <w:szCs w:val="20"/>
        </w:rPr>
        <w:t xml:space="preserve">анализи </w:t>
      </w:r>
      <w:r>
        <w:rPr>
          <w:rFonts w:ascii="Tahoma" w:hAnsi="Tahoma" w:cs="Tahoma"/>
          <w:b/>
          <w:bCs/>
          <w:iCs/>
          <w:sz w:val="20"/>
          <w:szCs w:val="20"/>
        </w:rPr>
        <w:t xml:space="preserve">(одити) </w:t>
      </w:r>
      <w:r w:rsidRPr="000146DA">
        <w:rPr>
          <w:rFonts w:ascii="Tahoma" w:hAnsi="Tahoma" w:cs="Tahoma"/>
          <w:b/>
          <w:bCs/>
          <w:iCs/>
          <w:sz w:val="20"/>
          <w:szCs w:val="20"/>
        </w:rPr>
        <w:t>на възрастовото многообразие на работната сила в пет икономически сектора</w:t>
      </w:r>
      <w:r>
        <w:rPr>
          <w:rFonts w:ascii="Tahoma" w:hAnsi="Tahoma" w:cs="Tahoma"/>
          <w:iCs/>
          <w:sz w:val="20"/>
          <w:szCs w:val="20"/>
        </w:rPr>
        <w:t xml:space="preserve"> – консервна промишленост, дървообработваща и мебелна промишленост, металургия, производство на пиво, </w:t>
      </w:r>
      <w:r w:rsidRPr="000146DA">
        <w:rPr>
          <w:rFonts w:ascii="Tahoma" w:hAnsi="Tahoma" w:cs="Tahoma"/>
          <w:iCs/>
          <w:sz w:val="20"/>
          <w:szCs w:val="20"/>
        </w:rPr>
        <w:t>търговията с петролни продукти</w:t>
      </w:r>
      <w:r>
        <w:rPr>
          <w:rFonts w:ascii="Tahoma" w:hAnsi="Tahoma" w:cs="Tahoma"/>
          <w:iCs/>
          <w:sz w:val="20"/>
          <w:szCs w:val="20"/>
        </w:rPr>
        <w:t>. Анализите са осъществени в рамките на проект „</w:t>
      </w:r>
      <w:hyperlink r:id="rId7" w:history="1">
        <w:r w:rsidRPr="000146DA">
          <w:rPr>
            <w:rStyle w:val="Hyperlink"/>
            <w:rFonts w:ascii="Tahoma" w:hAnsi="Tahoma" w:cs="Tahoma"/>
            <w:iCs/>
            <w:sz w:val="20"/>
            <w:szCs w:val="20"/>
          </w:rPr>
          <w:t>Заедно за устойчива заетост</w:t>
        </w:r>
      </w:hyperlink>
      <w:r>
        <w:rPr>
          <w:rFonts w:ascii="Tahoma" w:hAnsi="Tahoma" w:cs="Tahoma"/>
          <w:iCs/>
          <w:sz w:val="20"/>
          <w:szCs w:val="20"/>
        </w:rPr>
        <w:t>“, изпълняван от БСК в партньорство с МТСП и КНСБ в периода 2024-2027 г. и финансиран от Програма „Развитие на човешките ресурси“.</w:t>
      </w:r>
      <w:r w:rsidR="00D4304F">
        <w:rPr>
          <w:rFonts w:ascii="Tahoma" w:hAnsi="Tahoma" w:cs="Tahoma"/>
          <w:iCs/>
          <w:sz w:val="20"/>
          <w:szCs w:val="20"/>
        </w:rPr>
        <w:t xml:space="preserve"> </w:t>
      </w:r>
    </w:p>
    <w:p w14:paraId="73DE5F86" w14:textId="3BCFB5F0" w:rsidR="00D4304F" w:rsidRPr="00D4304F" w:rsidRDefault="00D4304F" w:rsidP="00D4304F">
      <w:pPr>
        <w:spacing w:after="120" w:line="240" w:lineRule="auto"/>
        <w:ind w:firstLine="567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За анализите е ползвана разработена в рамките на проекта </w:t>
      </w:r>
      <w:r w:rsidRPr="00D4304F">
        <w:rPr>
          <w:rFonts w:ascii="Tahoma" w:hAnsi="Tahoma" w:cs="Tahoma"/>
          <w:b/>
          <w:bCs/>
          <w:iCs/>
          <w:sz w:val="20"/>
          <w:szCs w:val="20"/>
        </w:rPr>
        <w:t>Методика</w:t>
      </w:r>
      <w:r w:rsidRPr="00D4304F">
        <w:rPr>
          <w:rFonts w:ascii="Tahoma" w:hAnsi="Tahoma" w:cs="Tahoma"/>
          <w:iCs/>
          <w:sz w:val="20"/>
          <w:szCs w:val="20"/>
        </w:rPr>
        <w:t xml:space="preserve"> за одит на възрастовото многообразие на работната сила</w:t>
      </w:r>
      <w:r>
        <w:rPr>
          <w:rFonts w:ascii="Tahoma" w:hAnsi="Tahoma" w:cs="Tahoma"/>
          <w:iCs/>
          <w:sz w:val="20"/>
          <w:szCs w:val="20"/>
        </w:rPr>
        <w:t xml:space="preserve">, а в проучването са включени пропорционален брой големи, средни и малки предприятия от избраните пет икономически сектора. </w:t>
      </w:r>
      <w:r w:rsidRPr="00D4304F">
        <w:rPr>
          <w:rFonts w:ascii="Tahoma" w:hAnsi="Tahoma" w:cs="Tahoma"/>
          <w:iCs/>
          <w:sz w:val="20"/>
          <w:szCs w:val="20"/>
        </w:rPr>
        <w:t xml:space="preserve">В обхвата на одита </w:t>
      </w:r>
      <w:r>
        <w:rPr>
          <w:rFonts w:ascii="Tahoma" w:hAnsi="Tahoma" w:cs="Tahoma"/>
          <w:iCs/>
          <w:sz w:val="20"/>
          <w:szCs w:val="20"/>
        </w:rPr>
        <w:t>са</w:t>
      </w:r>
      <w:r w:rsidRPr="00D4304F">
        <w:rPr>
          <w:rFonts w:ascii="Tahoma" w:hAnsi="Tahoma" w:cs="Tahoma"/>
          <w:iCs/>
          <w:sz w:val="20"/>
          <w:szCs w:val="20"/>
        </w:rPr>
        <w:t xml:space="preserve"> включени следните проблеми: </w:t>
      </w:r>
    </w:p>
    <w:p w14:paraId="35039EA0" w14:textId="2C613390" w:rsidR="00D4304F" w:rsidRPr="00D4304F" w:rsidRDefault="00D4304F" w:rsidP="00D4304F">
      <w:pPr>
        <w:pStyle w:val="ListParagraph"/>
        <w:numPr>
          <w:ilvl w:val="0"/>
          <w:numId w:val="9"/>
        </w:numPr>
        <w:spacing w:after="120" w:line="240" w:lineRule="auto"/>
        <w:ind w:left="916" w:hanging="349"/>
        <w:jc w:val="both"/>
        <w:rPr>
          <w:rFonts w:ascii="Tahoma" w:hAnsi="Tahoma" w:cs="Tahoma"/>
          <w:iCs/>
          <w:sz w:val="20"/>
          <w:szCs w:val="20"/>
        </w:rPr>
      </w:pPr>
      <w:r w:rsidRPr="00D4304F">
        <w:rPr>
          <w:rFonts w:ascii="Tahoma" w:hAnsi="Tahoma" w:cs="Tahoma"/>
          <w:iCs/>
          <w:sz w:val="20"/>
          <w:szCs w:val="20"/>
        </w:rPr>
        <w:t>демографска характеристика на работната сила и степен на съответствие на стратегията и бизнес целите на предприятията;</w:t>
      </w:r>
    </w:p>
    <w:p w14:paraId="66E93F35" w14:textId="340417EB" w:rsidR="00D4304F" w:rsidRPr="00D4304F" w:rsidRDefault="00D4304F" w:rsidP="00D4304F">
      <w:pPr>
        <w:pStyle w:val="ListParagraph"/>
        <w:numPr>
          <w:ilvl w:val="0"/>
          <w:numId w:val="9"/>
        </w:numPr>
        <w:spacing w:after="120" w:line="240" w:lineRule="auto"/>
        <w:ind w:left="916" w:hanging="349"/>
        <w:jc w:val="both"/>
        <w:rPr>
          <w:rFonts w:ascii="Tahoma" w:hAnsi="Tahoma" w:cs="Tahoma"/>
          <w:iCs/>
          <w:sz w:val="20"/>
          <w:szCs w:val="20"/>
        </w:rPr>
      </w:pPr>
      <w:r w:rsidRPr="00D4304F">
        <w:rPr>
          <w:rFonts w:ascii="Tahoma" w:hAnsi="Tahoma" w:cs="Tahoma"/>
          <w:iCs/>
          <w:sz w:val="20"/>
          <w:szCs w:val="20"/>
        </w:rPr>
        <w:t>състояние, проблеми и тенденции в управлението на човешките ресурси;</w:t>
      </w:r>
    </w:p>
    <w:p w14:paraId="0C485F28" w14:textId="008CB2DE" w:rsidR="00D4304F" w:rsidRPr="000B2242" w:rsidRDefault="00D4304F" w:rsidP="00D4304F">
      <w:pPr>
        <w:pStyle w:val="ListParagraph"/>
        <w:numPr>
          <w:ilvl w:val="0"/>
          <w:numId w:val="8"/>
        </w:numPr>
        <w:spacing w:after="120" w:line="240" w:lineRule="auto"/>
        <w:ind w:left="916" w:hanging="349"/>
        <w:jc w:val="both"/>
        <w:rPr>
          <w:rFonts w:ascii="Tahoma" w:hAnsi="Tahoma" w:cs="Tahoma"/>
          <w:iCs/>
          <w:sz w:val="20"/>
          <w:szCs w:val="20"/>
        </w:rPr>
      </w:pPr>
      <w:r w:rsidRPr="000B2242">
        <w:rPr>
          <w:rFonts w:ascii="Tahoma" w:hAnsi="Tahoma" w:cs="Tahoma"/>
          <w:iCs/>
          <w:sz w:val="20"/>
          <w:szCs w:val="20"/>
        </w:rPr>
        <w:t xml:space="preserve">прояви на </w:t>
      </w:r>
      <w:proofErr w:type="spellStart"/>
      <w:r w:rsidRPr="000B2242">
        <w:rPr>
          <w:rFonts w:ascii="Tahoma" w:hAnsi="Tahoma" w:cs="Tahoma"/>
          <w:iCs/>
          <w:sz w:val="20"/>
          <w:szCs w:val="20"/>
        </w:rPr>
        <w:t>ейджизъм</w:t>
      </w:r>
      <w:proofErr w:type="spellEnd"/>
      <w:r w:rsidRPr="000B2242">
        <w:rPr>
          <w:rFonts w:ascii="Tahoma" w:hAnsi="Tahoma" w:cs="Tahoma"/>
          <w:iCs/>
          <w:sz w:val="20"/>
          <w:szCs w:val="20"/>
        </w:rPr>
        <w:t>, предубеждения и дискриминация към възрастта на</w:t>
      </w:r>
      <w:r w:rsidR="000B2242">
        <w:rPr>
          <w:rFonts w:ascii="Tahoma" w:hAnsi="Tahoma" w:cs="Tahoma"/>
          <w:iCs/>
          <w:sz w:val="20"/>
          <w:szCs w:val="20"/>
        </w:rPr>
        <w:t xml:space="preserve"> </w:t>
      </w:r>
      <w:r w:rsidRPr="000B2242">
        <w:rPr>
          <w:rFonts w:ascii="Tahoma" w:hAnsi="Tahoma" w:cs="Tahoma"/>
          <w:iCs/>
          <w:sz w:val="20"/>
          <w:szCs w:val="20"/>
        </w:rPr>
        <w:t>работното място;</w:t>
      </w:r>
    </w:p>
    <w:p w14:paraId="721C2992" w14:textId="77BAE5E5" w:rsidR="000146DA" w:rsidRPr="00D4304F" w:rsidRDefault="00D4304F" w:rsidP="00D4304F">
      <w:pPr>
        <w:pStyle w:val="ListParagraph"/>
        <w:numPr>
          <w:ilvl w:val="0"/>
          <w:numId w:val="9"/>
        </w:numPr>
        <w:spacing w:after="120" w:line="240" w:lineRule="auto"/>
        <w:ind w:left="916" w:hanging="349"/>
        <w:jc w:val="both"/>
        <w:rPr>
          <w:rFonts w:ascii="Tahoma" w:hAnsi="Tahoma" w:cs="Tahoma"/>
          <w:iCs/>
          <w:sz w:val="20"/>
          <w:szCs w:val="20"/>
        </w:rPr>
      </w:pPr>
      <w:r w:rsidRPr="00D4304F">
        <w:rPr>
          <w:rFonts w:ascii="Tahoma" w:hAnsi="Tahoma" w:cs="Tahoma"/>
          <w:iCs/>
          <w:sz w:val="20"/>
          <w:szCs w:val="20"/>
        </w:rPr>
        <w:t>подходи и политики на предприятията в управлението на възрастовото многообразие.</w:t>
      </w:r>
    </w:p>
    <w:p w14:paraId="2188B9DC" w14:textId="2BE581AC" w:rsidR="00D4304F" w:rsidRDefault="00D4304F" w:rsidP="00D4304F">
      <w:pPr>
        <w:spacing w:after="120" w:line="240" w:lineRule="auto"/>
        <w:ind w:firstLine="567"/>
        <w:jc w:val="both"/>
        <w:rPr>
          <w:rFonts w:ascii="Tahoma" w:hAnsi="Tahoma" w:cs="Tahoma"/>
          <w:iCs/>
          <w:sz w:val="20"/>
          <w:szCs w:val="20"/>
        </w:rPr>
      </w:pPr>
      <w:r w:rsidRPr="00D4304F">
        <w:rPr>
          <w:rFonts w:ascii="Tahoma" w:hAnsi="Tahoma" w:cs="Tahoma"/>
          <w:iCs/>
          <w:sz w:val="20"/>
          <w:szCs w:val="20"/>
        </w:rPr>
        <w:t xml:space="preserve">В набирането и оценката на информацията </w:t>
      </w:r>
      <w:r>
        <w:rPr>
          <w:rFonts w:ascii="Tahoma" w:hAnsi="Tahoma" w:cs="Tahoma"/>
          <w:iCs/>
          <w:sz w:val="20"/>
          <w:szCs w:val="20"/>
        </w:rPr>
        <w:t>са</w:t>
      </w:r>
      <w:r w:rsidRPr="00D4304F">
        <w:rPr>
          <w:rFonts w:ascii="Tahoma" w:hAnsi="Tahoma" w:cs="Tahoma"/>
          <w:iCs/>
          <w:sz w:val="20"/>
          <w:szCs w:val="20"/>
        </w:rPr>
        <w:t xml:space="preserve"> използвани (в съчетание) качествени и количествени методи на изследване – </w:t>
      </w:r>
      <w:proofErr w:type="spellStart"/>
      <w:r w:rsidRPr="00D4304F">
        <w:rPr>
          <w:rFonts w:ascii="Tahoma" w:hAnsi="Tahoma" w:cs="Tahoma"/>
          <w:iCs/>
          <w:sz w:val="20"/>
          <w:szCs w:val="20"/>
        </w:rPr>
        <w:t>desk</w:t>
      </w:r>
      <w:proofErr w:type="spellEnd"/>
      <w:r w:rsidRPr="00D4304F">
        <w:rPr>
          <w:rFonts w:ascii="Tahoma" w:hAnsi="Tahoma" w:cs="Tahoma"/>
          <w:iCs/>
          <w:sz w:val="20"/>
          <w:szCs w:val="20"/>
        </w:rPr>
        <w:t xml:space="preserve"> </w:t>
      </w:r>
      <w:proofErr w:type="spellStart"/>
      <w:r w:rsidRPr="00D4304F">
        <w:rPr>
          <w:rFonts w:ascii="Tahoma" w:hAnsi="Tahoma" w:cs="Tahoma"/>
          <w:iCs/>
          <w:sz w:val="20"/>
          <w:szCs w:val="20"/>
        </w:rPr>
        <w:t>research</w:t>
      </w:r>
      <w:proofErr w:type="spellEnd"/>
      <w:r w:rsidRPr="00D4304F">
        <w:rPr>
          <w:rFonts w:ascii="Tahoma" w:hAnsi="Tahoma" w:cs="Tahoma"/>
          <w:iCs/>
          <w:sz w:val="20"/>
          <w:szCs w:val="20"/>
        </w:rPr>
        <w:t>, структурирано интервю и онлайн анкетно проучване</w:t>
      </w:r>
      <w:r>
        <w:rPr>
          <w:rFonts w:ascii="Tahoma" w:hAnsi="Tahoma" w:cs="Tahoma"/>
          <w:iCs/>
          <w:sz w:val="20"/>
          <w:szCs w:val="20"/>
        </w:rPr>
        <w:t xml:space="preserve">, както и данни от НСИ – </w:t>
      </w:r>
      <w:r w:rsidRPr="00D4304F">
        <w:rPr>
          <w:rFonts w:ascii="Tahoma" w:hAnsi="Tahoma" w:cs="Tahoma"/>
          <w:iCs/>
          <w:sz w:val="20"/>
          <w:szCs w:val="20"/>
        </w:rPr>
        <w:t xml:space="preserve">детайлна, специфична статистическа информация за работната сила в целевите сектори, която не фигурира в официално достъпната статистика, но </w:t>
      </w:r>
      <w:r>
        <w:rPr>
          <w:rFonts w:ascii="Tahoma" w:hAnsi="Tahoma" w:cs="Tahoma"/>
          <w:iCs/>
          <w:sz w:val="20"/>
          <w:szCs w:val="20"/>
        </w:rPr>
        <w:t>е</w:t>
      </w:r>
      <w:r w:rsidRPr="00D4304F">
        <w:rPr>
          <w:rFonts w:ascii="Tahoma" w:hAnsi="Tahoma" w:cs="Tahoma"/>
          <w:iCs/>
          <w:sz w:val="20"/>
          <w:szCs w:val="20"/>
        </w:rPr>
        <w:t xml:space="preserve"> важна за целите на анализа. </w:t>
      </w:r>
      <w:r>
        <w:rPr>
          <w:rFonts w:ascii="Tahoma" w:hAnsi="Tahoma" w:cs="Tahoma"/>
          <w:iCs/>
          <w:sz w:val="20"/>
          <w:szCs w:val="20"/>
        </w:rPr>
        <w:t xml:space="preserve">В онлайн проучването са включени </w:t>
      </w:r>
      <w:r w:rsidRPr="00D4304F">
        <w:rPr>
          <w:rFonts w:ascii="Tahoma" w:hAnsi="Tahoma" w:cs="Tahoma"/>
          <w:iCs/>
          <w:sz w:val="20"/>
          <w:szCs w:val="20"/>
        </w:rPr>
        <w:t xml:space="preserve">80 респонденти от предприятията </w:t>
      </w:r>
      <w:r>
        <w:rPr>
          <w:rFonts w:ascii="Tahoma" w:hAnsi="Tahoma" w:cs="Tahoma"/>
          <w:iCs/>
          <w:sz w:val="20"/>
          <w:szCs w:val="20"/>
        </w:rPr>
        <w:t>(</w:t>
      </w:r>
      <w:r w:rsidRPr="00D4304F">
        <w:rPr>
          <w:rFonts w:ascii="Tahoma" w:hAnsi="Tahoma" w:cs="Tahoma"/>
          <w:iCs/>
          <w:sz w:val="20"/>
          <w:szCs w:val="20"/>
        </w:rPr>
        <w:t>мениджъри, специалисти ЧР, ръководители на екипи, работници и служители, работнически представители</w:t>
      </w:r>
      <w:r>
        <w:rPr>
          <w:rFonts w:ascii="Tahoma" w:hAnsi="Tahoma" w:cs="Tahoma"/>
          <w:iCs/>
          <w:sz w:val="20"/>
          <w:szCs w:val="20"/>
        </w:rPr>
        <w:t>), а с</w:t>
      </w:r>
      <w:r w:rsidRPr="00D4304F">
        <w:rPr>
          <w:rFonts w:ascii="Tahoma" w:hAnsi="Tahoma" w:cs="Tahoma"/>
          <w:iCs/>
          <w:sz w:val="20"/>
          <w:szCs w:val="20"/>
        </w:rPr>
        <w:t xml:space="preserve">труктурираното интервю </w:t>
      </w:r>
      <w:r>
        <w:rPr>
          <w:rFonts w:ascii="Tahoma" w:hAnsi="Tahoma" w:cs="Tahoma"/>
          <w:iCs/>
          <w:sz w:val="20"/>
          <w:szCs w:val="20"/>
        </w:rPr>
        <w:t>е</w:t>
      </w:r>
      <w:r w:rsidRPr="00D4304F">
        <w:rPr>
          <w:rFonts w:ascii="Tahoma" w:hAnsi="Tahoma" w:cs="Tahoma"/>
          <w:iCs/>
          <w:sz w:val="20"/>
          <w:szCs w:val="20"/>
        </w:rPr>
        <w:t xml:space="preserve"> проведено с 27 мениджъри или специалисти ЧР от предприятията по метода „лице в лице“.</w:t>
      </w:r>
    </w:p>
    <w:p w14:paraId="33CCDA5A" w14:textId="75CF01E6" w:rsidR="000146DA" w:rsidRDefault="000146DA" w:rsidP="00D4304F">
      <w:pPr>
        <w:spacing w:after="120" w:line="240" w:lineRule="auto"/>
        <w:ind w:firstLine="567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На база на получените чрез одита данни, изводи и оценки са разработени пет </w:t>
      </w:r>
      <w:r w:rsidRPr="000146DA">
        <w:rPr>
          <w:rFonts w:ascii="Tahoma" w:hAnsi="Tahoma" w:cs="Tahoma"/>
          <w:b/>
          <w:bCs/>
          <w:iCs/>
          <w:sz w:val="20"/>
          <w:szCs w:val="20"/>
        </w:rPr>
        <w:t>секторни програми</w:t>
      </w:r>
      <w:r>
        <w:rPr>
          <w:rFonts w:ascii="Tahoma" w:hAnsi="Tahoma" w:cs="Tahoma"/>
          <w:iCs/>
          <w:sz w:val="20"/>
          <w:szCs w:val="20"/>
        </w:rPr>
        <w:t xml:space="preserve"> на социалните партньори за управление на възрастовото многообразие и </w:t>
      </w:r>
      <w:r w:rsidRPr="000146DA">
        <w:rPr>
          <w:rFonts w:ascii="Tahoma" w:hAnsi="Tahoma" w:cs="Tahoma"/>
          <w:iCs/>
          <w:sz w:val="20"/>
          <w:szCs w:val="20"/>
        </w:rPr>
        <w:t>поколенческите различия в работната сила</w:t>
      </w:r>
      <w:r>
        <w:rPr>
          <w:rFonts w:ascii="Tahoma" w:hAnsi="Tahoma" w:cs="Tahoma"/>
          <w:iCs/>
          <w:sz w:val="20"/>
          <w:szCs w:val="20"/>
        </w:rPr>
        <w:t>.</w:t>
      </w:r>
    </w:p>
    <w:p w14:paraId="34CAF889" w14:textId="0192DFA4" w:rsidR="000146DA" w:rsidRPr="00D4304F" w:rsidRDefault="000146DA" w:rsidP="00D4304F">
      <w:pPr>
        <w:spacing w:after="120" w:line="240" w:lineRule="auto"/>
        <w:ind w:firstLine="567"/>
        <w:jc w:val="both"/>
        <w:rPr>
          <w:rFonts w:ascii="Tahoma" w:hAnsi="Tahoma" w:cs="Tahoma"/>
          <w:b/>
          <w:bCs/>
          <w:iCs/>
          <w:sz w:val="20"/>
          <w:szCs w:val="20"/>
        </w:rPr>
      </w:pPr>
      <w:r w:rsidRPr="00D4304F">
        <w:rPr>
          <w:rFonts w:ascii="Tahoma" w:hAnsi="Tahoma" w:cs="Tahoma"/>
          <w:b/>
          <w:bCs/>
          <w:iCs/>
          <w:sz w:val="20"/>
          <w:szCs w:val="20"/>
        </w:rPr>
        <w:t>Обобщените резултати от петте секторни анализа показват следното:</w:t>
      </w:r>
    </w:p>
    <w:p w14:paraId="69AD62C1" w14:textId="615F9A45" w:rsidR="000146DA" w:rsidRPr="00D4304F" w:rsidRDefault="000146DA" w:rsidP="00D4304F">
      <w:pPr>
        <w:pStyle w:val="ListParagraph"/>
        <w:numPr>
          <w:ilvl w:val="0"/>
          <w:numId w:val="9"/>
        </w:numPr>
        <w:spacing w:after="60" w:line="240" w:lineRule="auto"/>
        <w:ind w:left="851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D4304F">
        <w:rPr>
          <w:rFonts w:ascii="Tahoma" w:hAnsi="Tahoma" w:cs="Tahoma"/>
          <w:sz w:val="20"/>
          <w:szCs w:val="20"/>
        </w:rPr>
        <w:t>За</w:t>
      </w:r>
      <w:r w:rsidRPr="00D4304F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D4304F">
        <w:rPr>
          <w:rFonts w:ascii="Tahoma" w:hAnsi="Tahoma" w:cs="Tahoma"/>
          <w:sz w:val="20"/>
          <w:szCs w:val="20"/>
        </w:rPr>
        <w:t>период от пет години броят на заетите е намалял средно с около 16%. Причините са свързани с намаляване на броя на предприятията в някои от секторите и кризата с пандемията от COVID</w:t>
      </w:r>
      <w:r w:rsidRPr="00D4304F">
        <w:rPr>
          <w:rFonts w:ascii="Tahoma" w:hAnsi="Tahoma" w:cs="Tahoma"/>
          <w:sz w:val="20"/>
          <w:szCs w:val="20"/>
        </w:rPr>
        <w:t>-</w:t>
      </w:r>
      <w:r w:rsidRPr="00D4304F">
        <w:rPr>
          <w:rFonts w:ascii="Tahoma" w:hAnsi="Tahoma" w:cs="Tahoma"/>
          <w:sz w:val="20"/>
          <w:szCs w:val="20"/>
        </w:rPr>
        <w:t xml:space="preserve">19. Най-значително е намаляла работната сила в мебелната промишленост, а сравнително най-устойчиво е съхранена в пивоварната и металургичната промишленост. </w:t>
      </w:r>
    </w:p>
    <w:p w14:paraId="47510BB5" w14:textId="16477096" w:rsidR="000146DA" w:rsidRPr="00D4304F" w:rsidRDefault="000146DA" w:rsidP="00D4304F">
      <w:pPr>
        <w:pStyle w:val="ListParagraph"/>
        <w:numPr>
          <w:ilvl w:val="0"/>
          <w:numId w:val="9"/>
        </w:numPr>
        <w:spacing w:after="60" w:line="240" w:lineRule="auto"/>
        <w:ind w:left="851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D4304F">
        <w:rPr>
          <w:rFonts w:ascii="Tahoma" w:hAnsi="Tahoma" w:cs="Tahoma"/>
          <w:sz w:val="20"/>
          <w:szCs w:val="20"/>
        </w:rPr>
        <w:t>Наблюдава се устойчива тенденция към застаряване</w:t>
      </w:r>
      <w:r w:rsidR="00836196">
        <w:rPr>
          <w:rFonts w:ascii="Tahoma" w:hAnsi="Tahoma" w:cs="Tahoma"/>
          <w:sz w:val="20"/>
          <w:szCs w:val="20"/>
        </w:rPr>
        <w:t xml:space="preserve"> (фигура 2)</w:t>
      </w:r>
      <w:r w:rsidRPr="00D4304F">
        <w:rPr>
          <w:rFonts w:ascii="Tahoma" w:hAnsi="Tahoma" w:cs="Tahoma"/>
          <w:sz w:val="20"/>
          <w:szCs w:val="20"/>
        </w:rPr>
        <w:t xml:space="preserve">, като две трети от заетите са представители на по-възрастните поколения на работното място. Ако темповете на застаряване на работната сила се запазят в следващите 20 г., броят на работещите на възраст над 55 г. ще достигне 48% (почти всеки втори). </w:t>
      </w:r>
    </w:p>
    <w:p w14:paraId="4AE5B972" w14:textId="767C0209" w:rsidR="000146DA" w:rsidRPr="000146DA" w:rsidRDefault="000146DA" w:rsidP="00D4304F">
      <w:pPr>
        <w:pStyle w:val="ListParagraph"/>
        <w:numPr>
          <w:ilvl w:val="0"/>
          <w:numId w:val="9"/>
        </w:numPr>
        <w:spacing w:after="60" w:line="240" w:lineRule="auto"/>
        <w:ind w:left="851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0146DA">
        <w:rPr>
          <w:rFonts w:ascii="Tahoma" w:hAnsi="Tahoma" w:cs="Tahoma"/>
          <w:sz w:val="20"/>
          <w:szCs w:val="20"/>
        </w:rPr>
        <w:t xml:space="preserve">За да постигнат своята стратегия, предприятията трябва да разполагат с работна сила, способна да реализира поставените  цели. Две трети от организациите са изправени пред предизвикателството (в една или друга степен) да оптимизират и приведат възрастовата и квалификационна структура на персонала в съответствие с изискванията на тяхната бизнес стратегия и цели (Фигура </w:t>
      </w:r>
      <w:r w:rsidR="00836196">
        <w:rPr>
          <w:rFonts w:ascii="Tahoma" w:hAnsi="Tahoma" w:cs="Tahoma"/>
          <w:sz w:val="20"/>
          <w:szCs w:val="20"/>
        </w:rPr>
        <w:t>3</w:t>
      </w:r>
      <w:r w:rsidRPr="000146DA">
        <w:rPr>
          <w:rFonts w:ascii="Tahoma" w:hAnsi="Tahoma" w:cs="Tahoma"/>
          <w:sz w:val="20"/>
          <w:szCs w:val="20"/>
        </w:rPr>
        <w:t xml:space="preserve">). </w:t>
      </w:r>
    </w:p>
    <w:p w14:paraId="55948116" w14:textId="79D30094" w:rsidR="000146DA" w:rsidRPr="000146DA" w:rsidRDefault="000146DA" w:rsidP="00D4304F">
      <w:pPr>
        <w:pStyle w:val="ListParagraph"/>
        <w:numPr>
          <w:ilvl w:val="0"/>
          <w:numId w:val="9"/>
        </w:numPr>
        <w:spacing w:after="60" w:line="240" w:lineRule="auto"/>
        <w:ind w:left="851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0146DA">
        <w:rPr>
          <w:rFonts w:ascii="Tahoma" w:hAnsi="Tahoma" w:cs="Tahoma"/>
          <w:sz w:val="20"/>
          <w:szCs w:val="20"/>
        </w:rPr>
        <w:t>Възрастовото разслоение в работната сила се откроява все по-отчетливо. На работното място се сблъскват четири поколения</w:t>
      </w:r>
      <w:r w:rsidRPr="000146DA">
        <w:rPr>
          <w:rStyle w:val="FootnoteReference"/>
          <w:rFonts w:ascii="Tahoma" w:hAnsi="Tahoma" w:cs="Tahoma"/>
          <w:sz w:val="20"/>
          <w:szCs w:val="20"/>
        </w:rPr>
        <w:footnoteReference w:id="1"/>
      </w:r>
      <w:r w:rsidRPr="000146DA">
        <w:rPr>
          <w:rFonts w:ascii="Tahoma" w:hAnsi="Tahoma" w:cs="Tahoma"/>
          <w:sz w:val="20"/>
          <w:szCs w:val="20"/>
        </w:rPr>
        <w:t xml:space="preserve">, които имат значителни различия в своите </w:t>
      </w:r>
      <w:r w:rsidRPr="000146DA">
        <w:rPr>
          <w:rFonts w:ascii="Tahoma" w:hAnsi="Tahoma" w:cs="Tahoma"/>
          <w:sz w:val="20"/>
          <w:szCs w:val="20"/>
        </w:rPr>
        <w:lastRenderedPageBreak/>
        <w:t xml:space="preserve">ценности, трудови нагласи и модели на поведение. Умението да се използват силните страни на всяко поколение в интерес на работата и да се трансформират различията в конкурентен корпоративен актив, носещ добавена стойност, е сериозно предизвикателство пред фирмените политики в управлението на хора.  Управлението на възрастовото многообразие на работната сила налага необходимостта от промяна на фокуса (от организацията към хората) и реализиране на ефективни стратегии, програми и мерки за създаване на приобщаваща работна среда и култура, където всеки да се чувства ценен и уважаван заради различията си – където всеки може да бъде себе си и да разгърне в максимална степен своя потенциал и способности. </w:t>
      </w:r>
    </w:p>
    <w:p w14:paraId="138A6BB0" w14:textId="77777777" w:rsidR="000146DA" w:rsidRPr="000146DA" w:rsidRDefault="000146DA" w:rsidP="00D4304F">
      <w:pPr>
        <w:pStyle w:val="ListParagraph"/>
        <w:numPr>
          <w:ilvl w:val="0"/>
          <w:numId w:val="9"/>
        </w:numPr>
        <w:spacing w:after="60" w:line="240" w:lineRule="auto"/>
        <w:ind w:left="851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0146DA">
        <w:rPr>
          <w:rFonts w:ascii="Tahoma" w:hAnsi="Tahoma" w:cs="Tahoma"/>
          <w:sz w:val="20"/>
          <w:szCs w:val="20"/>
        </w:rPr>
        <w:t xml:space="preserve">Неблагоприятните тенденции на пазара на труда, дефицита на умения и застаряването на работната сила са факторите, които оказват най-силно въздействие върху състоянието и тенденциите в развитието на човешките ресурси. </w:t>
      </w:r>
    </w:p>
    <w:p w14:paraId="2143CFE6" w14:textId="77777777" w:rsidR="000146DA" w:rsidRPr="000146DA" w:rsidRDefault="000146DA" w:rsidP="00D4304F">
      <w:pPr>
        <w:pStyle w:val="ListParagraph"/>
        <w:numPr>
          <w:ilvl w:val="0"/>
          <w:numId w:val="9"/>
        </w:numPr>
        <w:spacing w:after="60" w:line="240" w:lineRule="auto"/>
        <w:ind w:left="851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0146DA">
        <w:rPr>
          <w:rFonts w:ascii="Tahoma" w:hAnsi="Tahoma" w:cs="Tahoma"/>
          <w:sz w:val="20"/>
          <w:szCs w:val="20"/>
        </w:rPr>
        <w:t>Всяко второ предприятие посочва, че се сблъсква с проблеми в нагласите на работещите, свързани с ниска мотивация, нежелание за обучение и усъвършенстване, липса на ефективност, инициативност, креативност и отрицателна нагласа към промените.</w:t>
      </w:r>
    </w:p>
    <w:p w14:paraId="1EB0DBE5" w14:textId="77777777" w:rsidR="000146DA" w:rsidRPr="000146DA" w:rsidRDefault="000146DA" w:rsidP="00D4304F">
      <w:pPr>
        <w:pStyle w:val="ListParagraph"/>
        <w:numPr>
          <w:ilvl w:val="0"/>
          <w:numId w:val="9"/>
        </w:numPr>
        <w:spacing w:after="60" w:line="240" w:lineRule="auto"/>
        <w:ind w:left="851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0146DA">
        <w:rPr>
          <w:rFonts w:ascii="Tahoma" w:hAnsi="Tahoma" w:cs="Tahoma"/>
          <w:sz w:val="20"/>
          <w:szCs w:val="20"/>
        </w:rPr>
        <w:t xml:space="preserve">Почти всяко второ предприятие е изправено пред проблеми, произтичащи от липсата на комуникативни умения в ръководния и изпълнителния персонал и от ниската устойчивост на напрежение и стрес в работата.   </w:t>
      </w:r>
    </w:p>
    <w:p w14:paraId="6E1452A1" w14:textId="77777777" w:rsidR="000146DA" w:rsidRPr="000146DA" w:rsidRDefault="000146DA" w:rsidP="00D4304F">
      <w:pPr>
        <w:pStyle w:val="ListParagraph"/>
        <w:numPr>
          <w:ilvl w:val="0"/>
          <w:numId w:val="9"/>
        </w:numPr>
        <w:spacing w:after="60" w:line="240" w:lineRule="auto"/>
        <w:ind w:left="851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0146DA">
        <w:rPr>
          <w:rFonts w:ascii="Tahoma" w:hAnsi="Tahoma" w:cs="Tahoma"/>
          <w:sz w:val="20"/>
          <w:szCs w:val="20"/>
        </w:rPr>
        <w:t xml:space="preserve">В условията на изострена конкуренция между работодателите, проблема за задържане и развитие на способните работници и служители, придобива критично значение. Данните от проучването показват, че програмите и мерките в тази насока се нуждаят от подобрения. </w:t>
      </w:r>
    </w:p>
    <w:p w14:paraId="1226C086" w14:textId="77777777" w:rsidR="000146DA" w:rsidRPr="000146DA" w:rsidRDefault="000146DA" w:rsidP="00D4304F">
      <w:pPr>
        <w:pStyle w:val="ListParagraph"/>
        <w:numPr>
          <w:ilvl w:val="0"/>
          <w:numId w:val="9"/>
        </w:numPr>
        <w:spacing w:after="60" w:line="240" w:lineRule="auto"/>
        <w:ind w:left="851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0146DA">
        <w:rPr>
          <w:rFonts w:ascii="Tahoma" w:hAnsi="Tahoma" w:cs="Tahoma"/>
          <w:sz w:val="20"/>
          <w:szCs w:val="20"/>
        </w:rPr>
        <w:t xml:space="preserve">Почти всеки четвърти от заетите на възраст 27-39 г. е напуснал предприятието си в последните две години. Поколение </w:t>
      </w:r>
      <w:r w:rsidRPr="000146DA">
        <w:rPr>
          <w:rFonts w:ascii="Tahoma" w:hAnsi="Tahoma" w:cs="Tahoma"/>
          <w:sz w:val="20"/>
          <w:szCs w:val="20"/>
          <w:lang w:val="en-US"/>
        </w:rPr>
        <w:t>Y</w:t>
      </w:r>
      <w:r w:rsidRPr="000146DA">
        <w:rPr>
          <w:rFonts w:ascii="Tahoma" w:hAnsi="Tahoma" w:cs="Tahoma"/>
          <w:sz w:val="20"/>
          <w:szCs w:val="20"/>
        </w:rPr>
        <w:t xml:space="preserve"> или „Милениум“ е най-ухажваното на пазара на труда. Те очакват „всичко сега“ и не се колебаят да променят местоработата си, ако възможностите за развитие, условията на труд и заплащането, не кореспондират с представите им.</w:t>
      </w:r>
    </w:p>
    <w:p w14:paraId="71E64089" w14:textId="152CA0B8" w:rsidR="000146DA" w:rsidRPr="000146DA" w:rsidRDefault="000146DA" w:rsidP="00D4304F">
      <w:pPr>
        <w:pStyle w:val="ListParagraph"/>
        <w:numPr>
          <w:ilvl w:val="0"/>
          <w:numId w:val="9"/>
        </w:numPr>
        <w:spacing w:after="60" w:line="240" w:lineRule="auto"/>
        <w:ind w:left="851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0146DA">
        <w:rPr>
          <w:rFonts w:ascii="Tahoma" w:hAnsi="Tahoma" w:cs="Tahoma"/>
          <w:sz w:val="20"/>
          <w:szCs w:val="20"/>
        </w:rPr>
        <w:t>Втората по текучество (22%) е възрастова група от заетите на възраст 40-54 г. Поколение Х държат най-много на размера на възнаграждението и не са склонни на компромиси, ако намерят по-изгодни условия при друг работодател.</w:t>
      </w:r>
    </w:p>
    <w:p w14:paraId="6D49A995" w14:textId="77777777" w:rsidR="000146DA" w:rsidRPr="000146DA" w:rsidRDefault="000146DA" w:rsidP="00D4304F">
      <w:pPr>
        <w:pStyle w:val="ListParagraph"/>
        <w:numPr>
          <w:ilvl w:val="0"/>
          <w:numId w:val="9"/>
        </w:numPr>
        <w:spacing w:after="60" w:line="240" w:lineRule="auto"/>
        <w:ind w:left="851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0146DA">
        <w:rPr>
          <w:rFonts w:ascii="Tahoma" w:hAnsi="Tahoma" w:cs="Tahoma"/>
          <w:sz w:val="20"/>
          <w:szCs w:val="20"/>
        </w:rPr>
        <w:t>Предразсъдъците и стереотипите към възрастта</w:t>
      </w:r>
      <w:r w:rsidRPr="000146DA">
        <w:rPr>
          <w:rStyle w:val="FootnoteReference"/>
          <w:rFonts w:ascii="Tahoma" w:hAnsi="Tahoma" w:cs="Tahoma"/>
          <w:sz w:val="20"/>
          <w:szCs w:val="20"/>
        </w:rPr>
        <w:footnoteReference w:id="2"/>
      </w:r>
      <w:r w:rsidRPr="000146DA">
        <w:rPr>
          <w:rFonts w:ascii="Tahoma" w:hAnsi="Tahoma" w:cs="Tahoma"/>
          <w:sz w:val="20"/>
          <w:szCs w:val="20"/>
        </w:rPr>
        <w:t xml:space="preserve">  са дълбоко вкоренени в общественото съзнание и въздействат устойчиво на индивидуалните нагласи, взаимоотношения и убеждения, проявяващи се в работната среда. Проблемът е и в това, че според резултатите от изследването, около 70% от анкетираните ръководители споделят (в една или друга степен) такива погрешни нагласи.  </w:t>
      </w:r>
    </w:p>
    <w:p w14:paraId="7C582B2D" w14:textId="7E98E04B" w:rsidR="000146DA" w:rsidRPr="000146DA" w:rsidRDefault="000146DA" w:rsidP="00D4304F">
      <w:pPr>
        <w:pStyle w:val="ListParagraph"/>
        <w:numPr>
          <w:ilvl w:val="0"/>
          <w:numId w:val="9"/>
        </w:numPr>
        <w:spacing w:after="60" w:line="240" w:lineRule="auto"/>
        <w:ind w:left="851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0146DA">
        <w:rPr>
          <w:rFonts w:ascii="Tahoma" w:hAnsi="Tahoma" w:cs="Tahoma"/>
          <w:sz w:val="20"/>
          <w:szCs w:val="20"/>
        </w:rPr>
        <w:t xml:space="preserve">Независимо, че твърденията на Фигура </w:t>
      </w:r>
      <w:r w:rsidR="00836196">
        <w:rPr>
          <w:rFonts w:ascii="Tahoma" w:hAnsi="Tahoma" w:cs="Tahoma"/>
          <w:sz w:val="20"/>
          <w:szCs w:val="20"/>
        </w:rPr>
        <w:t>6</w:t>
      </w:r>
      <w:r w:rsidRPr="000146DA">
        <w:rPr>
          <w:rFonts w:ascii="Tahoma" w:hAnsi="Tahoma" w:cs="Tahoma"/>
          <w:sz w:val="20"/>
          <w:szCs w:val="20"/>
        </w:rPr>
        <w:t xml:space="preserve"> се споделят от всички поколения, по своята същност те са неверни или най-малкото спорни, защото не са подкрепени с обективни доказателства от науката и практиката.</w:t>
      </w:r>
    </w:p>
    <w:p w14:paraId="2F5AC673" w14:textId="77777777" w:rsidR="000146DA" w:rsidRPr="000146DA" w:rsidRDefault="000146DA" w:rsidP="00D4304F">
      <w:pPr>
        <w:pStyle w:val="ListParagraph"/>
        <w:numPr>
          <w:ilvl w:val="0"/>
          <w:numId w:val="9"/>
        </w:numPr>
        <w:spacing w:after="60" w:line="240" w:lineRule="auto"/>
        <w:ind w:left="851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0146DA">
        <w:rPr>
          <w:rFonts w:ascii="Tahoma" w:hAnsi="Tahoma" w:cs="Tahoma"/>
          <w:sz w:val="20"/>
          <w:szCs w:val="20"/>
        </w:rPr>
        <w:t xml:space="preserve">По-младите поколения са по-склонни към мислене и нагласи, повлияни от </w:t>
      </w:r>
      <w:proofErr w:type="spellStart"/>
      <w:r w:rsidRPr="000146DA">
        <w:rPr>
          <w:rFonts w:ascii="Tahoma" w:hAnsi="Tahoma" w:cs="Tahoma"/>
          <w:sz w:val="20"/>
          <w:szCs w:val="20"/>
        </w:rPr>
        <w:t>ейджизъм</w:t>
      </w:r>
      <w:proofErr w:type="spellEnd"/>
      <w:r w:rsidRPr="000146DA">
        <w:rPr>
          <w:rFonts w:ascii="Tahoma" w:hAnsi="Tahoma" w:cs="Tahoma"/>
          <w:sz w:val="20"/>
          <w:szCs w:val="20"/>
        </w:rPr>
        <w:t xml:space="preserve">. Поколение Х е по-пристрастно в оценките си, в сравнение с поколение Т. Същата зависимост се наблюдава и при младите поколения, където поколение </w:t>
      </w:r>
      <w:r w:rsidRPr="000146DA">
        <w:rPr>
          <w:rFonts w:ascii="Tahoma" w:hAnsi="Tahoma" w:cs="Tahoma"/>
          <w:sz w:val="20"/>
          <w:szCs w:val="20"/>
          <w:lang w:val="en-US"/>
        </w:rPr>
        <w:t xml:space="preserve">Z e </w:t>
      </w:r>
      <w:r w:rsidRPr="000146DA">
        <w:rPr>
          <w:rFonts w:ascii="Tahoma" w:hAnsi="Tahoma" w:cs="Tahoma"/>
          <w:sz w:val="20"/>
          <w:szCs w:val="20"/>
        </w:rPr>
        <w:t xml:space="preserve">по-крайно, в сравнение с поколение </w:t>
      </w:r>
      <w:r w:rsidRPr="000146DA">
        <w:rPr>
          <w:rFonts w:ascii="Tahoma" w:hAnsi="Tahoma" w:cs="Tahoma"/>
          <w:sz w:val="20"/>
          <w:szCs w:val="20"/>
          <w:lang w:val="en-US"/>
        </w:rPr>
        <w:t>Y</w:t>
      </w:r>
      <w:r w:rsidRPr="000146DA">
        <w:rPr>
          <w:rFonts w:ascii="Tahoma" w:hAnsi="Tahoma" w:cs="Tahoma"/>
          <w:sz w:val="20"/>
          <w:szCs w:val="20"/>
        </w:rPr>
        <w:t>.</w:t>
      </w:r>
    </w:p>
    <w:p w14:paraId="02D63E3A" w14:textId="36F4DF25" w:rsidR="000146DA" w:rsidRPr="00D4304F" w:rsidRDefault="000146DA" w:rsidP="00D4304F">
      <w:pPr>
        <w:pStyle w:val="ListParagraph"/>
        <w:numPr>
          <w:ilvl w:val="0"/>
          <w:numId w:val="9"/>
        </w:numPr>
        <w:spacing w:after="60" w:line="240" w:lineRule="auto"/>
        <w:ind w:left="851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0146DA">
        <w:rPr>
          <w:rFonts w:ascii="Tahoma" w:hAnsi="Tahoma" w:cs="Tahoma"/>
          <w:sz w:val="20"/>
          <w:szCs w:val="20"/>
        </w:rPr>
        <w:t xml:space="preserve">По-възрастните поколения, особено поколение Т, са по-склонни към самонасочен </w:t>
      </w:r>
      <w:proofErr w:type="spellStart"/>
      <w:r w:rsidRPr="000146DA">
        <w:rPr>
          <w:rFonts w:ascii="Tahoma" w:hAnsi="Tahoma" w:cs="Tahoma"/>
          <w:sz w:val="20"/>
          <w:szCs w:val="20"/>
        </w:rPr>
        <w:t>ейджизъм</w:t>
      </w:r>
      <w:proofErr w:type="spellEnd"/>
      <w:r w:rsidRPr="000146DA">
        <w:rPr>
          <w:rStyle w:val="FootnoteReference"/>
          <w:rFonts w:ascii="Tahoma" w:hAnsi="Tahoma" w:cs="Tahoma"/>
          <w:sz w:val="20"/>
          <w:szCs w:val="20"/>
        </w:rPr>
        <w:footnoteReference w:id="3"/>
      </w:r>
      <w:r w:rsidRPr="000146DA">
        <w:rPr>
          <w:rFonts w:ascii="Tahoma" w:hAnsi="Tahoma" w:cs="Tahoma"/>
          <w:sz w:val="20"/>
          <w:szCs w:val="20"/>
        </w:rPr>
        <w:t xml:space="preserve">.  </w:t>
      </w:r>
    </w:p>
    <w:p w14:paraId="701DF987" w14:textId="2B34881B" w:rsidR="000146DA" w:rsidRPr="000146DA" w:rsidRDefault="000146DA" w:rsidP="00D4304F">
      <w:pPr>
        <w:pStyle w:val="ListParagraph"/>
        <w:numPr>
          <w:ilvl w:val="0"/>
          <w:numId w:val="9"/>
        </w:numPr>
        <w:spacing w:after="60" w:line="240" w:lineRule="auto"/>
        <w:ind w:left="851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0146DA">
        <w:rPr>
          <w:rFonts w:ascii="Tahoma" w:hAnsi="Tahoma" w:cs="Tahoma"/>
          <w:sz w:val="20"/>
          <w:szCs w:val="20"/>
        </w:rPr>
        <w:lastRenderedPageBreak/>
        <w:t>Независимо че 80% от изследваните лица считат, че най-успешен може да бъде екипът</w:t>
      </w:r>
      <w:r w:rsidR="00D6143F">
        <w:rPr>
          <w:rFonts w:ascii="Tahoma" w:hAnsi="Tahoma" w:cs="Tahoma"/>
          <w:sz w:val="20"/>
          <w:szCs w:val="20"/>
        </w:rPr>
        <w:t>,</w:t>
      </w:r>
      <w:r w:rsidRPr="000146DA">
        <w:rPr>
          <w:rFonts w:ascii="Tahoma" w:hAnsi="Tahoma" w:cs="Tahoma"/>
          <w:sz w:val="20"/>
          <w:szCs w:val="20"/>
        </w:rPr>
        <w:t xml:space="preserve"> съставен от няколко поколения (Фигура 1</w:t>
      </w:r>
      <w:r w:rsidR="00836196">
        <w:rPr>
          <w:rFonts w:ascii="Tahoma" w:hAnsi="Tahoma" w:cs="Tahoma"/>
          <w:sz w:val="20"/>
          <w:szCs w:val="20"/>
        </w:rPr>
        <w:t>0</w:t>
      </w:r>
      <w:r w:rsidRPr="000146DA">
        <w:rPr>
          <w:rFonts w:ascii="Tahoma" w:hAnsi="Tahoma" w:cs="Tahoma"/>
          <w:sz w:val="20"/>
          <w:szCs w:val="20"/>
        </w:rPr>
        <w:t>), дистанцията във възрастта остава значим фактор за неразбирателството и проблемите в общуването и междуличностното взаимодействието на работното място.</w:t>
      </w:r>
    </w:p>
    <w:p w14:paraId="54F1E201" w14:textId="610DF10A" w:rsidR="000146DA" w:rsidRPr="000146DA" w:rsidRDefault="000146DA" w:rsidP="00D4304F">
      <w:pPr>
        <w:pStyle w:val="ListParagraph"/>
        <w:numPr>
          <w:ilvl w:val="0"/>
          <w:numId w:val="9"/>
        </w:numPr>
        <w:spacing w:after="60" w:line="240" w:lineRule="auto"/>
        <w:ind w:left="851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0146DA">
        <w:rPr>
          <w:rFonts w:ascii="Tahoma" w:hAnsi="Tahoma" w:cs="Tahoma"/>
          <w:sz w:val="20"/>
          <w:szCs w:val="20"/>
        </w:rPr>
        <w:t xml:space="preserve">Най-трудно намират общ език и разбирателство помежду си поколенията на най-младите - </w:t>
      </w:r>
      <w:r w:rsidRPr="000146DA">
        <w:rPr>
          <w:rFonts w:ascii="Tahoma" w:hAnsi="Tahoma" w:cs="Tahoma"/>
          <w:sz w:val="20"/>
          <w:szCs w:val="20"/>
          <w:lang w:val="en-US"/>
        </w:rPr>
        <w:t>Z</w:t>
      </w:r>
      <w:r w:rsidRPr="000146DA">
        <w:rPr>
          <w:rFonts w:ascii="Tahoma" w:hAnsi="Tahoma" w:cs="Tahoma"/>
          <w:sz w:val="20"/>
          <w:szCs w:val="20"/>
        </w:rPr>
        <w:t xml:space="preserve"> и на най-възрастните - Т (Фигура </w:t>
      </w:r>
      <w:r w:rsidR="00836196">
        <w:rPr>
          <w:rFonts w:ascii="Tahoma" w:hAnsi="Tahoma" w:cs="Tahoma"/>
          <w:sz w:val="20"/>
          <w:szCs w:val="20"/>
        </w:rPr>
        <w:t>9</w:t>
      </w:r>
      <w:r w:rsidRPr="000146DA">
        <w:rPr>
          <w:rFonts w:ascii="Tahoma" w:hAnsi="Tahoma" w:cs="Tahoma"/>
          <w:sz w:val="20"/>
          <w:szCs w:val="20"/>
        </w:rPr>
        <w:t>). Над 68% от заетите на възраст 18-26 г. споделят, че имат затруднения в общуването с хората над 55 г. и обратното – 60% от възрастовата група 55-65+ г. имат същите проблеми с най-младите.</w:t>
      </w:r>
    </w:p>
    <w:p w14:paraId="43FEC71E" w14:textId="19EBA4A9" w:rsidR="000146DA" w:rsidRPr="000146DA" w:rsidRDefault="000146DA" w:rsidP="00D4304F">
      <w:pPr>
        <w:pStyle w:val="ListParagraph"/>
        <w:numPr>
          <w:ilvl w:val="0"/>
          <w:numId w:val="9"/>
        </w:numPr>
        <w:spacing w:after="60" w:line="240" w:lineRule="auto"/>
        <w:ind w:left="851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0146DA">
        <w:rPr>
          <w:rFonts w:ascii="Tahoma" w:hAnsi="Tahoma" w:cs="Tahoma"/>
          <w:sz w:val="20"/>
          <w:szCs w:val="20"/>
        </w:rPr>
        <w:t xml:space="preserve">От друга страна, междинните поколения Х (40-54 г.) и </w:t>
      </w:r>
      <w:r w:rsidRPr="000146DA">
        <w:rPr>
          <w:rFonts w:ascii="Tahoma" w:hAnsi="Tahoma" w:cs="Tahoma"/>
          <w:sz w:val="20"/>
          <w:szCs w:val="20"/>
          <w:lang w:val="en-US"/>
        </w:rPr>
        <w:t>Y</w:t>
      </w:r>
      <w:r w:rsidRPr="000146DA">
        <w:rPr>
          <w:rFonts w:ascii="Tahoma" w:hAnsi="Tahoma" w:cs="Tahoma"/>
          <w:sz w:val="20"/>
          <w:szCs w:val="20"/>
        </w:rPr>
        <w:t xml:space="preserve"> (27-39 г.) са затруднени най-много в комуникациите и разбирателството, както с най-младите</w:t>
      </w:r>
      <w:r w:rsidR="00D6143F">
        <w:rPr>
          <w:rFonts w:ascii="Tahoma" w:hAnsi="Tahoma" w:cs="Tahoma"/>
          <w:sz w:val="20"/>
          <w:szCs w:val="20"/>
        </w:rPr>
        <w:t>,</w:t>
      </w:r>
      <w:r w:rsidRPr="000146DA">
        <w:rPr>
          <w:rFonts w:ascii="Tahoma" w:hAnsi="Tahoma" w:cs="Tahoma"/>
          <w:sz w:val="20"/>
          <w:szCs w:val="20"/>
        </w:rPr>
        <w:t xml:space="preserve"> така и с най-възрастните си колеги. Близо 50 % от анкетираните представители на поколение </w:t>
      </w:r>
      <w:r w:rsidRPr="000146DA">
        <w:rPr>
          <w:rFonts w:ascii="Tahoma" w:hAnsi="Tahoma" w:cs="Tahoma"/>
          <w:sz w:val="20"/>
          <w:szCs w:val="20"/>
          <w:lang w:val="en-US"/>
        </w:rPr>
        <w:t>Y</w:t>
      </w:r>
      <w:r w:rsidRPr="000146DA">
        <w:rPr>
          <w:rFonts w:ascii="Tahoma" w:hAnsi="Tahoma" w:cs="Tahoma"/>
          <w:sz w:val="20"/>
          <w:szCs w:val="20"/>
        </w:rPr>
        <w:t xml:space="preserve"> имат проблеми с поколение Т, а около 30% - с поколение </w:t>
      </w:r>
      <w:r w:rsidRPr="000146DA">
        <w:rPr>
          <w:rFonts w:ascii="Tahoma" w:hAnsi="Tahoma" w:cs="Tahoma"/>
          <w:sz w:val="20"/>
          <w:szCs w:val="20"/>
          <w:lang w:val="en-US"/>
        </w:rPr>
        <w:t>Z</w:t>
      </w:r>
      <w:r w:rsidRPr="000146DA">
        <w:rPr>
          <w:rFonts w:ascii="Tahoma" w:hAnsi="Tahoma" w:cs="Tahoma"/>
          <w:sz w:val="20"/>
          <w:szCs w:val="20"/>
        </w:rPr>
        <w:t xml:space="preserve">. Над 50% от анкетираните представители на поколение Х имат проблеми с поколение </w:t>
      </w:r>
      <w:r w:rsidRPr="000146DA">
        <w:rPr>
          <w:rFonts w:ascii="Tahoma" w:hAnsi="Tahoma" w:cs="Tahoma"/>
          <w:sz w:val="20"/>
          <w:szCs w:val="20"/>
          <w:lang w:val="en-US"/>
        </w:rPr>
        <w:t>Z</w:t>
      </w:r>
      <w:r w:rsidRPr="000146DA">
        <w:rPr>
          <w:rFonts w:ascii="Tahoma" w:hAnsi="Tahoma" w:cs="Tahoma"/>
          <w:sz w:val="20"/>
          <w:szCs w:val="20"/>
        </w:rPr>
        <w:t xml:space="preserve">, а 28% - с поколение Т. </w:t>
      </w:r>
    </w:p>
    <w:p w14:paraId="79C5EC75" w14:textId="77777777" w:rsidR="000146DA" w:rsidRPr="000146DA" w:rsidRDefault="000146DA" w:rsidP="00D4304F">
      <w:pPr>
        <w:pStyle w:val="ListParagraph"/>
        <w:numPr>
          <w:ilvl w:val="0"/>
          <w:numId w:val="9"/>
        </w:numPr>
        <w:spacing w:after="60" w:line="240" w:lineRule="auto"/>
        <w:ind w:left="851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0146DA">
        <w:rPr>
          <w:rFonts w:ascii="Tahoma" w:hAnsi="Tahoma" w:cs="Tahoma"/>
          <w:sz w:val="20"/>
          <w:szCs w:val="20"/>
        </w:rPr>
        <w:t>В рамките на своята възрастова група най-много проблеми имат по-възрастните поколения Т (14%) и Х (13%), докато по-младите поколения (</w:t>
      </w:r>
      <w:r w:rsidRPr="000146DA">
        <w:rPr>
          <w:rFonts w:ascii="Tahoma" w:hAnsi="Tahoma" w:cs="Tahoma"/>
          <w:sz w:val="20"/>
          <w:szCs w:val="20"/>
          <w:lang w:val="en-US"/>
        </w:rPr>
        <w:t xml:space="preserve">Z </w:t>
      </w:r>
      <w:r w:rsidRPr="000146DA">
        <w:rPr>
          <w:rFonts w:ascii="Tahoma" w:hAnsi="Tahoma" w:cs="Tahoma"/>
          <w:sz w:val="20"/>
          <w:szCs w:val="20"/>
        </w:rPr>
        <w:t xml:space="preserve">и </w:t>
      </w:r>
      <w:r w:rsidRPr="000146DA">
        <w:rPr>
          <w:rFonts w:ascii="Tahoma" w:hAnsi="Tahoma" w:cs="Tahoma"/>
          <w:sz w:val="20"/>
          <w:szCs w:val="20"/>
          <w:lang w:val="en-US"/>
        </w:rPr>
        <w:t>Y</w:t>
      </w:r>
      <w:r w:rsidRPr="000146DA">
        <w:rPr>
          <w:rFonts w:ascii="Tahoma" w:hAnsi="Tahoma" w:cs="Tahoma"/>
          <w:sz w:val="20"/>
          <w:szCs w:val="20"/>
        </w:rPr>
        <w:t xml:space="preserve">) постигат по-лесно разбирателство с връстниците си.  </w:t>
      </w:r>
    </w:p>
    <w:p w14:paraId="4AF81D9C" w14:textId="001896FA" w:rsidR="000146DA" w:rsidRPr="000146DA" w:rsidRDefault="000146DA" w:rsidP="00D4304F">
      <w:pPr>
        <w:pStyle w:val="ListParagraph"/>
        <w:numPr>
          <w:ilvl w:val="0"/>
          <w:numId w:val="9"/>
        </w:numPr>
        <w:spacing w:after="60" w:line="240" w:lineRule="auto"/>
        <w:ind w:left="851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0146DA">
        <w:rPr>
          <w:rFonts w:ascii="Tahoma" w:hAnsi="Tahoma" w:cs="Tahoma"/>
          <w:sz w:val="20"/>
          <w:szCs w:val="20"/>
        </w:rPr>
        <w:t>Ръководителите следват описаните по-горе тенденции, което е показателно за нивото на тяхната комуникативна и социална компетентност, емоционална интелигентност и умения да управляват мултигенерационен екип.</w:t>
      </w:r>
    </w:p>
    <w:p w14:paraId="058D6539" w14:textId="60280D95" w:rsidR="000146DA" w:rsidRPr="000146DA" w:rsidRDefault="000146DA" w:rsidP="00D4304F">
      <w:pPr>
        <w:pStyle w:val="ListParagraph"/>
        <w:numPr>
          <w:ilvl w:val="0"/>
          <w:numId w:val="9"/>
        </w:numPr>
        <w:spacing w:after="60" w:line="240" w:lineRule="auto"/>
        <w:ind w:left="851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0146DA">
        <w:rPr>
          <w:rFonts w:ascii="Tahoma" w:hAnsi="Tahoma" w:cs="Tahoma"/>
          <w:sz w:val="20"/>
          <w:szCs w:val="20"/>
        </w:rPr>
        <w:t>Неразбирателството и проблемите в общуването между поколенията на работната място, както и неумението да се прилага поколенчески подход в управлението на хора са съществена предпоставка за възникване на конфликти или изострени междуличностни противоречия в екипа или предприятието. Около 44% от анкетираните твърдят, че това се е случвало рядко, а 13% - често или постоянно (Фигура 1</w:t>
      </w:r>
      <w:r w:rsidR="00836196">
        <w:rPr>
          <w:rFonts w:ascii="Tahoma" w:hAnsi="Tahoma" w:cs="Tahoma"/>
          <w:sz w:val="20"/>
          <w:szCs w:val="20"/>
        </w:rPr>
        <w:t>1</w:t>
      </w:r>
      <w:r w:rsidRPr="000146DA">
        <w:rPr>
          <w:rFonts w:ascii="Tahoma" w:hAnsi="Tahoma" w:cs="Tahoma"/>
          <w:sz w:val="20"/>
          <w:szCs w:val="20"/>
        </w:rPr>
        <w:t xml:space="preserve">). </w:t>
      </w:r>
    </w:p>
    <w:p w14:paraId="015CFC28" w14:textId="149046A7" w:rsidR="000146DA" w:rsidRPr="000146DA" w:rsidRDefault="000146DA" w:rsidP="00D4304F">
      <w:pPr>
        <w:pStyle w:val="ListParagraph"/>
        <w:numPr>
          <w:ilvl w:val="0"/>
          <w:numId w:val="9"/>
        </w:numPr>
        <w:spacing w:after="60" w:line="240" w:lineRule="auto"/>
        <w:ind w:left="851" w:hanging="284"/>
        <w:contextualSpacing w:val="0"/>
        <w:jc w:val="both"/>
        <w:rPr>
          <w:rFonts w:ascii="Tahoma" w:hAnsi="Tahoma" w:cs="Tahoma"/>
          <w:i/>
          <w:iCs/>
          <w:sz w:val="20"/>
          <w:szCs w:val="20"/>
        </w:rPr>
      </w:pPr>
      <w:r w:rsidRPr="000146DA">
        <w:rPr>
          <w:rFonts w:ascii="Tahoma" w:hAnsi="Tahoma" w:cs="Tahoma"/>
          <w:sz w:val="20"/>
          <w:szCs w:val="20"/>
        </w:rPr>
        <w:t xml:space="preserve">Предразсъдъците и дискриминационното отношение към възрастта най-често се проявяват в критични ситуации. Около 42% от изследваните лица демонстрират (в една или друга степен) нагласа към </w:t>
      </w:r>
      <w:proofErr w:type="spellStart"/>
      <w:r w:rsidRPr="000146DA">
        <w:rPr>
          <w:rFonts w:ascii="Tahoma" w:hAnsi="Tahoma" w:cs="Tahoma"/>
          <w:sz w:val="20"/>
          <w:szCs w:val="20"/>
        </w:rPr>
        <w:t>ейджизъм</w:t>
      </w:r>
      <w:proofErr w:type="spellEnd"/>
      <w:r w:rsidRPr="000146DA">
        <w:rPr>
          <w:rFonts w:ascii="Tahoma" w:hAnsi="Tahoma" w:cs="Tahoma"/>
          <w:sz w:val="20"/>
          <w:szCs w:val="20"/>
        </w:rPr>
        <w:t xml:space="preserve"> в хипотетичен случай, свързан с избор на по-справедлив подход при налагащи се съкращения на персонал (Фигура 1</w:t>
      </w:r>
      <w:r w:rsidR="00836196">
        <w:rPr>
          <w:rFonts w:ascii="Tahoma" w:hAnsi="Tahoma" w:cs="Tahoma"/>
          <w:sz w:val="20"/>
          <w:szCs w:val="20"/>
        </w:rPr>
        <w:t>2</w:t>
      </w:r>
      <w:r w:rsidRPr="000146DA">
        <w:rPr>
          <w:rFonts w:ascii="Tahoma" w:hAnsi="Tahoma" w:cs="Tahoma"/>
          <w:sz w:val="20"/>
          <w:szCs w:val="20"/>
        </w:rPr>
        <w:t xml:space="preserve">). Средно 17% от представителите на по-възрастните поколения считат, че е справедливо </w:t>
      </w:r>
      <w:r w:rsidRPr="000146DA">
        <w:rPr>
          <w:rFonts w:ascii="Tahoma" w:hAnsi="Tahoma" w:cs="Tahoma"/>
          <w:i/>
          <w:iCs/>
          <w:sz w:val="20"/>
          <w:szCs w:val="20"/>
        </w:rPr>
        <w:t>„да се освободят млади хора, защото те по-лесно ще намерят нова работа“.</w:t>
      </w:r>
      <w:r w:rsidRPr="000146DA">
        <w:rPr>
          <w:rFonts w:ascii="Tahoma" w:hAnsi="Tahoma" w:cs="Tahoma"/>
          <w:sz w:val="20"/>
          <w:szCs w:val="20"/>
        </w:rPr>
        <w:t xml:space="preserve"> Около 13% от поколение </w:t>
      </w:r>
      <w:r w:rsidRPr="000146DA">
        <w:rPr>
          <w:rFonts w:ascii="Tahoma" w:hAnsi="Tahoma" w:cs="Tahoma"/>
          <w:sz w:val="20"/>
          <w:szCs w:val="20"/>
          <w:lang w:val="en-US"/>
        </w:rPr>
        <w:t>Z</w:t>
      </w:r>
      <w:r w:rsidRPr="000146DA">
        <w:rPr>
          <w:rFonts w:ascii="Tahoma" w:hAnsi="Tahoma" w:cs="Tahoma"/>
          <w:sz w:val="20"/>
          <w:szCs w:val="20"/>
        </w:rPr>
        <w:t>, 11% от</w:t>
      </w:r>
      <w:r w:rsidRPr="000146DA">
        <w:rPr>
          <w:rFonts w:ascii="Tahoma" w:hAnsi="Tahoma" w:cs="Tahoma"/>
          <w:sz w:val="20"/>
          <w:szCs w:val="20"/>
          <w:lang w:val="en-US"/>
        </w:rPr>
        <w:t xml:space="preserve"> </w:t>
      </w:r>
      <w:r w:rsidRPr="000146DA">
        <w:rPr>
          <w:rFonts w:ascii="Tahoma" w:hAnsi="Tahoma" w:cs="Tahoma"/>
          <w:sz w:val="20"/>
          <w:szCs w:val="20"/>
        </w:rPr>
        <w:t xml:space="preserve"> поколение </w:t>
      </w:r>
      <w:r w:rsidRPr="000146DA">
        <w:rPr>
          <w:rFonts w:ascii="Tahoma" w:hAnsi="Tahoma" w:cs="Tahoma"/>
          <w:sz w:val="20"/>
          <w:szCs w:val="20"/>
          <w:lang w:val="en-US"/>
        </w:rPr>
        <w:t>Y</w:t>
      </w:r>
      <w:r w:rsidRPr="000146DA">
        <w:rPr>
          <w:rFonts w:ascii="Tahoma" w:hAnsi="Tahoma" w:cs="Tahoma"/>
          <w:sz w:val="20"/>
          <w:szCs w:val="20"/>
        </w:rPr>
        <w:t xml:space="preserve"> и 7% от поколение Х, считат, че е справедливо </w:t>
      </w:r>
      <w:r w:rsidRPr="000146DA">
        <w:rPr>
          <w:rFonts w:ascii="Tahoma" w:hAnsi="Tahoma" w:cs="Tahoma"/>
          <w:i/>
          <w:iCs/>
          <w:sz w:val="20"/>
          <w:szCs w:val="20"/>
        </w:rPr>
        <w:t xml:space="preserve">„да се освободят възрастни хора, защото те не са достатъчно пълноценни“. </w:t>
      </w:r>
      <w:r w:rsidRPr="000146DA">
        <w:rPr>
          <w:rFonts w:ascii="Tahoma" w:hAnsi="Tahoma" w:cs="Tahoma"/>
          <w:sz w:val="20"/>
          <w:szCs w:val="20"/>
        </w:rPr>
        <w:t xml:space="preserve">Въпреки че нормативната уредба изисква в такива случаи да се освобождават лица с ниска квалификация и незадоволителни резултати, 42% от поколение </w:t>
      </w:r>
      <w:r w:rsidRPr="000146DA">
        <w:rPr>
          <w:rFonts w:ascii="Tahoma" w:hAnsi="Tahoma" w:cs="Tahoma"/>
          <w:sz w:val="20"/>
          <w:szCs w:val="20"/>
          <w:lang w:val="en-US"/>
        </w:rPr>
        <w:t xml:space="preserve">Z, 35% </w:t>
      </w:r>
      <w:r w:rsidRPr="000146DA">
        <w:rPr>
          <w:rFonts w:ascii="Tahoma" w:hAnsi="Tahoma" w:cs="Tahoma"/>
          <w:sz w:val="20"/>
          <w:szCs w:val="20"/>
        </w:rPr>
        <w:t xml:space="preserve">от </w:t>
      </w:r>
      <w:r w:rsidRPr="000146DA">
        <w:rPr>
          <w:rFonts w:ascii="Tahoma" w:hAnsi="Tahoma" w:cs="Tahoma"/>
          <w:sz w:val="20"/>
          <w:szCs w:val="20"/>
          <w:lang w:val="en-US"/>
        </w:rPr>
        <w:t>Y</w:t>
      </w:r>
      <w:r w:rsidRPr="000146DA">
        <w:rPr>
          <w:rFonts w:ascii="Tahoma" w:hAnsi="Tahoma" w:cs="Tahoma"/>
          <w:sz w:val="20"/>
          <w:szCs w:val="20"/>
        </w:rPr>
        <w:t xml:space="preserve">, 27% от Х и 24% от Т застъпват становището, че е правилно </w:t>
      </w:r>
      <w:r w:rsidRPr="000146DA">
        <w:rPr>
          <w:rFonts w:ascii="Tahoma" w:hAnsi="Tahoma" w:cs="Tahoma"/>
          <w:i/>
          <w:iCs/>
          <w:sz w:val="20"/>
          <w:szCs w:val="20"/>
        </w:rPr>
        <w:t>„да се освободят хора, навършили пенсионна възраст</w:t>
      </w:r>
      <w:r w:rsidR="00D6143F">
        <w:rPr>
          <w:rFonts w:ascii="Tahoma" w:hAnsi="Tahoma" w:cs="Tahoma"/>
          <w:i/>
          <w:iCs/>
          <w:sz w:val="20"/>
          <w:szCs w:val="20"/>
        </w:rPr>
        <w:t>,</w:t>
      </w:r>
      <w:r w:rsidRPr="000146DA">
        <w:rPr>
          <w:rFonts w:ascii="Tahoma" w:hAnsi="Tahoma" w:cs="Tahoma"/>
          <w:i/>
          <w:iCs/>
          <w:sz w:val="20"/>
          <w:szCs w:val="20"/>
        </w:rPr>
        <w:t xml:space="preserve"> независимо дали са опитни и полезни за предприятието“.</w:t>
      </w:r>
      <w:r w:rsidRPr="000146DA">
        <w:rPr>
          <w:rFonts w:ascii="Tahoma" w:hAnsi="Tahoma" w:cs="Tahoma"/>
          <w:sz w:val="20"/>
          <w:szCs w:val="20"/>
        </w:rPr>
        <w:t xml:space="preserve"> </w:t>
      </w:r>
    </w:p>
    <w:p w14:paraId="25D76F46" w14:textId="77777777" w:rsidR="000146DA" w:rsidRPr="000146DA" w:rsidRDefault="000146DA" w:rsidP="00D4304F">
      <w:pPr>
        <w:pStyle w:val="ListParagraph"/>
        <w:numPr>
          <w:ilvl w:val="0"/>
          <w:numId w:val="9"/>
        </w:numPr>
        <w:spacing w:after="60" w:line="240" w:lineRule="auto"/>
        <w:ind w:left="851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0146DA">
        <w:rPr>
          <w:rFonts w:ascii="Tahoma" w:hAnsi="Tahoma" w:cs="Tahoma"/>
          <w:sz w:val="20"/>
          <w:szCs w:val="20"/>
        </w:rPr>
        <w:t xml:space="preserve">Макар и рядко (в 80% от случаите) участниците в проучването споделят, че лично са изпитали или наблюдавали по отношение на други колеги, различни прояви на </w:t>
      </w:r>
      <w:proofErr w:type="spellStart"/>
      <w:r w:rsidRPr="000146DA">
        <w:rPr>
          <w:rFonts w:ascii="Tahoma" w:hAnsi="Tahoma" w:cs="Tahoma"/>
          <w:sz w:val="20"/>
          <w:szCs w:val="20"/>
        </w:rPr>
        <w:t>ейджизъм</w:t>
      </w:r>
      <w:proofErr w:type="spellEnd"/>
      <w:r w:rsidRPr="000146DA">
        <w:rPr>
          <w:rFonts w:ascii="Tahoma" w:hAnsi="Tahoma" w:cs="Tahoma"/>
          <w:sz w:val="20"/>
          <w:szCs w:val="20"/>
        </w:rPr>
        <w:t xml:space="preserve"> и възрастова дискриминация в работната среда. Прояви, както от страна на колеги, така и от страна на ръководители в предприятията. </w:t>
      </w:r>
    </w:p>
    <w:p w14:paraId="79565B9F" w14:textId="19BACA7F" w:rsidR="000146DA" w:rsidRPr="000146DA" w:rsidRDefault="000146DA" w:rsidP="00D4304F">
      <w:pPr>
        <w:pStyle w:val="ListParagraph"/>
        <w:numPr>
          <w:ilvl w:val="0"/>
          <w:numId w:val="9"/>
        </w:numPr>
        <w:spacing w:after="60" w:line="240" w:lineRule="auto"/>
        <w:ind w:left="851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0146DA">
        <w:rPr>
          <w:rFonts w:ascii="Tahoma" w:hAnsi="Tahoma" w:cs="Tahoma"/>
          <w:sz w:val="20"/>
          <w:szCs w:val="20"/>
        </w:rPr>
        <w:t>Преобладаващата част (72%) от най-младите и почти всеки втори (43%) от най-възрастното поколение, в една или друга степен са били обект на язвителни или привидно шеговити подхвърляния от колеги по отношение на тяхната възраст (Фигура 1</w:t>
      </w:r>
      <w:r w:rsidR="00D6143F">
        <w:rPr>
          <w:rFonts w:ascii="Tahoma" w:hAnsi="Tahoma" w:cs="Tahoma"/>
          <w:sz w:val="20"/>
          <w:szCs w:val="20"/>
        </w:rPr>
        <w:t>3</w:t>
      </w:r>
      <w:r w:rsidRPr="000146DA">
        <w:rPr>
          <w:rFonts w:ascii="Tahoma" w:hAnsi="Tahoma" w:cs="Tahoma"/>
          <w:sz w:val="20"/>
          <w:szCs w:val="20"/>
        </w:rPr>
        <w:t xml:space="preserve">). </w:t>
      </w:r>
    </w:p>
    <w:p w14:paraId="578B0A60" w14:textId="77777777" w:rsidR="000146DA" w:rsidRPr="000146DA" w:rsidRDefault="000146DA" w:rsidP="00D4304F">
      <w:pPr>
        <w:pStyle w:val="ListParagraph"/>
        <w:numPr>
          <w:ilvl w:val="0"/>
          <w:numId w:val="9"/>
        </w:numPr>
        <w:spacing w:after="60" w:line="240" w:lineRule="auto"/>
        <w:ind w:left="851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0146DA">
        <w:rPr>
          <w:rFonts w:ascii="Tahoma" w:hAnsi="Tahoma" w:cs="Tahoma"/>
          <w:sz w:val="20"/>
          <w:szCs w:val="20"/>
        </w:rPr>
        <w:t xml:space="preserve">В сравнение с по-възрастните поколения, два пъти повече представители на младите (поколения </w:t>
      </w:r>
      <w:r w:rsidRPr="000146DA">
        <w:rPr>
          <w:rFonts w:ascii="Tahoma" w:hAnsi="Tahoma" w:cs="Tahoma"/>
          <w:sz w:val="20"/>
          <w:szCs w:val="20"/>
          <w:lang w:val="en-US"/>
        </w:rPr>
        <w:t xml:space="preserve">Z </w:t>
      </w:r>
      <w:r w:rsidRPr="000146DA">
        <w:rPr>
          <w:rFonts w:ascii="Tahoma" w:hAnsi="Tahoma" w:cs="Tahoma"/>
          <w:sz w:val="20"/>
          <w:szCs w:val="20"/>
        </w:rPr>
        <w:t xml:space="preserve">и </w:t>
      </w:r>
      <w:r w:rsidRPr="000146DA">
        <w:rPr>
          <w:rFonts w:ascii="Tahoma" w:hAnsi="Tahoma" w:cs="Tahoma"/>
          <w:sz w:val="20"/>
          <w:szCs w:val="20"/>
          <w:lang w:val="en-US"/>
        </w:rPr>
        <w:t>Y</w:t>
      </w:r>
      <w:r w:rsidRPr="000146DA">
        <w:rPr>
          <w:rFonts w:ascii="Tahoma" w:hAnsi="Tahoma" w:cs="Tahoma"/>
          <w:sz w:val="20"/>
          <w:szCs w:val="20"/>
        </w:rPr>
        <w:t>) са чувствали в работата си снизходителност, подценяване, пренебрежение или ощетяване от страна на други по причини, свързани с тяхната възраст.</w:t>
      </w:r>
    </w:p>
    <w:p w14:paraId="5A75ED9A" w14:textId="77777777" w:rsidR="000146DA" w:rsidRPr="000146DA" w:rsidRDefault="000146DA" w:rsidP="00D4304F">
      <w:pPr>
        <w:pStyle w:val="ListParagraph"/>
        <w:numPr>
          <w:ilvl w:val="0"/>
          <w:numId w:val="9"/>
        </w:numPr>
        <w:spacing w:after="60" w:line="240" w:lineRule="auto"/>
        <w:ind w:left="851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0146DA">
        <w:rPr>
          <w:rFonts w:ascii="Tahoma" w:hAnsi="Tahoma" w:cs="Tahoma"/>
          <w:sz w:val="20"/>
          <w:szCs w:val="20"/>
        </w:rPr>
        <w:t xml:space="preserve">Около 40% от всички поколения анкетирани споделят, че са били подложени на дискриминационно отношение от страна на техни ръководители. В 18% от случаите, това се е случвало често и дори постоянно. </w:t>
      </w:r>
    </w:p>
    <w:p w14:paraId="17AB75BF" w14:textId="27D0DC08" w:rsidR="000146DA" w:rsidRDefault="000146DA" w:rsidP="000146DA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14:paraId="1F9BA4C3" w14:textId="77777777" w:rsidR="000146DA" w:rsidRDefault="000146D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24ACDB2E" w14:textId="77777777" w:rsidR="00801B84" w:rsidRDefault="00801B84" w:rsidP="000146DA">
      <w:pPr>
        <w:spacing w:after="12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295E8DD" w14:textId="16613653" w:rsidR="000146DA" w:rsidRDefault="000146DA" w:rsidP="000146DA">
      <w:pPr>
        <w:spacing w:after="12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146DA">
        <w:rPr>
          <w:rFonts w:ascii="Tahoma" w:hAnsi="Tahoma" w:cs="Tahoma"/>
          <w:b/>
          <w:bCs/>
          <w:sz w:val="20"/>
          <w:szCs w:val="20"/>
        </w:rPr>
        <w:t>ГРАФИКИ</w:t>
      </w:r>
    </w:p>
    <w:p w14:paraId="2A6DD3FD" w14:textId="526A4F79" w:rsidR="00801B84" w:rsidRDefault="00801B84" w:rsidP="000146DA">
      <w:pPr>
        <w:spacing w:after="12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B28C8BF" w14:textId="77777777" w:rsidR="000146DA" w:rsidRPr="00943F68" w:rsidRDefault="000146DA" w:rsidP="000146DA">
      <w:pPr>
        <w:rPr>
          <w:rFonts w:ascii="Tahoma" w:hAnsi="Tahoma" w:cs="Tahoma"/>
        </w:rPr>
      </w:pPr>
      <w:r w:rsidRPr="00943F68">
        <w:rPr>
          <w:rFonts w:ascii="Tahoma" w:hAnsi="Tahoma" w:cs="Tahoma"/>
          <w:b/>
          <w:bCs/>
        </w:rPr>
        <w:t>Фигура 1.</w:t>
      </w:r>
      <w:r w:rsidRPr="00943F68">
        <w:rPr>
          <w:rFonts w:ascii="Tahoma" w:hAnsi="Tahoma" w:cs="Tahoma"/>
        </w:rPr>
        <w:t xml:space="preserve"> Тип предприятия обхванати в одита (%). </w:t>
      </w:r>
    </w:p>
    <w:p w14:paraId="06AA1697" w14:textId="310C827D" w:rsidR="000146DA" w:rsidRDefault="000146DA" w:rsidP="000146DA">
      <w:pPr>
        <w:rPr>
          <w:rFonts w:ascii="Tahoma" w:hAnsi="Tahoma" w:cs="Tahoma"/>
        </w:rPr>
      </w:pPr>
      <w:r w:rsidRPr="00943F68">
        <w:rPr>
          <w:rFonts w:ascii="Tahoma" w:hAnsi="Tahoma" w:cs="Tahoma"/>
          <w:noProof/>
        </w:rPr>
        <w:drawing>
          <wp:inline distT="0" distB="0" distL="0" distR="0" wp14:anchorId="4631521B" wp14:editId="6D27B8F0">
            <wp:extent cx="5144494" cy="2345055"/>
            <wp:effectExtent l="0" t="0" r="18415" b="17145"/>
            <wp:docPr id="54648184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EF034C8" w14:textId="7C7ABFA1" w:rsidR="00D4304F" w:rsidRPr="00943F68" w:rsidRDefault="00D4304F" w:rsidP="00D4304F">
      <w:pPr>
        <w:spacing w:before="240"/>
        <w:rPr>
          <w:rFonts w:ascii="Tahoma" w:hAnsi="Tahoma" w:cs="Tahoma"/>
        </w:rPr>
      </w:pPr>
      <w:r w:rsidRPr="00943F68">
        <w:rPr>
          <w:rFonts w:ascii="Tahoma" w:hAnsi="Tahoma" w:cs="Tahoma"/>
          <w:b/>
          <w:bCs/>
        </w:rPr>
        <w:t xml:space="preserve">Фигура </w:t>
      </w:r>
      <w:r w:rsidR="00801B84">
        <w:rPr>
          <w:rFonts w:ascii="Tahoma" w:hAnsi="Tahoma" w:cs="Tahoma"/>
          <w:b/>
          <w:bCs/>
        </w:rPr>
        <w:t>2</w:t>
      </w:r>
      <w:r w:rsidRPr="00943F68">
        <w:rPr>
          <w:rFonts w:ascii="Tahoma" w:hAnsi="Tahoma" w:cs="Tahoma"/>
          <w:b/>
          <w:bCs/>
        </w:rPr>
        <w:t>.</w:t>
      </w:r>
      <w:r w:rsidRPr="00943F68">
        <w:rPr>
          <w:rFonts w:ascii="Tahoma" w:hAnsi="Tahoma" w:cs="Tahoma"/>
        </w:rPr>
        <w:t xml:space="preserve"> Възрастова структура на работната сила (%) в обхванатите от проекта пет икономически сектори (%).</w:t>
      </w:r>
    </w:p>
    <w:p w14:paraId="5025A722" w14:textId="77777777" w:rsidR="00D4304F" w:rsidRPr="00943F68" w:rsidRDefault="00D4304F" w:rsidP="00D4304F">
      <w:pPr>
        <w:spacing w:after="120"/>
        <w:rPr>
          <w:rFonts w:ascii="Tahoma" w:hAnsi="Tahoma" w:cs="Tahoma"/>
          <w:b/>
          <w:bCs/>
          <w:color w:val="0070C0"/>
          <w:sz w:val="28"/>
          <w:szCs w:val="28"/>
        </w:rPr>
      </w:pPr>
      <w:r w:rsidRPr="00943F68">
        <w:rPr>
          <w:rFonts w:ascii="Tahoma" w:hAnsi="Tahoma" w:cs="Tahoma"/>
          <w:b/>
          <w:bCs/>
          <w:noProof/>
          <w:color w:val="0070C0"/>
          <w:sz w:val="28"/>
          <w:szCs w:val="28"/>
        </w:rPr>
        <w:drawing>
          <wp:inline distT="0" distB="0" distL="0" distR="0" wp14:anchorId="4F89B252" wp14:editId="708ACE00">
            <wp:extent cx="5486400" cy="1550504"/>
            <wp:effectExtent l="0" t="0" r="0" b="12065"/>
            <wp:docPr id="259745448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207BF54" w14:textId="556DFE91" w:rsidR="00D4304F" w:rsidRPr="00943F68" w:rsidRDefault="00D4304F" w:rsidP="00D4304F">
      <w:pPr>
        <w:jc w:val="both"/>
        <w:rPr>
          <w:rFonts w:ascii="Tahoma" w:hAnsi="Tahoma" w:cs="Tahoma"/>
        </w:rPr>
      </w:pPr>
      <w:r w:rsidRPr="00943F68">
        <w:rPr>
          <w:rFonts w:ascii="Tahoma" w:hAnsi="Tahoma" w:cs="Tahoma"/>
          <w:b/>
          <w:bCs/>
        </w:rPr>
        <w:t xml:space="preserve">Фигура </w:t>
      </w:r>
      <w:r w:rsidR="00801B84">
        <w:rPr>
          <w:rFonts w:ascii="Tahoma" w:hAnsi="Tahoma" w:cs="Tahoma"/>
          <w:b/>
          <w:bCs/>
        </w:rPr>
        <w:t>3</w:t>
      </w:r>
      <w:r w:rsidRPr="00943F68">
        <w:rPr>
          <w:rFonts w:ascii="Tahoma" w:hAnsi="Tahoma" w:cs="Tahoma"/>
          <w:b/>
          <w:bCs/>
        </w:rPr>
        <w:t>.</w:t>
      </w:r>
      <w:r w:rsidRPr="00943F68">
        <w:rPr>
          <w:rFonts w:ascii="Tahoma" w:hAnsi="Tahoma" w:cs="Tahoma"/>
        </w:rPr>
        <w:t xml:space="preserve"> В каква степен възрастовата и квалификационната структура на персонала отговаря на бизнес стратегията и целите на Вашата организация (%)?</w:t>
      </w:r>
    </w:p>
    <w:p w14:paraId="2E43EB7C" w14:textId="77777777" w:rsidR="00D4304F" w:rsidRPr="00943F68" w:rsidRDefault="00D4304F" w:rsidP="00D4304F">
      <w:pPr>
        <w:pStyle w:val="ListParagraph"/>
        <w:spacing w:after="0"/>
        <w:jc w:val="both"/>
        <w:rPr>
          <w:rFonts w:ascii="Tahoma" w:hAnsi="Tahoma" w:cs="Tahoma"/>
          <w:sz w:val="24"/>
          <w:szCs w:val="24"/>
        </w:rPr>
      </w:pPr>
      <w:r w:rsidRPr="00943F68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7EADB229" wp14:editId="6898BEFC">
            <wp:extent cx="4492487" cy="2035175"/>
            <wp:effectExtent l="0" t="0" r="3810" b="3175"/>
            <wp:docPr id="2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7F6D159" w14:textId="77777777" w:rsidR="000146DA" w:rsidRPr="00943F68" w:rsidRDefault="000146DA" w:rsidP="000146DA">
      <w:pPr>
        <w:rPr>
          <w:rFonts w:ascii="Tahoma" w:hAnsi="Tahoma" w:cs="Tahoma"/>
        </w:rPr>
      </w:pPr>
    </w:p>
    <w:p w14:paraId="65AEB6D0" w14:textId="77777777" w:rsidR="00801B84" w:rsidRDefault="00801B84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01473605" w14:textId="458A4CBD" w:rsidR="00D4304F" w:rsidRPr="00943F68" w:rsidRDefault="00D4304F" w:rsidP="00D4304F">
      <w:pPr>
        <w:jc w:val="both"/>
        <w:rPr>
          <w:rFonts w:ascii="Tahoma" w:hAnsi="Tahoma" w:cs="Tahoma"/>
        </w:rPr>
      </w:pPr>
      <w:r w:rsidRPr="00943F68">
        <w:rPr>
          <w:rFonts w:ascii="Tahoma" w:hAnsi="Tahoma" w:cs="Tahoma"/>
          <w:b/>
          <w:bCs/>
        </w:rPr>
        <w:lastRenderedPageBreak/>
        <w:t xml:space="preserve">Фигура </w:t>
      </w:r>
      <w:r w:rsidR="00801B84">
        <w:rPr>
          <w:rFonts w:ascii="Tahoma" w:hAnsi="Tahoma" w:cs="Tahoma"/>
          <w:b/>
          <w:bCs/>
        </w:rPr>
        <w:t>4</w:t>
      </w:r>
      <w:r w:rsidRPr="00943F68">
        <w:rPr>
          <w:rFonts w:ascii="Tahoma" w:hAnsi="Tahoma" w:cs="Tahoma"/>
          <w:b/>
          <w:bCs/>
        </w:rPr>
        <w:t xml:space="preserve">. </w:t>
      </w:r>
      <w:r w:rsidRPr="00943F68">
        <w:rPr>
          <w:rFonts w:ascii="Tahoma" w:hAnsi="Tahoma" w:cs="Tahoma"/>
        </w:rPr>
        <w:t>Топ 10 на проблемите в състоянието на човешките ресурси</w:t>
      </w:r>
    </w:p>
    <w:p w14:paraId="23F00575" w14:textId="77777777" w:rsidR="00D4304F" w:rsidRPr="00943F68" w:rsidRDefault="00D4304F" w:rsidP="00D4304F">
      <w:pPr>
        <w:rPr>
          <w:rFonts w:ascii="Tahoma" w:hAnsi="Tahoma" w:cs="Tahoma"/>
          <w:sz w:val="24"/>
          <w:szCs w:val="24"/>
        </w:rPr>
      </w:pPr>
      <w:r w:rsidRPr="00943F68">
        <w:rPr>
          <w:rFonts w:ascii="Tahoma" w:hAnsi="Tahoma" w:cs="Tahoma"/>
          <w:noProof/>
          <w:sz w:val="24"/>
          <w:szCs w:val="24"/>
          <w:shd w:val="clear" w:color="auto" w:fill="002060"/>
        </w:rPr>
        <w:drawing>
          <wp:inline distT="0" distB="0" distL="0" distR="0" wp14:anchorId="4A0E105A" wp14:editId="1896308A">
            <wp:extent cx="6018530" cy="4238046"/>
            <wp:effectExtent l="0" t="0" r="1270" b="10160"/>
            <wp:docPr id="3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691E19D" w14:textId="77777777" w:rsidR="00801B84" w:rsidRDefault="00801B84" w:rsidP="00D4304F">
      <w:pPr>
        <w:spacing w:after="0"/>
        <w:rPr>
          <w:rFonts w:ascii="Tahoma" w:hAnsi="Tahoma" w:cs="Tahoma"/>
          <w:b/>
          <w:bCs/>
          <w:sz w:val="24"/>
          <w:szCs w:val="24"/>
        </w:rPr>
      </w:pPr>
    </w:p>
    <w:p w14:paraId="2EE39543" w14:textId="129AC55B" w:rsidR="00D4304F" w:rsidRDefault="00D4304F" w:rsidP="00D4304F">
      <w:pPr>
        <w:spacing w:after="0"/>
        <w:rPr>
          <w:rFonts w:ascii="Tahoma" w:hAnsi="Tahoma" w:cs="Tahoma"/>
          <w:sz w:val="24"/>
          <w:szCs w:val="24"/>
        </w:rPr>
      </w:pPr>
      <w:r w:rsidRPr="00244373">
        <w:rPr>
          <w:rFonts w:ascii="Tahoma" w:hAnsi="Tahoma" w:cs="Tahoma"/>
          <w:b/>
          <w:bCs/>
          <w:sz w:val="24"/>
          <w:szCs w:val="24"/>
        </w:rPr>
        <w:t xml:space="preserve">Фигура </w:t>
      </w:r>
      <w:r w:rsidR="00801B84">
        <w:rPr>
          <w:rFonts w:ascii="Tahoma" w:hAnsi="Tahoma" w:cs="Tahoma"/>
          <w:b/>
          <w:bCs/>
          <w:sz w:val="24"/>
          <w:szCs w:val="24"/>
        </w:rPr>
        <w:t>5</w:t>
      </w:r>
      <w:r w:rsidRPr="00244373">
        <w:rPr>
          <w:rFonts w:ascii="Tahoma" w:hAnsi="Tahoma" w:cs="Tahoma"/>
          <w:b/>
          <w:bCs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Текучество на персонал в предприятията  (по възрастови групи) за </w:t>
      </w:r>
    </w:p>
    <w:p w14:paraId="6BE1E94E" w14:textId="77777777" w:rsidR="00D4304F" w:rsidRPr="00943F68" w:rsidRDefault="00D4304F" w:rsidP="00D4304F">
      <w:p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периода 2022 г. – 2023 г. (%)</w:t>
      </w:r>
    </w:p>
    <w:p w14:paraId="54C0377E" w14:textId="77777777" w:rsidR="00D4304F" w:rsidRPr="00943F68" w:rsidRDefault="00D4304F" w:rsidP="00D4304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6D1DB4D0" wp14:editId="27AE79D0">
            <wp:extent cx="5486400" cy="1948070"/>
            <wp:effectExtent l="0" t="0" r="0" b="14605"/>
            <wp:docPr id="4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296FD91" w14:textId="77777777" w:rsidR="00801B84" w:rsidRDefault="00801B84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36FF1E2B" w14:textId="69B9A90B" w:rsidR="00D4304F" w:rsidRPr="00FA1032" w:rsidRDefault="00D4304F" w:rsidP="00D4304F">
      <w:pPr>
        <w:spacing w:after="0"/>
        <w:jc w:val="both"/>
        <w:rPr>
          <w:rFonts w:ascii="Tahoma" w:hAnsi="Tahoma" w:cs="Tahoma"/>
        </w:rPr>
      </w:pPr>
      <w:r w:rsidRPr="00FA1032">
        <w:rPr>
          <w:rFonts w:ascii="Tahoma" w:hAnsi="Tahoma" w:cs="Tahoma"/>
          <w:b/>
          <w:bCs/>
        </w:rPr>
        <w:lastRenderedPageBreak/>
        <w:t xml:space="preserve">Фигура </w:t>
      </w:r>
      <w:r w:rsidR="00801B84">
        <w:rPr>
          <w:rFonts w:ascii="Tahoma" w:hAnsi="Tahoma" w:cs="Tahoma"/>
          <w:b/>
          <w:bCs/>
        </w:rPr>
        <w:t>6</w:t>
      </w:r>
      <w:r w:rsidRPr="00FA1032">
        <w:rPr>
          <w:rFonts w:ascii="Tahoma" w:hAnsi="Tahoma" w:cs="Tahoma"/>
          <w:b/>
          <w:bCs/>
        </w:rPr>
        <w:t>.</w:t>
      </w:r>
      <w:r w:rsidRPr="00FA1032">
        <w:rPr>
          <w:rFonts w:ascii="Tahoma" w:hAnsi="Tahoma" w:cs="Tahoma"/>
        </w:rPr>
        <w:t xml:space="preserve">  Несъстоятелни твърдения за възрастта на работното място, при </w:t>
      </w:r>
    </w:p>
    <w:p w14:paraId="74351C67" w14:textId="77777777" w:rsidR="00D4304F" w:rsidRPr="00FA1032" w:rsidRDefault="00D4304F" w:rsidP="00D4304F">
      <w:pPr>
        <w:spacing w:after="240"/>
        <w:jc w:val="both"/>
        <w:rPr>
          <w:rFonts w:ascii="Tahoma" w:hAnsi="Tahoma" w:cs="Tahoma"/>
        </w:rPr>
      </w:pPr>
      <w:r w:rsidRPr="00FA1032">
        <w:rPr>
          <w:rFonts w:ascii="Tahoma" w:hAnsi="Tahoma" w:cs="Tahoma"/>
        </w:rPr>
        <w:t xml:space="preserve">които се наблюдава известно </w:t>
      </w:r>
      <w:r w:rsidRPr="00FA1032">
        <w:rPr>
          <w:rFonts w:ascii="Tahoma" w:hAnsi="Tahoma" w:cs="Tahoma"/>
          <w:b/>
          <w:bCs/>
        </w:rPr>
        <w:t>сходство в мненията</w:t>
      </w:r>
      <w:r w:rsidRPr="00FA1032">
        <w:rPr>
          <w:rFonts w:ascii="Tahoma" w:hAnsi="Tahoma" w:cs="Tahoma"/>
        </w:rPr>
        <w:t xml:space="preserve"> на отделните поколения работници и служители (% утвърдителни отговори на твърдението). </w:t>
      </w:r>
    </w:p>
    <w:p w14:paraId="348F91E1" w14:textId="77777777" w:rsidR="00D4304F" w:rsidRPr="00AF03D2" w:rsidRDefault="00D4304F" w:rsidP="00D4304F">
      <w:pPr>
        <w:spacing w:after="0"/>
        <w:rPr>
          <w:rFonts w:ascii="Tahoma" w:hAnsi="Tahoma" w:cs="Tahoma"/>
          <w:sz w:val="24"/>
          <w:szCs w:val="24"/>
        </w:rPr>
      </w:pPr>
      <w:r w:rsidRPr="003C2EE3">
        <w:rPr>
          <w:rFonts w:ascii="Tahoma" w:hAnsi="Tahoma" w:cs="Tahoma"/>
          <w:noProof/>
        </w:rPr>
        <w:drawing>
          <wp:inline distT="0" distB="0" distL="0" distR="0" wp14:anchorId="10331609" wp14:editId="12E120DA">
            <wp:extent cx="6297295" cy="2464905"/>
            <wp:effectExtent l="0" t="0" r="8255" b="12065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2DC4553" w14:textId="77777777" w:rsidR="00D4304F" w:rsidRPr="007458B1" w:rsidRDefault="00D4304F" w:rsidP="00D4304F">
      <w:pPr>
        <w:spacing w:after="0"/>
        <w:rPr>
          <w:rFonts w:ascii="Tahoma" w:hAnsi="Tahoma" w:cs="Tahoma"/>
          <w:sz w:val="16"/>
          <w:szCs w:val="16"/>
          <w:lang w:val="en-US"/>
        </w:rPr>
      </w:pPr>
    </w:p>
    <w:p w14:paraId="052FB761" w14:textId="77777777" w:rsidR="00801B84" w:rsidRDefault="00801B84" w:rsidP="00D4304F">
      <w:pPr>
        <w:jc w:val="both"/>
        <w:rPr>
          <w:rFonts w:ascii="Tahoma" w:hAnsi="Tahoma" w:cs="Tahoma"/>
          <w:b/>
          <w:bCs/>
        </w:rPr>
      </w:pPr>
    </w:p>
    <w:p w14:paraId="575C39CC" w14:textId="45B328C4" w:rsidR="00D4304F" w:rsidRPr="00FA1032" w:rsidRDefault="00D4304F" w:rsidP="00D4304F">
      <w:pPr>
        <w:jc w:val="both"/>
        <w:rPr>
          <w:rFonts w:ascii="Tahoma" w:hAnsi="Tahoma" w:cs="Tahoma"/>
        </w:rPr>
      </w:pPr>
      <w:r w:rsidRPr="00FA1032">
        <w:rPr>
          <w:rFonts w:ascii="Tahoma" w:hAnsi="Tahoma" w:cs="Tahoma"/>
          <w:b/>
          <w:bCs/>
        </w:rPr>
        <w:t xml:space="preserve">Фигура </w:t>
      </w:r>
      <w:r w:rsidR="00801B84">
        <w:rPr>
          <w:rFonts w:ascii="Tahoma" w:hAnsi="Tahoma" w:cs="Tahoma"/>
          <w:b/>
          <w:bCs/>
        </w:rPr>
        <w:t>7</w:t>
      </w:r>
      <w:r w:rsidRPr="00FA1032">
        <w:rPr>
          <w:rFonts w:ascii="Tahoma" w:hAnsi="Tahoma" w:cs="Tahoma"/>
          <w:b/>
          <w:bCs/>
        </w:rPr>
        <w:t>.</w:t>
      </w:r>
      <w:r w:rsidRPr="00FA1032">
        <w:rPr>
          <w:rFonts w:ascii="Tahoma" w:hAnsi="Tahoma" w:cs="Tahoma"/>
        </w:rPr>
        <w:t xml:space="preserve"> Пристрастия и предубеждения на младите </w:t>
      </w:r>
      <w:r w:rsidRPr="00FA1032">
        <w:rPr>
          <w:rFonts w:ascii="Tahoma" w:hAnsi="Tahoma" w:cs="Tahoma"/>
          <w:b/>
          <w:bCs/>
        </w:rPr>
        <w:t>към по-възрастните</w:t>
      </w:r>
      <w:r w:rsidRPr="00FA1032">
        <w:rPr>
          <w:rFonts w:ascii="Tahoma" w:hAnsi="Tahoma" w:cs="Tahoma"/>
        </w:rPr>
        <w:t xml:space="preserve"> поколения на работното място (% утвърдителни отговори на твърдението).</w:t>
      </w:r>
    </w:p>
    <w:p w14:paraId="08222D3E" w14:textId="77777777" w:rsidR="00D4304F" w:rsidRDefault="00D4304F" w:rsidP="00D4304F">
      <w:pPr>
        <w:rPr>
          <w:rFonts w:ascii="Tahoma" w:hAnsi="Tahoma" w:cs="Tahoma"/>
          <w:sz w:val="24"/>
          <w:szCs w:val="24"/>
        </w:rPr>
      </w:pPr>
      <w:r w:rsidRPr="003C2EE3">
        <w:rPr>
          <w:rFonts w:ascii="Tahoma" w:hAnsi="Tahoma" w:cs="Tahoma"/>
          <w:noProof/>
        </w:rPr>
        <w:drawing>
          <wp:inline distT="0" distB="0" distL="0" distR="0" wp14:anchorId="61B60CE8" wp14:editId="201A0596">
            <wp:extent cx="6392545" cy="2234317"/>
            <wp:effectExtent l="0" t="0" r="8255" b="13970"/>
            <wp:docPr id="6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165478B" w14:textId="77777777" w:rsidR="00801B84" w:rsidRDefault="00801B84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222E5DBF" w14:textId="35538D6C" w:rsidR="00D4304F" w:rsidRPr="00FA1032" w:rsidRDefault="00D4304F" w:rsidP="00D4304F">
      <w:pPr>
        <w:rPr>
          <w:rFonts w:ascii="Tahoma" w:hAnsi="Tahoma" w:cs="Tahoma"/>
        </w:rPr>
      </w:pPr>
      <w:r w:rsidRPr="00FA1032">
        <w:rPr>
          <w:rFonts w:ascii="Tahoma" w:hAnsi="Tahoma" w:cs="Tahoma"/>
          <w:b/>
          <w:bCs/>
        </w:rPr>
        <w:lastRenderedPageBreak/>
        <w:t xml:space="preserve">Фигура </w:t>
      </w:r>
      <w:r w:rsidR="00801B84">
        <w:rPr>
          <w:rFonts w:ascii="Tahoma" w:hAnsi="Tahoma" w:cs="Tahoma"/>
          <w:b/>
          <w:bCs/>
        </w:rPr>
        <w:t>8</w:t>
      </w:r>
      <w:r w:rsidRPr="00FA1032">
        <w:rPr>
          <w:rFonts w:ascii="Tahoma" w:hAnsi="Tahoma" w:cs="Tahoma"/>
          <w:b/>
          <w:bCs/>
        </w:rPr>
        <w:t>.</w:t>
      </w:r>
      <w:r w:rsidRPr="00FA1032">
        <w:rPr>
          <w:rFonts w:ascii="Tahoma" w:hAnsi="Tahoma" w:cs="Tahoma"/>
        </w:rPr>
        <w:t xml:space="preserve"> Пристрастия и предубеждения на възрастните </w:t>
      </w:r>
      <w:r w:rsidRPr="00FA1032">
        <w:rPr>
          <w:rFonts w:ascii="Tahoma" w:hAnsi="Tahoma" w:cs="Tahoma"/>
          <w:b/>
          <w:bCs/>
        </w:rPr>
        <w:t>към по-младите</w:t>
      </w:r>
      <w:r w:rsidRPr="00FA1032">
        <w:rPr>
          <w:rFonts w:ascii="Tahoma" w:hAnsi="Tahoma" w:cs="Tahoma"/>
        </w:rPr>
        <w:t xml:space="preserve"> поколения на работното място (% утвърдителни отговори на твърдението).</w:t>
      </w:r>
    </w:p>
    <w:p w14:paraId="67CF2108" w14:textId="77777777" w:rsidR="00D4304F" w:rsidRDefault="00D4304F" w:rsidP="00D4304F">
      <w:pPr>
        <w:rPr>
          <w:rFonts w:ascii="Tahoma" w:hAnsi="Tahoma" w:cs="Tahoma"/>
          <w:sz w:val="24"/>
          <w:szCs w:val="24"/>
        </w:rPr>
      </w:pPr>
      <w:r w:rsidRPr="003C2EE3">
        <w:rPr>
          <w:rFonts w:ascii="Tahoma" w:hAnsi="Tahoma" w:cs="Tahoma"/>
          <w:noProof/>
        </w:rPr>
        <w:drawing>
          <wp:inline distT="0" distB="0" distL="0" distR="0" wp14:anchorId="21551526" wp14:editId="58191B7C">
            <wp:extent cx="6320790" cy="2122998"/>
            <wp:effectExtent l="0" t="0" r="3810" b="10795"/>
            <wp:docPr id="7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9524F25" w14:textId="77777777" w:rsidR="00801B84" w:rsidRDefault="00801B84" w:rsidP="00D4304F">
      <w:pPr>
        <w:spacing w:after="240"/>
        <w:rPr>
          <w:rFonts w:ascii="Tahoma" w:hAnsi="Tahoma" w:cs="Tahoma"/>
          <w:b/>
          <w:bCs/>
        </w:rPr>
      </w:pPr>
    </w:p>
    <w:p w14:paraId="768E62C0" w14:textId="23323CC6" w:rsidR="00D4304F" w:rsidRPr="00B5053E" w:rsidRDefault="00D4304F" w:rsidP="00D4304F">
      <w:pPr>
        <w:spacing w:after="240"/>
        <w:rPr>
          <w:rFonts w:ascii="Tahoma" w:hAnsi="Tahoma" w:cs="Tahoma"/>
        </w:rPr>
      </w:pPr>
      <w:r w:rsidRPr="00B5053E">
        <w:rPr>
          <w:rFonts w:ascii="Tahoma" w:hAnsi="Tahoma" w:cs="Tahoma"/>
          <w:b/>
          <w:bCs/>
        </w:rPr>
        <w:t xml:space="preserve">Фигура </w:t>
      </w:r>
      <w:r w:rsidR="00801B84">
        <w:rPr>
          <w:rFonts w:ascii="Tahoma" w:hAnsi="Tahoma" w:cs="Tahoma"/>
          <w:b/>
          <w:bCs/>
        </w:rPr>
        <w:t>9</w:t>
      </w:r>
      <w:r w:rsidRPr="00B5053E">
        <w:rPr>
          <w:rFonts w:ascii="Tahoma" w:hAnsi="Tahoma" w:cs="Tahoma"/>
          <w:b/>
          <w:bCs/>
        </w:rPr>
        <w:t>.</w:t>
      </w:r>
      <w:r w:rsidRPr="00B5053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С колеги/колежки на каква възраст </w:t>
      </w:r>
      <w:r w:rsidRPr="00B5053E">
        <w:rPr>
          <w:rFonts w:ascii="Tahoma" w:hAnsi="Tahoma" w:cs="Tahoma"/>
        </w:rPr>
        <w:t>Ви е по-трудно да общувате и да се разбирате? (% по възрастови групи)</w:t>
      </w:r>
    </w:p>
    <w:p w14:paraId="4F6F57DC" w14:textId="77777777" w:rsidR="00D4304F" w:rsidRPr="00B5053E" w:rsidRDefault="00D4304F" w:rsidP="00D4304F">
      <w:pPr>
        <w:spacing w:after="240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7D8A735A" wp14:editId="43783B22">
            <wp:extent cx="6146359" cy="3554095"/>
            <wp:effectExtent l="0" t="0" r="6985" b="8255"/>
            <wp:docPr id="8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D5EA6D0" w14:textId="77777777" w:rsidR="00801B84" w:rsidRDefault="00801B84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7E02E050" w14:textId="05767B23" w:rsidR="00D4304F" w:rsidRPr="0025263D" w:rsidRDefault="00D4304F" w:rsidP="00D4304F">
      <w:pPr>
        <w:rPr>
          <w:rFonts w:ascii="Tahoma" w:hAnsi="Tahoma" w:cs="Tahoma"/>
        </w:rPr>
      </w:pPr>
      <w:r w:rsidRPr="0025263D">
        <w:rPr>
          <w:rFonts w:ascii="Tahoma" w:hAnsi="Tahoma" w:cs="Tahoma"/>
          <w:b/>
          <w:bCs/>
        </w:rPr>
        <w:lastRenderedPageBreak/>
        <w:t>Фигура 1</w:t>
      </w:r>
      <w:r w:rsidR="00801B84">
        <w:rPr>
          <w:rFonts w:ascii="Tahoma" w:hAnsi="Tahoma" w:cs="Tahoma"/>
          <w:b/>
          <w:bCs/>
        </w:rPr>
        <w:t>0</w:t>
      </w:r>
      <w:r w:rsidRPr="0025263D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Кой екип може да е най-успешен? (%)</w:t>
      </w:r>
    </w:p>
    <w:p w14:paraId="4F646163" w14:textId="77777777" w:rsidR="00D4304F" w:rsidRDefault="00D4304F" w:rsidP="00D4304F">
      <w:pPr>
        <w:spacing w:after="240"/>
        <w:rPr>
          <w:rFonts w:ascii="Tahoma" w:hAnsi="Tahoma" w:cs="Tahoma"/>
          <w:noProof/>
        </w:rPr>
      </w:pPr>
      <w:r>
        <w:rPr>
          <w:noProof/>
        </w:rPr>
        <w:drawing>
          <wp:inline distT="0" distB="0" distL="0" distR="0" wp14:anchorId="58F8E469" wp14:editId="5F5F7AFE">
            <wp:extent cx="3481900" cy="1860606"/>
            <wp:effectExtent l="0" t="0" r="4445" b="6350"/>
            <wp:docPr id="10" name="Picture 25">
              <a:extLst xmlns:a="http://schemas.openxmlformats.org/drawingml/2006/main">
                <a:ext uri="{FF2B5EF4-FFF2-40B4-BE49-F238E27FC236}">
                  <a16:creationId xmlns:a16="http://schemas.microsoft.com/office/drawing/2014/main" id="{4D7E20CC-BBDB-62DD-3A6B-6F2B653C39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5">
                      <a:extLst>
                        <a:ext uri="{FF2B5EF4-FFF2-40B4-BE49-F238E27FC236}">
                          <a16:creationId xmlns:a16="http://schemas.microsoft.com/office/drawing/2014/main" id="{4D7E20CC-BBDB-62DD-3A6B-6F2B653C39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7761" cy="187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FC84A" w14:textId="3E833B5B" w:rsidR="00D4304F" w:rsidRPr="000106FD" w:rsidRDefault="00D4304F" w:rsidP="00D4304F">
      <w:pPr>
        <w:jc w:val="both"/>
        <w:rPr>
          <w:rFonts w:ascii="Tahoma" w:hAnsi="Tahoma" w:cs="Tahoma"/>
        </w:rPr>
      </w:pPr>
      <w:r w:rsidRPr="000106FD">
        <w:rPr>
          <w:rFonts w:ascii="Tahoma" w:hAnsi="Tahoma" w:cs="Tahoma"/>
          <w:b/>
          <w:bCs/>
        </w:rPr>
        <w:t>Фигура 1</w:t>
      </w:r>
      <w:r w:rsidR="00801B84">
        <w:rPr>
          <w:rFonts w:ascii="Tahoma" w:hAnsi="Tahoma" w:cs="Tahoma"/>
          <w:b/>
          <w:bCs/>
        </w:rPr>
        <w:t>1</w:t>
      </w:r>
      <w:r w:rsidRPr="000106FD">
        <w:rPr>
          <w:rFonts w:ascii="Tahoma" w:hAnsi="Tahoma" w:cs="Tahoma"/>
          <w:b/>
          <w:bCs/>
        </w:rPr>
        <w:t>.</w:t>
      </w:r>
      <w:r w:rsidRPr="000106FD">
        <w:rPr>
          <w:rFonts w:ascii="Tahoma" w:hAnsi="Tahoma" w:cs="Tahoma"/>
        </w:rPr>
        <w:t xml:space="preserve"> Колко често в екипа или в предприятието са възниквали конфликти или противоречия, произтичащи от различия във възрастта? (%)</w:t>
      </w:r>
    </w:p>
    <w:p w14:paraId="1D2387CA" w14:textId="77777777" w:rsidR="00D4304F" w:rsidRPr="00943F68" w:rsidRDefault="00D4304F" w:rsidP="00D4304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5A4BF176" wp14:editId="2E7B2B36">
            <wp:extent cx="3514477" cy="1852295"/>
            <wp:effectExtent l="0" t="0" r="10160" b="14605"/>
            <wp:docPr id="11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71D201A" w14:textId="60C5B198" w:rsidR="00D4304F" w:rsidRPr="0017267C" w:rsidRDefault="00D4304F" w:rsidP="00D4304F">
      <w:pPr>
        <w:rPr>
          <w:rFonts w:ascii="Tahoma" w:hAnsi="Tahoma" w:cs="Tahoma"/>
        </w:rPr>
      </w:pPr>
      <w:r w:rsidRPr="0017267C">
        <w:rPr>
          <w:rFonts w:ascii="Tahoma" w:hAnsi="Tahoma" w:cs="Tahoma"/>
          <w:b/>
          <w:bCs/>
        </w:rPr>
        <w:t>Фигура 1</w:t>
      </w:r>
      <w:r w:rsidR="00801B84">
        <w:rPr>
          <w:rFonts w:ascii="Tahoma" w:hAnsi="Tahoma" w:cs="Tahoma"/>
          <w:b/>
          <w:bCs/>
        </w:rPr>
        <w:t>2</w:t>
      </w:r>
      <w:r w:rsidRPr="0017267C">
        <w:rPr>
          <w:rFonts w:ascii="Tahoma" w:hAnsi="Tahoma" w:cs="Tahoma"/>
          <w:b/>
          <w:bCs/>
        </w:rPr>
        <w:t>.</w:t>
      </w:r>
      <w:r w:rsidRPr="0017267C">
        <w:rPr>
          <w:rFonts w:ascii="Tahoma" w:hAnsi="Tahoma" w:cs="Tahoma"/>
        </w:rPr>
        <w:t xml:space="preserve"> Ако се налагат съкращения на хора в предприятието, кой от посочените подходи е най-справедлив? (%)</w:t>
      </w:r>
    </w:p>
    <w:p w14:paraId="33658FD7" w14:textId="77777777" w:rsidR="00D4304F" w:rsidRPr="00943F68" w:rsidRDefault="00D4304F" w:rsidP="00D4304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46358D4F" wp14:editId="0F7AEF9C">
            <wp:extent cx="6122505" cy="3200400"/>
            <wp:effectExtent l="0" t="0" r="12065" b="0"/>
            <wp:docPr id="12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94E513D" w14:textId="3FE25A94" w:rsidR="00D4304F" w:rsidRDefault="00D4304F" w:rsidP="00D4304F">
      <w:pPr>
        <w:rPr>
          <w:rFonts w:ascii="Tahoma" w:hAnsi="Tahoma" w:cs="Tahoma"/>
        </w:rPr>
      </w:pPr>
      <w:r w:rsidRPr="00006E62">
        <w:rPr>
          <w:rFonts w:ascii="Tahoma" w:hAnsi="Tahoma" w:cs="Tahoma"/>
          <w:b/>
          <w:bCs/>
        </w:rPr>
        <w:lastRenderedPageBreak/>
        <w:t>Фигура 1</w:t>
      </w:r>
      <w:r w:rsidR="00801B84">
        <w:rPr>
          <w:rFonts w:ascii="Tahoma" w:hAnsi="Tahoma" w:cs="Tahoma"/>
          <w:b/>
          <w:bCs/>
        </w:rPr>
        <w:t>3</w:t>
      </w:r>
      <w:r w:rsidRPr="00006E62">
        <w:rPr>
          <w:rFonts w:ascii="Tahoma" w:hAnsi="Tahoma" w:cs="Tahoma"/>
          <w:b/>
          <w:bCs/>
        </w:rPr>
        <w:t xml:space="preserve">. </w:t>
      </w:r>
      <w:r>
        <w:rPr>
          <w:rFonts w:ascii="Tahoma" w:hAnsi="Tahoma" w:cs="Tahoma"/>
        </w:rPr>
        <w:t xml:space="preserve"> Лично преживени в последните две години или наблюдавани прояви на </w:t>
      </w:r>
      <w:proofErr w:type="spellStart"/>
      <w:r>
        <w:rPr>
          <w:rFonts w:ascii="Tahoma" w:hAnsi="Tahoma" w:cs="Tahoma"/>
        </w:rPr>
        <w:t>ейджизъм</w:t>
      </w:r>
      <w:proofErr w:type="spellEnd"/>
      <w:r>
        <w:rPr>
          <w:rFonts w:ascii="Tahoma" w:hAnsi="Tahoma" w:cs="Tahoma"/>
        </w:rPr>
        <w:t xml:space="preserve"> на работното място. (% по възрастови групи)</w:t>
      </w:r>
    </w:p>
    <w:p w14:paraId="0C8F5E0A" w14:textId="77777777" w:rsidR="00D4304F" w:rsidRPr="0017267C" w:rsidRDefault="00D4304F" w:rsidP="00D4304F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7317670B" wp14:editId="63D900CA">
            <wp:extent cx="5764530" cy="3148717"/>
            <wp:effectExtent l="0" t="0" r="7620" b="13970"/>
            <wp:docPr id="13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179DD39" w14:textId="77777777" w:rsidR="000146DA" w:rsidRPr="000146DA" w:rsidRDefault="000146DA" w:rsidP="000146DA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sectPr w:rsidR="000146DA" w:rsidRPr="000146DA" w:rsidSect="001D1EAB">
      <w:headerReference w:type="default" r:id="rId21"/>
      <w:footerReference w:type="default" r:id="rId22"/>
      <w:pgSz w:w="11906" w:h="16838"/>
      <w:pgMar w:top="1843" w:right="1417" w:bottom="1417" w:left="141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CED1A" w14:textId="77777777" w:rsidR="00657A3C" w:rsidRDefault="00657A3C" w:rsidP="001D1EAB">
      <w:pPr>
        <w:spacing w:after="0" w:line="240" w:lineRule="auto"/>
      </w:pPr>
      <w:r>
        <w:separator/>
      </w:r>
    </w:p>
  </w:endnote>
  <w:endnote w:type="continuationSeparator" w:id="0">
    <w:p w14:paraId="3A2050D7" w14:textId="77777777" w:rsidR="00657A3C" w:rsidRDefault="00657A3C" w:rsidP="001D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22975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168D0F" w14:textId="77777777" w:rsidR="001D1EAB" w:rsidRDefault="001D1EAB">
            <w:pPr>
              <w:pStyle w:val="Footer"/>
              <w:jc w:val="right"/>
            </w:pPr>
            <w:r>
              <w:t xml:space="preserve">Стр.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147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147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2E4AB8" w14:textId="77777777" w:rsidR="001D1EAB" w:rsidRDefault="001D1E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D2962" w14:textId="77777777" w:rsidR="00657A3C" w:rsidRDefault="00657A3C" w:rsidP="001D1EAB">
      <w:pPr>
        <w:spacing w:after="0" w:line="240" w:lineRule="auto"/>
      </w:pPr>
      <w:r>
        <w:separator/>
      </w:r>
    </w:p>
  </w:footnote>
  <w:footnote w:type="continuationSeparator" w:id="0">
    <w:p w14:paraId="15F95E8F" w14:textId="77777777" w:rsidR="00657A3C" w:rsidRDefault="00657A3C" w:rsidP="001D1EAB">
      <w:pPr>
        <w:spacing w:after="0" w:line="240" w:lineRule="auto"/>
      </w:pPr>
      <w:r>
        <w:continuationSeparator/>
      </w:r>
    </w:p>
  </w:footnote>
  <w:footnote w:id="1">
    <w:p w14:paraId="236FDABF" w14:textId="77777777" w:rsidR="000146DA" w:rsidRPr="00D6143F" w:rsidRDefault="000146DA" w:rsidP="00D6143F">
      <w:pPr>
        <w:pStyle w:val="FootnoteText"/>
        <w:jc w:val="both"/>
        <w:rPr>
          <w:rFonts w:ascii="Tahoma" w:hAnsi="Tahoma" w:cs="Tahoma"/>
          <w:sz w:val="18"/>
          <w:szCs w:val="18"/>
        </w:rPr>
      </w:pPr>
      <w:r w:rsidRPr="00D6143F">
        <w:rPr>
          <w:rStyle w:val="FootnoteReference"/>
          <w:rFonts w:ascii="Tahoma" w:hAnsi="Tahoma" w:cs="Tahoma"/>
          <w:sz w:val="18"/>
          <w:szCs w:val="18"/>
        </w:rPr>
        <w:footnoteRef/>
      </w:r>
      <w:r w:rsidRPr="00D6143F">
        <w:rPr>
          <w:rFonts w:ascii="Tahoma" w:hAnsi="Tahoma" w:cs="Tahoma"/>
          <w:sz w:val="18"/>
          <w:szCs w:val="18"/>
        </w:rPr>
        <w:t xml:space="preserve"> Поколение Z (18-26 г.), поколение Y (27-39 г.), поколение Х (40-54 г.), поколение Т (55-65+ г.)</w:t>
      </w:r>
    </w:p>
  </w:footnote>
  <w:footnote w:id="2">
    <w:p w14:paraId="1527A3A9" w14:textId="77777777" w:rsidR="000146DA" w:rsidRPr="00D6143F" w:rsidRDefault="000146DA" w:rsidP="00D6143F">
      <w:pPr>
        <w:pStyle w:val="FootnoteText"/>
        <w:jc w:val="both"/>
        <w:rPr>
          <w:rFonts w:ascii="Tahoma" w:hAnsi="Tahoma" w:cs="Tahoma"/>
          <w:sz w:val="18"/>
          <w:szCs w:val="18"/>
        </w:rPr>
      </w:pPr>
      <w:r w:rsidRPr="00D6143F">
        <w:rPr>
          <w:rStyle w:val="FootnoteReference"/>
          <w:rFonts w:ascii="Tahoma" w:hAnsi="Tahoma" w:cs="Tahoma"/>
          <w:sz w:val="18"/>
          <w:szCs w:val="18"/>
        </w:rPr>
        <w:footnoteRef/>
      </w:r>
      <w:r w:rsidRPr="00D6143F">
        <w:rPr>
          <w:rFonts w:ascii="Tahoma" w:hAnsi="Tahoma" w:cs="Tahoma"/>
          <w:sz w:val="18"/>
          <w:szCs w:val="18"/>
        </w:rPr>
        <w:t xml:space="preserve"> Изследователите наричат това явление </w:t>
      </w:r>
      <w:proofErr w:type="spellStart"/>
      <w:r w:rsidRPr="00D6143F">
        <w:rPr>
          <w:rFonts w:ascii="Tahoma" w:hAnsi="Tahoma" w:cs="Tahoma"/>
          <w:sz w:val="18"/>
          <w:szCs w:val="18"/>
        </w:rPr>
        <w:t>ейджизъм</w:t>
      </w:r>
      <w:proofErr w:type="spellEnd"/>
      <w:r w:rsidRPr="00D6143F">
        <w:rPr>
          <w:rFonts w:ascii="Tahoma" w:hAnsi="Tahoma" w:cs="Tahoma"/>
          <w:sz w:val="18"/>
          <w:szCs w:val="18"/>
        </w:rPr>
        <w:t xml:space="preserve"> </w:t>
      </w:r>
      <w:r w:rsidRPr="00D6143F">
        <w:rPr>
          <w:rFonts w:ascii="Tahoma" w:hAnsi="Tahoma" w:cs="Tahoma"/>
          <w:i/>
          <w:iCs/>
          <w:sz w:val="18"/>
          <w:szCs w:val="18"/>
        </w:rPr>
        <w:t>(</w:t>
      </w:r>
      <w:proofErr w:type="spellStart"/>
      <w:r w:rsidRPr="00D6143F">
        <w:rPr>
          <w:rFonts w:ascii="Tahoma" w:hAnsi="Tahoma" w:cs="Tahoma"/>
          <w:i/>
          <w:iCs/>
          <w:sz w:val="18"/>
          <w:szCs w:val="18"/>
        </w:rPr>
        <w:t>ageism</w:t>
      </w:r>
      <w:proofErr w:type="spellEnd"/>
      <w:r w:rsidRPr="00D6143F">
        <w:rPr>
          <w:rFonts w:ascii="Tahoma" w:hAnsi="Tahoma" w:cs="Tahoma"/>
          <w:i/>
          <w:iCs/>
          <w:sz w:val="18"/>
          <w:szCs w:val="18"/>
        </w:rPr>
        <w:t>),</w:t>
      </w:r>
      <w:r w:rsidRPr="00D6143F">
        <w:rPr>
          <w:rFonts w:ascii="Tahoma" w:hAnsi="Tahoma" w:cs="Tahoma"/>
          <w:sz w:val="18"/>
          <w:szCs w:val="18"/>
        </w:rPr>
        <w:t xml:space="preserve"> което означава неразбиране, пристрастие, негативно отношение към индивиди и групи въз основа на тяхната възраст. Според определението на Световната здравна организация, </w:t>
      </w:r>
      <w:proofErr w:type="spellStart"/>
      <w:r w:rsidRPr="00D6143F">
        <w:rPr>
          <w:rFonts w:ascii="Tahoma" w:hAnsi="Tahoma" w:cs="Tahoma"/>
          <w:sz w:val="18"/>
          <w:szCs w:val="18"/>
        </w:rPr>
        <w:t>ейджизмът</w:t>
      </w:r>
      <w:proofErr w:type="spellEnd"/>
      <w:r w:rsidRPr="00D6143F">
        <w:rPr>
          <w:rFonts w:ascii="Tahoma" w:hAnsi="Tahoma" w:cs="Tahoma"/>
          <w:sz w:val="18"/>
          <w:szCs w:val="18"/>
        </w:rPr>
        <w:t xml:space="preserve"> се отнася до стереотипите (как мислим), предразсъдъците (как чувстваме) и дискриминацията (как действаме) спрямо другите или себе си въз основа на възрастта.</w:t>
      </w:r>
    </w:p>
  </w:footnote>
  <w:footnote w:id="3">
    <w:p w14:paraId="2CBE4ECE" w14:textId="77777777" w:rsidR="000146DA" w:rsidRPr="00D6143F" w:rsidRDefault="000146DA" w:rsidP="00D6143F">
      <w:pPr>
        <w:pStyle w:val="FootnoteText"/>
        <w:jc w:val="both"/>
        <w:rPr>
          <w:rFonts w:ascii="Tahoma" w:hAnsi="Tahoma" w:cs="Tahoma"/>
          <w:sz w:val="18"/>
          <w:szCs w:val="18"/>
        </w:rPr>
      </w:pPr>
      <w:r w:rsidRPr="00D6143F">
        <w:rPr>
          <w:rStyle w:val="FootnoteReference"/>
          <w:rFonts w:ascii="Tahoma" w:hAnsi="Tahoma" w:cs="Tahoma"/>
          <w:sz w:val="18"/>
          <w:szCs w:val="18"/>
        </w:rPr>
        <w:footnoteRef/>
      </w:r>
      <w:r w:rsidRPr="00D6143F">
        <w:rPr>
          <w:rFonts w:ascii="Tahoma" w:hAnsi="Tahoma" w:cs="Tahoma"/>
          <w:sz w:val="18"/>
          <w:szCs w:val="18"/>
        </w:rPr>
        <w:t xml:space="preserve"> Самонасочен, обърнат към себе си </w:t>
      </w:r>
      <w:proofErr w:type="spellStart"/>
      <w:r w:rsidRPr="00D6143F">
        <w:rPr>
          <w:rFonts w:ascii="Tahoma" w:hAnsi="Tahoma" w:cs="Tahoma"/>
          <w:sz w:val="18"/>
          <w:szCs w:val="18"/>
        </w:rPr>
        <w:t>ейджизъм</w:t>
      </w:r>
      <w:proofErr w:type="spellEnd"/>
      <w:r w:rsidRPr="00D6143F">
        <w:rPr>
          <w:rFonts w:ascii="Tahoma" w:hAnsi="Tahoma" w:cs="Tahoma"/>
          <w:sz w:val="18"/>
          <w:szCs w:val="18"/>
        </w:rPr>
        <w:t xml:space="preserve">, който се изразява в предразсъдъци, комплекси, бариери и неправилни убеждения за собствената възраст или за възрастовата група, към която индивидът принадлежи.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95038" w14:textId="77777777" w:rsidR="001D1EAB" w:rsidRDefault="001D1EAB" w:rsidP="00804E87">
    <w:pPr>
      <w:pStyle w:val="Header"/>
      <w:tabs>
        <w:tab w:val="clear" w:pos="4536"/>
        <w:tab w:val="clear" w:pos="9072"/>
        <w:tab w:val="left" w:pos="5172"/>
      </w:tabs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4943E270" wp14:editId="4C52B4BC">
          <wp:simplePos x="0" y="0"/>
          <wp:positionH relativeFrom="page">
            <wp:posOffset>19050</wp:posOffset>
          </wp:positionH>
          <wp:positionV relativeFrom="paragraph">
            <wp:posOffset>-430530</wp:posOffset>
          </wp:positionV>
          <wp:extent cx="7523995" cy="10638524"/>
          <wp:effectExtent l="0" t="0" r="127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995" cy="10638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4E8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87F06"/>
    <w:multiLevelType w:val="hybridMultilevel"/>
    <w:tmpl w:val="1CB4A5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33731"/>
    <w:multiLevelType w:val="hybridMultilevel"/>
    <w:tmpl w:val="659C748C"/>
    <w:lvl w:ilvl="0" w:tplc="8AFA2B14"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A2F0D"/>
    <w:multiLevelType w:val="multilevel"/>
    <w:tmpl w:val="5386CE60"/>
    <w:lvl w:ilvl="0">
      <w:start w:val="1"/>
      <w:numFmt w:val="decimal"/>
      <w:lvlText w:val="%1."/>
      <w:lvlJc w:val="left"/>
      <w:pPr>
        <w:ind w:left="1224" w:hanging="360"/>
      </w:pPr>
      <w:rPr>
        <w:rFonts w:ascii="Tahoma" w:hAnsi="Tahoma" w:cs="Tahoma" w:hint="default"/>
        <w:b/>
        <w:bCs/>
        <w:i w:val="0"/>
        <w:iCs w:val="0"/>
        <w:sz w:val="36"/>
        <w:szCs w:val="36"/>
      </w:rPr>
    </w:lvl>
    <w:lvl w:ilvl="1">
      <w:start w:val="1"/>
      <w:numFmt w:val="decimal"/>
      <w:isLgl/>
      <w:lvlText w:val="%1.%2."/>
      <w:lvlJc w:val="left"/>
      <w:pPr>
        <w:ind w:left="1224" w:hanging="360"/>
      </w:pPr>
      <w:rPr>
        <w:rFonts w:ascii="Tahoma" w:hAnsi="Tahoma" w:cs="Tahoma" w:hint="default"/>
        <w:b/>
        <w:bCs/>
        <w:color w:val="2F5496" w:themeColor="accent5" w:themeShade="BF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1800"/>
      </w:pPr>
      <w:rPr>
        <w:rFonts w:hint="default"/>
      </w:rPr>
    </w:lvl>
  </w:abstractNum>
  <w:abstractNum w:abstractNumId="3" w15:restartNumberingAfterBreak="0">
    <w:nsid w:val="4B76217A"/>
    <w:multiLevelType w:val="hybridMultilevel"/>
    <w:tmpl w:val="F51E18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F50B1"/>
    <w:multiLevelType w:val="hybridMultilevel"/>
    <w:tmpl w:val="A97A51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557E6"/>
    <w:multiLevelType w:val="hybridMultilevel"/>
    <w:tmpl w:val="D92040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F4B9F"/>
    <w:multiLevelType w:val="hybridMultilevel"/>
    <w:tmpl w:val="8F2051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82228"/>
    <w:multiLevelType w:val="hybridMultilevel"/>
    <w:tmpl w:val="3C028F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F1C9E"/>
    <w:multiLevelType w:val="hybridMultilevel"/>
    <w:tmpl w:val="3462F5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DA"/>
    <w:rsid w:val="000146DA"/>
    <w:rsid w:val="000B2242"/>
    <w:rsid w:val="000B38AE"/>
    <w:rsid w:val="00132F09"/>
    <w:rsid w:val="00196E09"/>
    <w:rsid w:val="001D1EAB"/>
    <w:rsid w:val="001E6FCB"/>
    <w:rsid w:val="001F0855"/>
    <w:rsid w:val="002F6115"/>
    <w:rsid w:val="003C2CD6"/>
    <w:rsid w:val="005622CA"/>
    <w:rsid w:val="005E122E"/>
    <w:rsid w:val="00657A3C"/>
    <w:rsid w:val="00721F61"/>
    <w:rsid w:val="007D1F2B"/>
    <w:rsid w:val="00801B84"/>
    <w:rsid w:val="00804E87"/>
    <w:rsid w:val="00805DF0"/>
    <w:rsid w:val="00830243"/>
    <w:rsid w:val="00831479"/>
    <w:rsid w:val="0083158D"/>
    <w:rsid w:val="00836196"/>
    <w:rsid w:val="0085427F"/>
    <w:rsid w:val="009026CF"/>
    <w:rsid w:val="00903C17"/>
    <w:rsid w:val="00956F38"/>
    <w:rsid w:val="00A1642A"/>
    <w:rsid w:val="00D06F79"/>
    <w:rsid w:val="00D4304F"/>
    <w:rsid w:val="00D6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8393D"/>
  <w15:chartTrackingRefBased/>
  <w15:docId w15:val="{13D08ECC-4B66-4E14-9EBF-F27C5E5B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6DA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1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EAB"/>
  </w:style>
  <w:style w:type="paragraph" w:styleId="Footer">
    <w:name w:val="footer"/>
    <w:basedOn w:val="Normal"/>
    <w:link w:val="FooterChar"/>
    <w:uiPriority w:val="99"/>
    <w:unhideWhenUsed/>
    <w:rsid w:val="001D1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EAB"/>
  </w:style>
  <w:style w:type="paragraph" w:styleId="ListParagraph">
    <w:name w:val="List Paragraph"/>
    <w:basedOn w:val="Normal"/>
    <w:uiPriority w:val="34"/>
    <w:qFormat/>
    <w:rsid w:val="000146D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146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46DA"/>
    <w:rPr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0146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146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zaedno.bia-bg.com/" TargetMode="External"/><Relationship Id="rId12" Type="http://schemas.openxmlformats.org/officeDocument/2006/relationships/chart" Target="charts/chart5.xm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IA%20Clowd\PROJECTS\&#1054;&#1055;&#1056;&#1063;&#1056;%20-%20&#1047;&#1072;&#1077;&#1076;&#1085;&#1086;%20&#1079;&#1072;%20&#1091;&#1089;&#1090;&#1086;&#1081;&#1095;&#1080;&#1074;&#1072;%20&#1079;&#1072;&#1077;&#1090;&#1086;&#1089;&#1090;%202024-2027\-%20&#1041;&#1083;&#1072;&#1085;&#1082;&#1072;%20-%20&#1047;&#1072;&#1077;&#1076;&#1085;&#1086;%20&#1079;&#1072;%20&#1091;&#1089;&#1090;&#1086;&#1081;&#1095;&#1080;&#1074;&#1072;%20&#1079;&#1072;&#1077;&#1090;&#1086;&#1089;&#1090;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B412-41E6-8161-AC092535CB4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B412-41E6-8161-AC092535CB4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B412-41E6-8161-AC092535CB4B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Големи</c:v>
                </c:pt>
                <c:pt idx="1">
                  <c:v>Средни</c:v>
                </c:pt>
                <c:pt idx="2">
                  <c:v>Малки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30</c:v>
                </c:pt>
                <c:pt idx="1">
                  <c:v>46</c:v>
                </c:pt>
                <c:pt idx="2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412-41E6-8161-AC092535CB4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7167-4CBF-B1E8-6D1AE58DD116}"/>
              </c:ext>
            </c:extLst>
          </c:dPt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7167-4CBF-B1E8-6D1AE58DD116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7167-4CBF-B1E8-6D1AE58DD116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Никога</c:v>
                </c:pt>
                <c:pt idx="1">
                  <c:v>Рядко</c:v>
                </c:pt>
                <c:pt idx="2">
                  <c:v>Често или постоянно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43</c:v>
                </c:pt>
                <c:pt idx="1">
                  <c:v>44</c:v>
                </c:pt>
                <c:pt idx="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167-4CBF-B1E8-6D1AE58DD11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defRPr>
          </a:pPr>
          <a:endParaRPr lang="bg-BG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Z 18-26 г.</c:v>
                </c:pt>
              </c:strCache>
            </c:strRef>
          </c:tx>
          <c:spPr>
            <a:solidFill>
              <a:srgbClr val="0070C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Да се освободят млади хора, защото те по-лесно ще намерят нова работа</c:v>
                </c:pt>
                <c:pt idx="1">
                  <c:v>Да се освободят възрастни хора, защото те не са достатъчно пълноценни</c:v>
                </c:pt>
                <c:pt idx="2">
                  <c:v>Да се освободят хора с по-ниска квалификация и ефективност</c:v>
                </c:pt>
                <c:pt idx="3">
                  <c:v>Да се освободят хора, навършили пенсионна възраст независимо дали са опитни и полезни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13</c:v>
                </c:pt>
                <c:pt idx="2">
                  <c:v>45</c:v>
                </c:pt>
                <c:pt idx="3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78-4969-98A1-1E946EDD2C4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Y 27-39 г.</c:v>
                </c:pt>
              </c:strCache>
            </c:strRef>
          </c:tx>
          <c:spPr>
            <a:solidFill>
              <a:srgbClr val="00206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Да се освободят млади хора, защото те по-лесно ще намерят нова работа</c:v>
                </c:pt>
                <c:pt idx="1">
                  <c:v>Да се освободят възрастни хора, защото те не са достатъчно пълноценни</c:v>
                </c:pt>
                <c:pt idx="2">
                  <c:v>Да се освободят хора с по-ниска квалификация и ефективност</c:v>
                </c:pt>
                <c:pt idx="3">
                  <c:v>Да се освободят хора, навършили пенсионна възраст независимо дали са опитни и полезни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0</c:v>
                </c:pt>
                <c:pt idx="1">
                  <c:v>11</c:v>
                </c:pt>
                <c:pt idx="2">
                  <c:v>54</c:v>
                </c:pt>
                <c:pt idx="3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878-4969-98A1-1E946EDD2C4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Х 40-54 г.</c:v>
                </c:pt>
              </c:strCache>
            </c:strRef>
          </c:tx>
          <c:spPr>
            <a:solidFill>
              <a:srgbClr val="FF000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Да се освободят млади хора, защото те по-лесно ще намерят нова работа</c:v>
                </c:pt>
                <c:pt idx="1">
                  <c:v>Да се освободят възрастни хора, защото те не са достатъчно пълноценни</c:v>
                </c:pt>
                <c:pt idx="2">
                  <c:v>Да се освободят хора с по-ниска квалификация и ефективност</c:v>
                </c:pt>
                <c:pt idx="3">
                  <c:v>Да се освободят хора, навършили пенсионна възраст независимо дали са опитни и полезни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14</c:v>
                </c:pt>
                <c:pt idx="1">
                  <c:v>7</c:v>
                </c:pt>
                <c:pt idx="2">
                  <c:v>52</c:v>
                </c:pt>
                <c:pt idx="3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878-4969-98A1-1E946EDD2C48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Т 55-65+ г.</c:v>
                </c:pt>
              </c:strCache>
            </c:strRef>
          </c:tx>
          <c:spPr>
            <a:solidFill>
              <a:srgbClr val="7030A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Да се освободят млади хора, защото те по-лесно ще намерят нова работа</c:v>
                </c:pt>
                <c:pt idx="1">
                  <c:v>Да се освободят възрастни хора, защото те не са достатъчно пълноценни</c:v>
                </c:pt>
                <c:pt idx="2">
                  <c:v>Да се освободят хора с по-ниска квалификация и ефективност</c:v>
                </c:pt>
                <c:pt idx="3">
                  <c:v>Да се освободят хора, навършили пенсионна възраст независимо дали са опитни и полезни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20</c:v>
                </c:pt>
                <c:pt idx="1">
                  <c:v>0</c:v>
                </c:pt>
                <c:pt idx="2">
                  <c:v>56</c:v>
                </c:pt>
                <c:pt idx="3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878-4969-98A1-1E946EDD2C4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94878080"/>
        <c:axId val="294879520"/>
      </c:barChart>
      <c:catAx>
        <c:axId val="294878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294879520"/>
        <c:crosses val="autoZero"/>
        <c:auto val="1"/>
        <c:lblAlgn val="ctr"/>
        <c:lblOffset val="100"/>
        <c:noMultiLvlLbl val="0"/>
      </c:catAx>
      <c:valAx>
        <c:axId val="29487952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94878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Z 18-26 г.</c:v>
                </c:pt>
              </c:strCache>
            </c:strRef>
          </c:tx>
          <c:spPr>
            <a:solidFill>
              <a:srgbClr val="0070C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Язвителни или „шеговити“ подхвърляния по отношение на възрастта</c:v>
                </c:pt>
                <c:pt idx="1">
                  <c:v>Снизходителност, подценяване, пренебрежение или ощетяване от страна на колеги по причини, свързани с възрастта</c:v>
                </c:pt>
                <c:pt idx="2">
                  <c:v>Дискриминационно отношение на възрастов признак от страна на ръководители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72</c:v>
                </c:pt>
                <c:pt idx="1">
                  <c:v>54</c:v>
                </c:pt>
                <c:pt idx="2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2C-4364-BA54-C59F1F8BE7C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Y 27-39 г.</c:v>
                </c:pt>
              </c:strCache>
            </c:strRef>
          </c:tx>
          <c:spPr>
            <a:solidFill>
              <a:srgbClr val="00206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Язвителни или „шеговити“ подхвърляния по отношение на възрастта</c:v>
                </c:pt>
                <c:pt idx="1">
                  <c:v>Снизходителност, подценяване, пренебрежение или ощетяване от страна на колеги по причини, свързани с възрастта</c:v>
                </c:pt>
                <c:pt idx="2">
                  <c:v>Дискриминационно отношение на възрастов признак от страна на ръководители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39</c:v>
                </c:pt>
                <c:pt idx="1">
                  <c:v>45</c:v>
                </c:pt>
                <c:pt idx="2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2C-4364-BA54-C59F1F8BE7C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Х 40-54 г.</c:v>
                </c:pt>
              </c:strCache>
            </c:strRef>
          </c:tx>
          <c:spPr>
            <a:solidFill>
              <a:srgbClr val="C0000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Язвителни или „шеговити“ подхвърляния по отношение на възрастта</c:v>
                </c:pt>
                <c:pt idx="1">
                  <c:v>Снизходителност, подценяване, пренебрежение или ощетяване от страна на колеги по причини, свързани с възрастта</c:v>
                </c:pt>
                <c:pt idx="2">
                  <c:v>Дискриминационно отношение на възрастов признак от страна на ръководители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33</c:v>
                </c:pt>
                <c:pt idx="1">
                  <c:v>24</c:v>
                </c:pt>
                <c:pt idx="2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E2C-4364-BA54-C59F1F8BE7C4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Т 55-65+ г.</c:v>
                </c:pt>
              </c:strCache>
            </c:strRef>
          </c:tx>
          <c:spPr>
            <a:solidFill>
              <a:srgbClr val="7030A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Язвителни или „шеговити“ подхвърляния по отношение на възрастта</c:v>
                </c:pt>
                <c:pt idx="1">
                  <c:v>Снизходителност, подценяване, пренебрежение или ощетяване от страна на колеги по причини, свързани с възрастта</c:v>
                </c:pt>
                <c:pt idx="2">
                  <c:v>Дискриминационно отношение на възрастов признак от страна на ръководители</c:v>
                </c:pt>
              </c:strCache>
            </c:strRef>
          </c:cat>
          <c:val>
            <c:numRef>
              <c:f>Sheet1!$E$2:$E$4</c:f>
              <c:numCache>
                <c:formatCode>General</c:formatCode>
                <c:ptCount val="3"/>
                <c:pt idx="0">
                  <c:v>43</c:v>
                </c:pt>
                <c:pt idx="1">
                  <c:v>30</c:v>
                </c:pt>
                <c:pt idx="2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E2C-4364-BA54-C59F1F8BE7C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293240112"/>
        <c:axId val="1293229552"/>
      </c:barChart>
      <c:catAx>
        <c:axId val="1293240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293229552"/>
        <c:crosses val="autoZero"/>
        <c:auto val="1"/>
        <c:lblAlgn val="ctr"/>
        <c:lblOffset val="100"/>
        <c:noMultiLvlLbl val="0"/>
      </c:catAx>
      <c:valAx>
        <c:axId val="129322955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293240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 Т  55+ г.</c:v>
                </c:pt>
              </c:strCache>
            </c:strRef>
          </c:tx>
          <c:spPr>
            <a:solidFill>
              <a:srgbClr val="FF000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 w="9525" cap="flat" cmpd="sng" algn="ctr">
                <a:solidFill>
                  <a:schemeClr val="lt1">
                    <a:alpha val="50000"/>
                  </a:schemeClr>
                </a:solidFill>
                <a:round/>
              </a:ln>
              <a:effectLst/>
              <a:scene3d>
                <a:camera prst="orthographicFront"/>
                <a:lightRig rig="balanced" dir="t">
                  <a:rot lat="0" lon="0" rev="8700000"/>
                </a:lightRig>
              </a:scene3d>
              <a:sp3d>
                <a:bevelT w="190500" h="38100"/>
              </a:sp3d>
            </c:spPr>
            <c:extLst>
              <c:ext xmlns:c16="http://schemas.microsoft.com/office/drawing/2014/chart" uri="{C3380CC4-5D6E-409C-BE32-E72D297353CC}">
                <c16:uniqueId val="{00000001-B5A7-4D3F-82A8-9E579507816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Sheet1!$B$2</c:f>
              <c:numCache>
                <c:formatCode>General</c:formatCode>
                <c:ptCount val="1"/>
                <c:pt idx="0">
                  <c:v>25.2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5A7-4D3F-82A8-9E579507816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X  40 - 54 г</c:v>
                </c:pt>
              </c:strCache>
            </c:strRef>
          </c:tx>
          <c:spPr>
            <a:solidFill>
              <a:srgbClr val="7030A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Sheet1!$C$2</c:f>
              <c:numCache>
                <c:formatCode>General</c:formatCode>
                <c:ptCount val="1"/>
                <c:pt idx="0">
                  <c:v>42.5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5A7-4D3F-82A8-9E579507816C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Y  27 - 39 г.</c:v>
                </c:pt>
              </c:strCache>
            </c:strRef>
          </c:tx>
          <c:spPr>
            <a:solidFill>
              <a:srgbClr val="00206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Sheet1!$D$2</c:f>
              <c:numCache>
                <c:formatCode>General</c:formatCode>
                <c:ptCount val="1"/>
                <c:pt idx="0">
                  <c:v>26.6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5A7-4D3F-82A8-9E579507816C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Z  18 - 26 г.</c:v>
                </c:pt>
              </c:strCache>
            </c:strRef>
          </c:tx>
          <c:spPr>
            <a:solidFill>
              <a:srgbClr val="0070C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Sheet1!$E$2</c:f>
              <c:numCache>
                <c:formatCode>General</c:formatCode>
                <c:ptCount val="1"/>
                <c:pt idx="0">
                  <c:v>5.7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5A7-4D3F-82A8-9E579507816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159065967"/>
        <c:axId val="1159066447"/>
      </c:barChart>
      <c:catAx>
        <c:axId val="115906596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159066447"/>
        <c:crosses val="autoZero"/>
        <c:auto val="1"/>
        <c:lblAlgn val="ctr"/>
        <c:lblOffset val="100"/>
        <c:noMultiLvlLbl val="0"/>
      </c:catAx>
      <c:valAx>
        <c:axId val="1159066447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1590659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balanced" dir="t">
                  <a:rot lat="0" lon="0" rev="8700000"/>
                </a:lightRig>
              </a:scene3d>
              <a:sp3d>
                <a:bevelT w="190500" h="38100"/>
              </a:sp3d>
            </c:spPr>
            <c:extLst>
              <c:ext xmlns:c16="http://schemas.microsoft.com/office/drawing/2014/chart" uri="{C3380CC4-5D6E-409C-BE32-E72D297353CC}">
                <c16:uniqueId val="{00000001-D9FE-4075-812B-206A2836DAF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90500" h="38100"/>
              </a:sp3d>
            </c:spPr>
            <c:extLst>
              <c:ext xmlns:c16="http://schemas.microsoft.com/office/drawing/2014/chart" uri="{C3380CC4-5D6E-409C-BE32-E72D297353CC}">
                <c16:uniqueId val="{00000003-D9FE-4075-812B-206A2836DAF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balanced" dir="t">
                  <a:rot lat="0" lon="0" rev="8700000"/>
                </a:lightRig>
              </a:scene3d>
              <a:sp3d>
                <a:bevelT w="190500" h="38100"/>
              </a:sp3d>
            </c:spPr>
            <c:extLst>
              <c:ext xmlns:c16="http://schemas.microsoft.com/office/drawing/2014/chart" uri="{C3380CC4-5D6E-409C-BE32-E72D297353CC}">
                <c16:uniqueId val="{00000005-D9FE-4075-812B-206A2836DAF9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Напълно</c:v>
                </c:pt>
                <c:pt idx="1">
                  <c:v>По-скоро отговаря</c:v>
                </c:pt>
                <c:pt idx="2">
                  <c:v>По-скоро не отговаря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17</c:v>
                </c:pt>
                <c:pt idx="1">
                  <c:v>60</c:v>
                </c:pt>
                <c:pt idx="2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9FE-4075-812B-206A2836DAF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defRPr>
          </a:pPr>
          <a:endParaRPr lang="bg-BG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rgbClr val="0070C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Sheet1!$A$2:$A$11</c:f>
              <c:strCache>
                <c:ptCount val="10"/>
                <c:pt idx="0">
                  <c:v>Неустойчивост към напрежение и стрес</c:v>
                </c:pt>
                <c:pt idx="1">
                  <c:v>Отрицателни нагласи към промените</c:v>
                </c:pt>
                <c:pt idx="2">
                  <c:v>Неумение да се комуникира и взаимодейства </c:v>
                </c:pt>
                <c:pt idx="3">
                  <c:v>Ниска лична (екипна) ефективност </c:v>
                </c:pt>
                <c:pt idx="4">
                  <c:v>Ниска инициативност и креативност </c:v>
                </c:pt>
                <c:pt idx="5">
                  <c:v>Нежелание за обучение и усъвършенстване </c:v>
                </c:pt>
                <c:pt idx="6">
                  <c:v>Недостатъчна мотивация за труд</c:v>
                </c:pt>
                <c:pt idx="7">
                  <c:v>Застаряване на работната сила</c:v>
                </c:pt>
                <c:pt idx="8">
                  <c:v>Дефицит на умения </c:v>
                </c:pt>
                <c:pt idx="9">
                  <c:v>набиране на подходящи кадри 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43</c:v>
                </c:pt>
                <c:pt idx="1">
                  <c:v>45</c:v>
                </c:pt>
                <c:pt idx="2">
                  <c:v>48</c:v>
                </c:pt>
                <c:pt idx="3">
                  <c:v>52</c:v>
                </c:pt>
                <c:pt idx="4">
                  <c:v>56</c:v>
                </c:pt>
                <c:pt idx="5">
                  <c:v>56</c:v>
                </c:pt>
                <c:pt idx="6">
                  <c:v>66</c:v>
                </c:pt>
                <c:pt idx="7">
                  <c:v>78</c:v>
                </c:pt>
                <c:pt idx="8">
                  <c:v>83</c:v>
                </c:pt>
                <c:pt idx="9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96-4DF0-985D-7838659EF4C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157375535"/>
        <c:axId val="1157385135"/>
      </c:barChart>
      <c:catAx>
        <c:axId val="115737553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157385135"/>
        <c:crosses val="autoZero"/>
        <c:auto val="1"/>
        <c:lblAlgn val="ctr"/>
        <c:lblOffset val="100"/>
        <c:noMultiLvlLbl val="0"/>
      </c:catAx>
      <c:valAx>
        <c:axId val="1157385135"/>
        <c:scaling>
          <c:orientation val="minMax"/>
        </c:scaling>
        <c:delete val="1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15737553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rgbClr val="0070C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lt1"/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endParaRPr lang="bg-BG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55-65 г.</c:v>
                </c:pt>
                <c:pt idx="1">
                  <c:v>40-54 г.</c:v>
                </c:pt>
                <c:pt idx="2">
                  <c:v>27-39 г.</c:v>
                </c:pt>
                <c:pt idx="3">
                  <c:v>18-26 г.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13</c:v>
                </c:pt>
                <c:pt idx="1">
                  <c:v>22</c:v>
                </c:pt>
                <c:pt idx="2">
                  <c:v>24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37-4211-9372-ADF84685F3B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241998383"/>
        <c:axId val="1242015183"/>
      </c:barChart>
      <c:catAx>
        <c:axId val="124199838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bg-BG"/>
          </a:p>
        </c:txPr>
        <c:crossAx val="1242015183"/>
        <c:crosses val="autoZero"/>
        <c:auto val="1"/>
        <c:lblAlgn val="ctr"/>
        <c:lblOffset val="100"/>
        <c:noMultiLvlLbl val="0"/>
      </c:catAx>
      <c:valAx>
        <c:axId val="1242015183"/>
        <c:scaling>
          <c:orientation val="minMax"/>
        </c:scaling>
        <c:delete val="1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24199838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Z 18-26 гл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Възрастните боледуват и отсъстват от работа по-често от младите</c:v>
                </c:pt>
                <c:pt idx="1">
                  <c:v>Възрастните не се нуждаят от много за задоволяване на техните нужди</c:v>
                </c:pt>
                <c:pt idx="2">
                  <c:v>Младите са по-креативни</c:v>
                </c:pt>
                <c:pt idx="3">
                  <c:v>Младите работят с повече хъс и имат повече стремеж за развитие </c:v>
                </c:pt>
                <c:pt idx="4">
                  <c:v>Младите учат по-добре от възрастните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28</c:v>
                </c:pt>
                <c:pt idx="1">
                  <c:v>52</c:v>
                </c:pt>
                <c:pt idx="2">
                  <c:v>100</c:v>
                </c:pt>
                <c:pt idx="3">
                  <c:v>100</c:v>
                </c:pt>
                <c:pt idx="4">
                  <c:v>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65-482C-9991-F56DBD19317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Y 27-39 г.</c:v>
                </c:pt>
              </c:strCache>
            </c:strRef>
          </c:tx>
          <c:spPr>
            <a:solidFill>
              <a:srgbClr val="00206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Възрастните боледуват и отсъстват от работа по-често от младите</c:v>
                </c:pt>
                <c:pt idx="1">
                  <c:v>Възрастните не се нуждаят от много за задоволяване на техните нужди</c:v>
                </c:pt>
                <c:pt idx="2">
                  <c:v>Младите са по-креативни</c:v>
                </c:pt>
                <c:pt idx="3">
                  <c:v>Младите работят с повече хъс и имат повече стремеж за развитие </c:v>
                </c:pt>
                <c:pt idx="4">
                  <c:v>Младите учат по-добре от възрастните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19</c:v>
                </c:pt>
                <c:pt idx="1">
                  <c:v>48</c:v>
                </c:pt>
                <c:pt idx="2">
                  <c:v>94</c:v>
                </c:pt>
                <c:pt idx="3">
                  <c:v>90</c:v>
                </c:pt>
                <c:pt idx="4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F65-482C-9991-F56DBD193177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Х 49-54 г.</c:v>
                </c:pt>
              </c:strCache>
            </c:strRef>
          </c:tx>
          <c:spPr>
            <a:solidFill>
              <a:srgbClr val="C0000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Възрастните боледуват и отсъстват от работа по-често от младите</c:v>
                </c:pt>
                <c:pt idx="1">
                  <c:v>Възрастните не се нуждаят от много за задоволяване на техните нужди</c:v>
                </c:pt>
                <c:pt idx="2">
                  <c:v>Младите са по-креативни</c:v>
                </c:pt>
                <c:pt idx="3">
                  <c:v>Младите работят с повече хъс и имат повече стремеж за развитие </c:v>
                </c:pt>
                <c:pt idx="4">
                  <c:v>Младите учат по-добре от възрастните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17</c:v>
                </c:pt>
                <c:pt idx="1">
                  <c:v>35</c:v>
                </c:pt>
                <c:pt idx="2">
                  <c:v>47</c:v>
                </c:pt>
                <c:pt idx="3">
                  <c:v>55</c:v>
                </c:pt>
                <c:pt idx="4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F65-482C-9991-F56DBD193177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Т 55-65+ г.</c:v>
                </c:pt>
              </c:strCache>
            </c:strRef>
          </c:tx>
          <c:spPr>
            <a:solidFill>
              <a:srgbClr val="7030A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Възрастните боледуват и отсъстват от работа по-често от младите</c:v>
                </c:pt>
                <c:pt idx="1">
                  <c:v>Възрастните не се нуждаят от много за задоволяване на техните нужди</c:v>
                </c:pt>
                <c:pt idx="2">
                  <c:v>Младите са по-креативни</c:v>
                </c:pt>
                <c:pt idx="3">
                  <c:v>Младите работят с повече хъс и имат повече стремеж за развитие </c:v>
                </c:pt>
                <c:pt idx="4">
                  <c:v>Младите учат по-добре от възрастните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  <c:pt idx="0">
                  <c:v>22</c:v>
                </c:pt>
                <c:pt idx="1">
                  <c:v>44</c:v>
                </c:pt>
                <c:pt idx="2">
                  <c:v>59</c:v>
                </c:pt>
                <c:pt idx="3">
                  <c:v>65</c:v>
                </c:pt>
                <c:pt idx="4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F65-482C-9991-F56DBD19317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964642896"/>
        <c:axId val="964644336"/>
      </c:barChart>
      <c:catAx>
        <c:axId val="9646428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bg-BG"/>
          </a:p>
        </c:txPr>
        <c:crossAx val="964644336"/>
        <c:crosses val="autoZero"/>
        <c:auto val="1"/>
        <c:lblAlgn val="ctr"/>
        <c:lblOffset val="100"/>
        <c:noMultiLvlLbl val="0"/>
      </c:catAx>
      <c:valAx>
        <c:axId val="964644336"/>
        <c:scaling>
          <c:orientation val="minMax"/>
        </c:scaling>
        <c:delete val="1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964642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0272012164169355"/>
          <c:y val="5.5041280960720543E-2"/>
          <c:w val="0.49330649999335163"/>
          <c:h val="0.76636611316755288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Z 18-26 гл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Възрастните преувеличават проблемите, с които се сблъскват и по-често са склонни да се оплакват</c:v>
                </c:pt>
                <c:pt idx="1">
                  <c:v>Възрастните работят тромаво и по вече заучени модели. Трудно приемат новостите и промените</c:v>
                </c:pt>
                <c:pt idx="2">
                  <c:v>Възрастните не разбират новите технологии</c:v>
                </c:pt>
                <c:pt idx="3">
                  <c:v>Възрастните са по-неработоспособни от младите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100</c:v>
                </c:pt>
                <c:pt idx="1">
                  <c:v>86</c:v>
                </c:pt>
                <c:pt idx="2">
                  <c:v>88</c:v>
                </c:pt>
                <c:pt idx="3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BB-4010-BA89-B3475CF160A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Y 27-39 г.</c:v>
                </c:pt>
              </c:strCache>
            </c:strRef>
          </c:tx>
          <c:spPr>
            <a:solidFill>
              <a:srgbClr val="00206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Възрастните преувеличават проблемите, с които се сблъскват и по-често са склонни да се оплакват</c:v>
                </c:pt>
                <c:pt idx="1">
                  <c:v>Възрастните работят тромаво и по вече заучени модели. Трудно приемат новостите и промените</c:v>
                </c:pt>
                <c:pt idx="2">
                  <c:v>Възрастните не разбират новите технологии</c:v>
                </c:pt>
                <c:pt idx="3">
                  <c:v>Възрастните са по-неработоспособни от младите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70</c:v>
                </c:pt>
                <c:pt idx="1">
                  <c:v>83</c:v>
                </c:pt>
                <c:pt idx="2">
                  <c:v>84</c:v>
                </c:pt>
                <c:pt idx="3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9BB-4010-BA89-B3475CF160A7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Х 49-54 г.</c:v>
                </c:pt>
              </c:strCache>
            </c:strRef>
          </c:tx>
          <c:spPr>
            <a:solidFill>
              <a:srgbClr val="C0000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Възрастните преувеличават проблемите, с които се сблъскват и по-често са склонни да се оплакват</c:v>
                </c:pt>
                <c:pt idx="1">
                  <c:v>Възрастните работят тромаво и по вече заучени модели. Трудно приемат новостите и промените</c:v>
                </c:pt>
                <c:pt idx="2">
                  <c:v>Възрастните не разбират новите технологии</c:v>
                </c:pt>
                <c:pt idx="3">
                  <c:v>Възрастните са по-неработоспособни от младите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20</c:v>
                </c:pt>
                <c:pt idx="1">
                  <c:v>34</c:v>
                </c:pt>
                <c:pt idx="2">
                  <c:v>35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9BB-4010-BA89-B3475CF160A7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Т 55-65+ г.</c:v>
                </c:pt>
              </c:strCache>
            </c:strRef>
          </c:tx>
          <c:spPr>
            <a:solidFill>
              <a:srgbClr val="7030A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Възрастните преувеличават проблемите, с които се сблъскват и по-често са склонни да се оплакват</c:v>
                </c:pt>
                <c:pt idx="1">
                  <c:v>Възрастните работят тромаво и по вече заучени модели. Трудно приемат новостите и промените</c:v>
                </c:pt>
                <c:pt idx="2">
                  <c:v>Възрастните не разбират новите технологии</c:v>
                </c:pt>
                <c:pt idx="3">
                  <c:v>Възрастните са по-неработоспособни от младите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20</c:v>
                </c:pt>
                <c:pt idx="1">
                  <c:v>28</c:v>
                </c:pt>
                <c:pt idx="2">
                  <c:v>22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9BB-4010-BA89-B3475CF160A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964642896"/>
        <c:axId val="964644336"/>
      </c:barChart>
      <c:catAx>
        <c:axId val="9646428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bg-BG"/>
          </a:p>
        </c:txPr>
        <c:crossAx val="964644336"/>
        <c:crosses val="autoZero"/>
        <c:auto val="1"/>
        <c:lblAlgn val="ctr"/>
        <c:lblOffset val="100"/>
        <c:noMultiLvlLbl val="0"/>
      </c:catAx>
      <c:valAx>
        <c:axId val="964644336"/>
        <c:scaling>
          <c:orientation val="minMax"/>
        </c:scaling>
        <c:delete val="1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964642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50272012164169355"/>
          <c:y val="5.5041280960720543E-2"/>
          <c:w val="0.49330649999335163"/>
          <c:h val="0.76636611316755288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Z 18-26 гл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Младите се чувстват по-малко ангажирани и съпричастни към предприятието</c:v>
                </c:pt>
                <c:pt idx="1">
                  <c:v>Младите са по-недисциплинирани, по- невнимателни и несериозни</c:v>
                </c:pt>
                <c:pt idx="2">
                  <c:v>Младите са по-безотговорни в сравнение с възрастните</c:v>
                </c:pt>
                <c:pt idx="3">
                  <c:v>Младите искат повече, отколкото заслужават да получат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12</c:v>
                </c:pt>
                <c:pt idx="1">
                  <c:v>18</c:v>
                </c:pt>
                <c:pt idx="2">
                  <c:v>13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8E-4A4C-9D80-A5785F632B5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Y 27-39 г.</c:v>
                </c:pt>
              </c:strCache>
            </c:strRef>
          </c:tx>
          <c:spPr>
            <a:solidFill>
              <a:srgbClr val="00206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Младите се чувстват по-малко ангажирани и съпричастни към предприятието</c:v>
                </c:pt>
                <c:pt idx="1">
                  <c:v>Младите са по-недисциплинирани, по- невнимателни и несериозни</c:v>
                </c:pt>
                <c:pt idx="2">
                  <c:v>Младите са по-безотговорни в сравнение с възрастните</c:v>
                </c:pt>
                <c:pt idx="3">
                  <c:v>Младите искат повече, отколкото заслужават да получат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23</c:v>
                </c:pt>
                <c:pt idx="1">
                  <c:v>29</c:v>
                </c:pt>
                <c:pt idx="2">
                  <c:v>28</c:v>
                </c:pt>
                <c:pt idx="3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A8E-4A4C-9D80-A5785F632B5C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Х 49-54 г.</c:v>
                </c:pt>
              </c:strCache>
            </c:strRef>
          </c:tx>
          <c:spPr>
            <a:solidFill>
              <a:srgbClr val="C0000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Младите се чувстват по-малко ангажирани и съпричастни към предприятието</c:v>
                </c:pt>
                <c:pt idx="1">
                  <c:v>Младите са по-недисциплинирани, по- невнимателни и несериозни</c:v>
                </c:pt>
                <c:pt idx="2">
                  <c:v>Младите са по-безотговорни в сравнение с възрастните</c:v>
                </c:pt>
                <c:pt idx="3">
                  <c:v>Младите искат повече, отколкото заслужават да получат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68</c:v>
                </c:pt>
                <c:pt idx="1">
                  <c:v>61</c:v>
                </c:pt>
                <c:pt idx="2">
                  <c:v>68</c:v>
                </c:pt>
                <c:pt idx="3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A8E-4A4C-9D80-A5785F632B5C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Т 55-65+ г.</c:v>
                </c:pt>
              </c:strCache>
            </c:strRef>
          </c:tx>
          <c:spPr>
            <a:solidFill>
              <a:srgbClr val="7030A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Младите се чувстват по-малко ангажирани и съпричастни към предприятието</c:v>
                </c:pt>
                <c:pt idx="1">
                  <c:v>Младите са по-недисциплинирани, по- невнимателни и несериозни</c:v>
                </c:pt>
                <c:pt idx="2">
                  <c:v>Младите са по-безотговорни в сравнение с възрастните</c:v>
                </c:pt>
                <c:pt idx="3">
                  <c:v>Младите искат повече, отколкото заслужават да получат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79</c:v>
                </c:pt>
                <c:pt idx="1">
                  <c:v>48</c:v>
                </c:pt>
                <c:pt idx="2">
                  <c:v>59</c:v>
                </c:pt>
                <c:pt idx="3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A8E-4A4C-9D80-A5785F632B5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964642896"/>
        <c:axId val="964644336"/>
      </c:barChart>
      <c:catAx>
        <c:axId val="9646428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bg-BG"/>
          </a:p>
        </c:txPr>
        <c:crossAx val="964644336"/>
        <c:crosses val="autoZero"/>
        <c:auto val="1"/>
        <c:lblAlgn val="ctr"/>
        <c:lblOffset val="100"/>
        <c:noMultiLvlLbl val="0"/>
      </c:catAx>
      <c:valAx>
        <c:axId val="964644336"/>
        <c:scaling>
          <c:orientation val="minMax"/>
        </c:scaling>
        <c:delete val="1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964642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Z 18-26 г.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chemeClr val="tx1"/>
              </a:solidFill>
            </a:ln>
            <a:effectLst/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cat>
            <c:strRef>
              <c:f>Sheet1!$A$2:$A$5</c:f>
              <c:strCache>
                <c:ptCount val="4"/>
                <c:pt idx="0">
                  <c:v>Z 18-26 г.</c:v>
                </c:pt>
                <c:pt idx="1">
                  <c:v>Y 27-39 г.</c:v>
                </c:pt>
                <c:pt idx="2">
                  <c:v>Х 40-54 г.</c:v>
                </c:pt>
                <c:pt idx="3">
                  <c:v>Т 55-65+ г.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</c:v>
                </c:pt>
                <c:pt idx="1">
                  <c:v>28</c:v>
                </c:pt>
                <c:pt idx="2">
                  <c:v>51</c:v>
                </c:pt>
                <c:pt idx="3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EA-4B48-A803-B7A53EFEA64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Y 27-39 г.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cat>
            <c:strRef>
              <c:f>Sheet1!$A$2:$A$5</c:f>
              <c:strCache>
                <c:ptCount val="4"/>
                <c:pt idx="0">
                  <c:v>Z 18-26 г.</c:v>
                </c:pt>
                <c:pt idx="1">
                  <c:v>Y 27-39 г.</c:v>
                </c:pt>
                <c:pt idx="2">
                  <c:v>Х 40-54 г.</c:v>
                </c:pt>
                <c:pt idx="3">
                  <c:v>Т 55-65+ г.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3</c:v>
                </c:pt>
                <c:pt idx="1">
                  <c:v>11</c:v>
                </c:pt>
                <c:pt idx="2">
                  <c:v>8</c:v>
                </c:pt>
                <c:pt idx="3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3EA-4B48-A803-B7A53EFEA64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Х 40-54 г.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cat>
            <c:strRef>
              <c:f>Sheet1!$A$2:$A$5</c:f>
              <c:strCache>
                <c:ptCount val="4"/>
                <c:pt idx="0">
                  <c:v>Z 18-26 г.</c:v>
                </c:pt>
                <c:pt idx="1">
                  <c:v>Y 27-39 г.</c:v>
                </c:pt>
                <c:pt idx="2">
                  <c:v>Х 40-54 г.</c:v>
                </c:pt>
                <c:pt idx="3">
                  <c:v>Т 55-65+ г.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23</c:v>
                </c:pt>
                <c:pt idx="1">
                  <c:v>13</c:v>
                </c:pt>
                <c:pt idx="2">
                  <c:v>13</c:v>
                </c:pt>
                <c:pt idx="3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3EA-4B48-A803-B7A53EFEA649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Т 55-65+ г.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cat>
            <c:strRef>
              <c:f>Sheet1!$A$2:$A$5</c:f>
              <c:strCache>
                <c:ptCount val="4"/>
                <c:pt idx="0">
                  <c:v>Z 18-26 г.</c:v>
                </c:pt>
                <c:pt idx="1">
                  <c:v>Y 27-39 г.</c:v>
                </c:pt>
                <c:pt idx="2">
                  <c:v>Х 40-54 г.</c:v>
                </c:pt>
                <c:pt idx="3">
                  <c:v>Т 55-65+ г.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64</c:v>
                </c:pt>
                <c:pt idx="1">
                  <c:v>48</c:v>
                </c:pt>
                <c:pt idx="2">
                  <c:v>28</c:v>
                </c:pt>
                <c:pt idx="3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3EA-4B48-A803-B7A53EFEA6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47789216"/>
        <c:axId val="847804576"/>
      </c:barChart>
      <c:catAx>
        <c:axId val="847789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bg-BG"/>
          </a:p>
        </c:txPr>
        <c:crossAx val="847804576"/>
        <c:crosses val="autoZero"/>
        <c:auto val="1"/>
        <c:lblAlgn val="ctr"/>
        <c:lblOffset val="100"/>
        <c:noMultiLvlLbl val="0"/>
      </c:catAx>
      <c:valAx>
        <c:axId val="847804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847789216"/>
        <c:crosses val="autoZero"/>
        <c:crossBetween val="between"/>
      </c:valAx>
      <c:spPr>
        <a:noFill/>
        <a:ln>
          <a:solidFill>
            <a:schemeClr val="bg1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00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300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300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- Бланка - Заедно за устойчива заетост.dotx</Template>
  <TotalTime>36</TotalTime>
  <Pages>9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 Алашка</dc:creator>
  <cp:keywords/>
  <dc:description/>
  <cp:lastModifiedBy>Ani Alashka</cp:lastModifiedBy>
  <cp:revision>4</cp:revision>
  <dcterms:created xsi:type="dcterms:W3CDTF">2024-06-24T07:33:00Z</dcterms:created>
  <dcterms:modified xsi:type="dcterms:W3CDTF">2024-06-24T08:14:00Z</dcterms:modified>
</cp:coreProperties>
</file>