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BA54" w14:textId="77777777" w:rsidR="00A12821" w:rsidRPr="00CF68AD" w:rsidRDefault="00A12821" w:rsidP="000D477D">
      <w:pPr>
        <w:spacing w:before="160" w:after="16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  <w:r w:rsidRPr="00CF68AD">
        <w:rPr>
          <w:rFonts w:ascii="Verdana" w:eastAsia="Calibri" w:hAnsi="Verdana" w:cs="Times New Roman"/>
          <w:b/>
          <w:sz w:val="20"/>
          <w:szCs w:val="20"/>
        </w:rPr>
        <w:t>ИНДЕКСИ НА ЦЕНИТЕ В СЕЛСКОТО СТОПАНСТВО ЗА</w:t>
      </w:r>
      <w:r w:rsidRPr="00CF68AD">
        <w:rPr>
          <w:rFonts w:ascii="Verdana" w:eastAsia="Calibri" w:hAnsi="Verdana" w:cs="Times New Roman"/>
          <w:b/>
          <w:sz w:val="20"/>
          <w:szCs w:val="20"/>
        </w:rPr>
        <w:br/>
      </w:r>
      <w:r>
        <w:rPr>
          <w:rFonts w:ascii="Verdana" w:eastAsia="Calibri" w:hAnsi="Verdana" w:cs="Times New Roman"/>
          <w:b/>
          <w:sz w:val="20"/>
          <w:szCs w:val="20"/>
        </w:rPr>
        <w:t>ВТОРОТО</w:t>
      </w:r>
      <w:r w:rsidRPr="00CF68AD">
        <w:rPr>
          <w:rFonts w:ascii="Verdana" w:eastAsia="Calibri" w:hAnsi="Verdana" w:cs="Times New Roman"/>
          <w:b/>
          <w:sz w:val="20"/>
          <w:szCs w:val="20"/>
        </w:rPr>
        <w:t xml:space="preserve"> ТРИМЕСЕЧИЕ НА 2024 ГОДИНА</w:t>
      </w:r>
    </w:p>
    <w:p w14:paraId="31BF1BE8" w14:textId="77777777" w:rsidR="00A12821" w:rsidRPr="00CF68AD" w:rsidRDefault="00A12821" w:rsidP="00A12821">
      <w:pPr>
        <w:spacing w:before="160" w:after="160" w:line="360" w:lineRule="auto"/>
        <w:ind w:firstLine="567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F68AD">
        <w:rPr>
          <w:rFonts w:ascii="Verdana" w:eastAsia="Calibri" w:hAnsi="Verdana" w:cs="Times New Roman"/>
          <w:b/>
          <w:sz w:val="20"/>
          <w:szCs w:val="20"/>
        </w:rPr>
        <w:t>Индекси на цените на производител в селското стопанство</w:t>
      </w:r>
    </w:p>
    <w:p w14:paraId="0B9E62A2" w14:textId="1FCDEFF6" w:rsidR="00A12821" w:rsidRPr="00CF68AD" w:rsidRDefault="00A12821" w:rsidP="00A12821">
      <w:pPr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</w:rPr>
      </w:pPr>
      <w:r w:rsidRPr="00CF68AD">
        <w:rPr>
          <w:rFonts w:ascii="Verdana" w:eastAsia="Calibri" w:hAnsi="Verdana" w:cs="Times New Roman"/>
          <w:b/>
          <w:sz w:val="20"/>
          <w:szCs w:val="20"/>
        </w:rPr>
        <w:t xml:space="preserve">Индексът на цените на производител в селското стопанство </w:t>
      </w:r>
      <w:r>
        <w:rPr>
          <w:rFonts w:ascii="Verdana" w:eastAsia="Calibri" w:hAnsi="Verdana" w:cs="Times New Roman"/>
          <w:sz w:val="20"/>
          <w:szCs w:val="20"/>
        </w:rPr>
        <w:t>за второто тримесечие</w:t>
      </w:r>
      <w:r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 xml:space="preserve">на 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2024 г. се понижава с 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4</w:t>
      </w:r>
      <w:r w:rsidRPr="00CF68AD">
        <w:rPr>
          <w:rFonts w:ascii="Verdana" w:eastAsia="Calibri" w:hAnsi="Verdana" w:cs="Times New Roman"/>
          <w:sz w:val="20"/>
          <w:szCs w:val="20"/>
        </w:rPr>
        <w:t>% спрямо същото тримесечие на 2023 г. в резултат на спад на индекса на цените на продукцията от растениевъдство</w:t>
      </w:r>
      <w:r w:rsidR="00EA7A64">
        <w:rPr>
          <w:rFonts w:ascii="Verdana" w:eastAsia="Calibri" w:hAnsi="Verdana" w:cs="Times New Roman"/>
          <w:sz w:val="20"/>
          <w:szCs w:val="20"/>
        </w:rPr>
        <w:t xml:space="preserve"> -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с 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8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% и на продукцията от животновъдство - с 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0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%. </w:t>
      </w:r>
      <w:r w:rsidR="00B15632">
        <w:rPr>
          <w:rFonts w:ascii="Verdana" w:eastAsia="Calibri" w:hAnsi="Verdana" w:cs="Times New Roman"/>
          <w:sz w:val="20"/>
          <w:szCs w:val="20"/>
        </w:rPr>
        <w:t>През второто тримесечие на 2024</w:t>
      </w:r>
      <w:r w:rsidR="00EA7A64">
        <w:rPr>
          <w:rFonts w:ascii="Verdana" w:eastAsia="Calibri" w:hAnsi="Verdana" w:cs="Times New Roman"/>
          <w:sz w:val="20"/>
          <w:szCs w:val="20"/>
        </w:rPr>
        <w:t xml:space="preserve"> </w:t>
      </w:r>
      <w:r w:rsidR="00B15632">
        <w:rPr>
          <w:rFonts w:ascii="Verdana" w:eastAsia="Calibri" w:hAnsi="Verdana" w:cs="Times New Roman"/>
          <w:sz w:val="20"/>
          <w:szCs w:val="20"/>
        </w:rPr>
        <w:t>г. с</w:t>
      </w:r>
      <w:r w:rsidRPr="00CF68AD">
        <w:rPr>
          <w:rFonts w:ascii="Verdana" w:eastAsia="Calibri" w:hAnsi="Verdana" w:cs="Times New Roman"/>
          <w:sz w:val="20"/>
          <w:szCs w:val="20"/>
        </w:rPr>
        <w:t>прямо предходната година</w:t>
      </w:r>
      <w:r w:rsidR="00317499">
        <w:rPr>
          <w:rFonts w:ascii="Verdana" w:eastAsia="Calibri" w:hAnsi="Verdana" w:cs="Times New Roman"/>
          <w:sz w:val="20"/>
          <w:szCs w:val="20"/>
        </w:rPr>
        <w:t xml:space="preserve"> </w:t>
      </w:r>
      <w:r w:rsidR="00317499">
        <w:rPr>
          <w:rFonts w:ascii="Verdana" w:eastAsia="Calibri" w:hAnsi="Verdana" w:cs="Times New Roman"/>
          <w:sz w:val="20"/>
          <w:szCs w:val="20"/>
          <w:lang w:val="en-US"/>
        </w:rPr>
        <w:t>(</w:t>
      </w:r>
      <w:r w:rsidR="00317499">
        <w:rPr>
          <w:rFonts w:ascii="Verdana" w:eastAsia="Calibri" w:hAnsi="Verdana" w:cs="Times New Roman"/>
          <w:sz w:val="20"/>
          <w:szCs w:val="20"/>
        </w:rPr>
        <w:t>на годишна база</w:t>
      </w:r>
      <w:r w:rsidR="00317499">
        <w:rPr>
          <w:rFonts w:ascii="Verdana" w:eastAsia="Calibri" w:hAnsi="Verdana" w:cs="Times New Roman"/>
          <w:sz w:val="20"/>
          <w:szCs w:val="20"/>
          <w:lang w:val="en-US"/>
        </w:rPr>
        <w:t>)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цените на селскостопанската продукция отбелязват спад с </w:t>
      </w:r>
      <w:r>
        <w:rPr>
          <w:rFonts w:ascii="Verdana" w:eastAsia="Calibri" w:hAnsi="Verdana" w:cs="Times New Roman"/>
          <w:sz w:val="20"/>
          <w:szCs w:val="20"/>
        </w:rPr>
        <w:t>4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2</w:t>
      </w:r>
      <w:r w:rsidR="00E53467">
        <w:rPr>
          <w:rFonts w:ascii="Verdana" w:eastAsia="Calibri" w:hAnsi="Verdana" w:cs="Times New Roman"/>
          <w:sz w:val="20"/>
          <w:szCs w:val="20"/>
        </w:rPr>
        <w:t>%, като в растениевъдството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</w:t>
      </w:r>
      <w:r w:rsidR="00EA7A64">
        <w:rPr>
          <w:rFonts w:ascii="Verdana" w:eastAsia="Calibri" w:hAnsi="Verdana" w:cs="Times New Roman"/>
          <w:sz w:val="20"/>
          <w:szCs w:val="20"/>
        </w:rPr>
        <w:t xml:space="preserve">те 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се понижават с </w:t>
      </w:r>
      <w:r>
        <w:rPr>
          <w:rFonts w:ascii="Verdana" w:eastAsia="Calibri" w:hAnsi="Verdana" w:cs="Times New Roman"/>
          <w:sz w:val="20"/>
          <w:szCs w:val="20"/>
        </w:rPr>
        <w:t>4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 w:rsidR="00760687">
        <w:rPr>
          <w:rFonts w:ascii="Verdana" w:eastAsia="Calibri" w:hAnsi="Verdana" w:cs="Times New Roman"/>
          <w:sz w:val="20"/>
          <w:szCs w:val="20"/>
        </w:rPr>
        <w:t>3%, а</w:t>
      </w:r>
      <w:r w:rsidR="00BB5863">
        <w:rPr>
          <w:rFonts w:ascii="Verdana" w:eastAsia="Calibri" w:hAnsi="Verdana" w:cs="Times New Roman"/>
          <w:sz w:val="20"/>
          <w:szCs w:val="20"/>
        </w:rPr>
        <w:t xml:space="preserve"> в животновъдството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="00EA7A64">
        <w:rPr>
          <w:rFonts w:ascii="Verdana" w:eastAsia="Calibri" w:hAnsi="Verdana" w:cs="Times New Roman"/>
          <w:sz w:val="20"/>
          <w:szCs w:val="20"/>
        </w:rPr>
        <w:t xml:space="preserve">- </w:t>
      </w:r>
      <w:r>
        <w:rPr>
          <w:rFonts w:ascii="Verdana" w:eastAsia="Calibri" w:hAnsi="Verdana" w:cs="Times New Roman"/>
          <w:sz w:val="20"/>
          <w:szCs w:val="20"/>
        </w:rPr>
        <w:t>с 4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1</w:t>
      </w:r>
      <w:r w:rsidRPr="00CF68AD">
        <w:rPr>
          <w:rFonts w:ascii="Verdana" w:eastAsia="Calibri" w:hAnsi="Verdana" w:cs="Times New Roman"/>
          <w:sz w:val="20"/>
          <w:szCs w:val="20"/>
        </w:rPr>
        <w:t>% (</w:t>
      </w:r>
      <w:r w:rsidR="005C5197">
        <w:rPr>
          <w:rFonts w:ascii="Verdana" w:eastAsia="Calibri" w:hAnsi="Verdana" w:cs="Times New Roman"/>
          <w:sz w:val="20"/>
          <w:szCs w:val="20"/>
        </w:rPr>
        <w:t xml:space="preserve">виж </w:t>
      </w:r>
      <w:r w:rsidRPr="00CF68AD">
        <w:rPr>
          <w:rFonts w:ascii="Verdana" w:eastAsia="Calibri" w:hAnsi="Verdana" w:cs="Times New Roman"/>
          <w:sz w:val="20"/>
          <w:szCs w:val="20"/>
        </w:rPr>
        <w:t>табл. 1).</w:t>
      </w:r>
    </w:p>
    <w:p w14:paraId="563AA20A" w14:textId="0D69FA37" w:rsidR="00A12821" w:rsidRPr="00CF68AD" w:rsidRDefault="00A12821" w:rsidP="00A12821">
      <w:pPr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r w:rsidRPr="00CF68AD">
        <w:rPr>
          <w:rFonts w:ascii="Verdana" w:eastAsia="Calibri" w:hAnsi="Verdana" w:cs="Times New Roman"/>
          <w:sz w:val="20"/>
          <w:szCs w:val="20"/>
        </w:rPr>
        <w:t xml:space="preserve">През </w:t>
      </w:r>
      <w:r>
        <w:rPr>
          <w:rFonts w:ascii="Verdana" w:eastAsia="Calibri" w:hAnsi="Verdana" w:cs="Times New Roman"/>
          <w:sz w:val="20"/>
          <w:szCs w:val="20"/>
        </w:rPr>
        <w:t>второто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тримесечие на 2024 г. спрямо същия период на 2023 г. е регистриран спад </w:t>
      </w:r>
      <w:r w:rsidR="00EA7A64" w:rsidRPr="00EA7A64">
        <w:rPr>
          <w:rFonts w:ascii="Verdana" w:eastAsia="Calibri" w:hAnsi="Verdana" w:cs="Times New Roman"/>
          <w:sz w:val="20"/>
          <w:szCs w:val="20"/>
        </w:rPr>
        <w:t xml:space="preserve">с 18.0% 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в цените на зърнените </w:t>
      </w:r>
      <w:r w:rsidRPr="002C5EC8">
        <w:rPr>
          <w:rFonts w:ascii="Verdana" w:eastAsia="Calibri" w:hAnsi="Verdana" w:cs="Times New Roman"/>
          <w:sz w:val="20"/>
          <w:szCs w:val="20"/>
        </w:rPr>
        <w:t xml:space="preserve">култури </w:t>
      </w:r>
      <w:r w:rsidR="00EC67B2" w:rsidRPr="002C5EC8">
        <w:rPr>
          <w:rFonts w:ascii="Verdana" w:eastAsia="Calibri" w:hAnsi="Verdana" w:cs="Times New Roman"/>
          <w:sz w:val="20"/>
          <w:szCs w:val="20"/>
        </w:rPr>
        <w:t xml:space="preserve">в резултат </w:t>
      </w:r>
      <w:r w:rsidR="00EC67B2" w:rsidRPr="00CF68AD">
        <w:rPr>
          <w:rFonts w:ascii="Verdana" w:eastAsia="Calibri" w:hAnsi="Verdana" w:cs="Times New Roman"/>
          <w:sz w:val="20"/>
          <w:szCs w:val="20"/>
        </w:rPr>
        <w:t xml:space="preserve">на намалението на цената на меката пшеница с </w:t>
      </w:r>
      <w:r w:rsidR="00EC67B2">
        <w:rPr>
          <w:rFonts w:ascii="Verdana" w:eastAsia="Calibri" w:hAnsi="Verdana" w:cs="Times New Roman"/>
          <w:sz w:val="20"/>
          <w:szCs w:val="20"/>
        </w:rPr>
        <w:t>15</w:t>
      </w:r>
      <w:r w:rsidR="00EC67B2" w:rsidRPr="00CF68AD">
        <w:rPr>
          <w:rFonts w:ascii="Verdana" w:eastAsia="Calibri" w:hAnsi="Verdana" w:cs="Times New Roman"/>
          <w:sz w:val="20"/>
          <w:szCs w:val="20"/>
        </w:rPr>
        <w:t>.</w:t>
      </w:r>
      <w:r w:rsidR="00EC67B2">
        <w:rPr>
          <w:rFonts w:ascii="Verdana" w:eastAsia="Calibri" w:hAnsi="Verdana" w:cs="Times New Roman"/>
          <w:sz w:val="20"/>
          <w:szCs w:val="20"/>
        </w:rPr>
        <w:t>5%</w:t>
      </w:r>
      <w:r w:rsidRPr="00CF68AD">
        <w:rPr>
          <w:rFonts w:ascii="Verdana" w:eastAsia="Calibri" w:hAnsi="Verdana" w:cs="Times New Roman"/>
          <w:sz w:val="20"/>
          <w:szCs w:val="20"/>
        </w:rPr>
        <w:t>,</w:t>
      </w:r>
      <w:r>
        <w:rPr>
          <w:rFonts w:ascii="Verdana" w:eastAsia="Calibri" w:hAnsi="Verdana" w:cs="Times New Roman"/>
          <w:sz w:val="20"/>
          <w:szCs w:val="20"/>
        </w:rPr>
        <w:t xml:space="preserve"> докато 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цените на техническите култури </w:t>
      </w:r>
      <w:r>
        <w:rPr>
          <w:rFonts w:ascii="Verdana" w:eastAsia="Calibri" w:hAnsi="Verdana" w:cs="Times New Roman"/>
          <w:sz w:val="20"/>
          <w:szCs w:val="20"/>
        </w:rPr>
        <w:t>се увеличават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с </w:t>
      </w:r>
      <w:r>
        <w:rPr>
          <w:rFonts w:ascii="Verdana" w:eastAsia="Calibri" w:hAnsi="Verdana" w:cs="Times New Roman"/>
          <w:sz w:val="20"/>
          <w:szCs w:val="20"/>
        </w:rPr>
        <w:t>6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%, в резултат </w:t>
      </w:r>
      <w:r w:rsidR="003E0C51">
        <w:rPr>
          <w:rFonts w:ascii="Verdana" w:eastAsia="Calibri" w:hAnsi="Verdana" w:cs="Times New Roman"/>
          <w:sz w:val="20"/>
          <w:szCs w:val="20"/>
        </w:rPr>
        <w:t>от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 xml:space="preserve">увеличението на цената 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на слънчогледа </w:t>
      </w:r>
      <w:r>
        <w:rPr>
          <w:rFonts w:ascii="Verdana" w:eastAsia="Calibri" w:hAnsi="Verdana" w:cs="Times New Roman"/>
          <w:sz w:val="20"/>
          <w:szCs w:val="20"/>
        </w:rPr>
        <w:t>с 5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9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%. </w:t>
      </w:r>
    </w:p>
    <w:p w14:paraId="22673486" w14:textId="35B0C302" w:rsidR="003A3D5A" w:rsidRDefault="003A3D5A" w:rsidP="00A12821">
      <w:pPr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</w:rPr>
      </w:pPr>
      <w:r w:rsidRPr="003A3D5A">
        <w:rPr>
          <w:rFonts w:ascii="Verdana" w:eastAsia="Calibri" w:hAnsi="Verdana" w:cs="Times New Roman"/>
          <w:sz w:val="20"/>
          <w:szCs w:val="20"/>
        </w:rPr>
        <w:t>През второто триме</w:t>
      </w:r>
      <w:r w:rsidR="002C5EC8">
        <w:rPr>
          <w:rFonts w:ascii="Verdana" w:eastAsia="Calibri" w:hAnsi="Verdana" w:cs="Times New Roman"/>
          <w:sz w:val="20"/>
          <w:szCs w:val="20"/>
        </w:rPr>
        <w:t>сечие на 2024 г. спрямо 2023 г.</w:t>
      </w:r>
      <w:r w:rsidR="00317499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="002C5EC8">
        <w:rPr>
          <w:rFonts w:ascii="Verdana" w:eastAsia="Calibri" w:hAnsi="Verdana" w:cs="Times New Roman"/>
          <w:sz w:val="20"/>
          <w:szCs w:val="20"/>
          <w:lang w:val="en-US"/>
        </w:rPr>
        <w:t>(</w:t>
      </w:r>
      <w:r w:rsidR="00415F0F">
        <w:rPr>
          <w:rFonts w:ascii="Verdana" w:eastAsia="Calibri" w:hAnsi="Verdana" w:cs="Times New Roman"/>
          <w:sz w:val="20"/>
          <w:szCs w:val="20"/>
        </w:rPr>
        <w:t>на годишна база</w:t>
      </w:r>
      <w:r w:rsidR="002C5EC8">
        <w:rPr>
          <w:rFonts w:ascii="Verdana" w:eastAsia="Calibri" w:hAnsi="Verdana" w:cs="Times New Roman"/>
          <w:sz w:val="20"/>
          <w:szCs w:val="20"/>
          <w:lang w:val="en-US"/>
        </w:rPr>
        <w:t>)</w:t>
      </w:r>
      <w:r w:rsidR="00415F0F">
        <w:rPr>
          <w:rFonts w:ascii="Verdana" w:eastAsia="Calibri" w:hAnsi="Verdana" w:cs="Times New Roman"/>
          <w:sz w:val="20"/>
          <w:szCs w:val="20"/>
        </w:rPr>
        <w:t xml:space="preserve"> </w:t>
      </w:r>
      <w:r w:rsidRPr="003A3D5A">
        <w:rPr>
          <w:rFonts w:ascii="Verdana" w:eastAsia="Calibri" w:hAnsi="Verdana" w:cs="Times New Roman"/>
          <w:sz w:val="20"/>
          <w:szCs w:val="20"/>
        </w:rPr>
        <w:t xml:space="preserve">по-ниски са цените на зърнените </w:t>
      </w:r>
      <w:r w:rsidRPr="002C5EC8">
        <w:rPr>
          <w:rFonts w:ascii="Verdana" w:eastAsia="Calibri" w:hAnsi="Verdana" w:cs="Times New Roman"/>
          <w:sz w:val="20"/>
          <w:szCs w:val="20"/>
        </w:rPr>
        <w:t xml:space="preserve">култури - с 15.0%, </w:t>
      </w:r>
      <w:r w:rsidRPr="003A3D5A">
        <w:rPr>
          <w:rFonts w:ascii="Verdana" w:eastAsia="Calibri" w:hAnsi="Verdana" w:cs="Times New Roman"/>
          <w:sz w:val="20"/>
          <w:szCs w:val="20"/>
        </w:rPr>
        <w:t xml:space="preserve">в резултат </w:t>
      </w:r>
      <w:r w:rsidR="00172AD3">
        <w:rPr>
          <w:rFonts w:ascii="Verdana" w:eastAsia="Calibri" w:hAnsi="Verdana" w:cs="Times New Roman"/>
          <w:sz w:val="20"/>
          <w:szCs w:val="20"/>
        </w:rPr>
        <w:t>от</w:t>
      </w:r>
      <w:r w:rsidRPr="003A3D5A">
        <w:rPr>
          <w:rFonts w:ascii="Verdana" w:eastAsia="Calibri" w:hAnsi="Verdana" w:cs="Times New Roman"/>
          <w:sz w:val="20"/>
          <w:szCs w:val="20"/>
        </w:rPr>
        <w:t xml:space="preserve"> спада на цените на меката пшеница с 14.5%. При техническите култури е регистрирано увеличение в размер на 0.3%, като ръста на цените на репицата и рапицата - с 3.8%, както и на маслодайната роза - с 15.5%, не могат да компенсират съществено спада в цената на маслодайния слънчоглед - с 0.8%. Цените на пресните зеленчуци отбелязват ръст от 12.6%, докато цените на пресните плодове се понижават - с 5.6%.</w:t>
      </w:r>
    </w:p>
    <w:p w14:paraId="1CB9AA86" w14:textId="62237C35" w:rsidR="00A12821" w:rsidRPr="00CF68AD" w:rsidRDefault="00A12821" w:rsidP="00A12821">
      <w:pPr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</w:rPr>
      </w:pPr>
      <w:r w:rsidRPr="00CF68AD">
        <w:rPr>
          <w:rFonts w:ascii="Verdana" w:eastAsia="Calibri" w:hAnsi="Verdana" w:cs="Times New Roman"/>
          <w:sz w:val="20"/>
          <w:szCs w:val="20"/>
        </w:rPr>
        <w:t xml:space="preserve">Спрямо същото тримесечие на 2023 г. цените на живите животни </w:t>
      </w:r>
      <w:r>
        <w:rPr>
          <w:rFonts w:ascii="Verdana" w:eastAsia="Calibri" w:hAnsi="Verdana" w:cs="Times New Roman"/>
          <w:sz w:val="20"/>
          <w:szCs w:val="20"/>
        </w:rPr>
        <w:t>намаляват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с</w:t>
      </w:r>
      <w:r>
        <w:rPr>
          <w:rFonts w:ascii="Verdana" w:eastAsia="Calibri" w:hAnsi="Verdana" w:cs="Times New Roman"/>
          <w:sz w:val="20"/>
          <w:szCs w:val="20"/>
        </w:rPr>
        <w:t xml:space="preserve"> 1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4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% в резултат на </w:t>
      </w:r>
      <w:r>
        <w:rPr>
          <w:rFonts w:ascii="Verdana" w:eastAsia="Calibri" w:hAnsi="Verdana" w:cs="Times New Roman"/>
          <w:sz w:val="20"/>
          <w:szCs w:val="20"/>
        </w:rPr>
        <w:t>намалението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на цените на </w:t>
      </w:r>
      <w:r>
        <w:rPr>
          <w:rFonts w:ascii="Verdana" w:eastAsia="Calibri" w:hAnsi="Verdana" w:cs="Times New Roman"/>
          <w:sz w:val="20"/>
          <w:szCs w:val="20"/>
        </w:rPr>
        <w:t>свинете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с </w:t>
      </w:r>
      <w:r>
        <w:rPr>
          <w:rFonts w:ascii="Verdana" w:eastAsia="Calibri" w:hAnsi="Verdana" w:cs="Times New Roman"/>
          <w:sz w:val="20"/>
          <w:szCs w:val="20"/>
        </w:rPr>
        <w:t>6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1% и на бройлерите - с 8.1</w:t>
      </w:r>
      <w:r w:rsidRPr="00CF68AD">
        <w:rPr>
          <w:rFonts w:ascii="Verdana" w:eastAsia="Calibri" w:hAnsi="Verdana" w:cs="Times New Roman"/>
          <w:sz w:val="20"/>
          <w:szCs w:val="20"/>
        </w:rPr>
        <w:t>%. При продуктите от животновъдството е регист</w:t>
      </w:r>
      <w:r>
        <w:rPr>
          <w:rFonts w:ascii="Verdana" w:eastAsia="Calibri" w:hAnsi="Verdana" w:cs="Times New Roman"/>
          <w:sz w:val="20"/>
          <w:szCs w:val="20"/>
        </w:rPr>
        <w:t>рирано намаление на цените със 4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7</w:t>
      </w:r>
      <w:r w:rsidRPr="00CF68AD">
        <w:rPr>
          <w:rFonts w:ascii="Verdana" w:eastAsia="Calibri" w:hAnsi="Verdana" w:cs="Times New Roman"/>
          <w:sz w:val="20"/>
          <w:szCs w:val="20"/>
        </w:rPr>
        <w:t>%, което е в резултат на понижението на цените на к</w:t>
      </w:r>
      <w:r>
        <w:rPr>
          <w:rFonts w:ascii="Verdana" w:eastAsia="Calibri" w:hAnsi="Verdana" w:cs="Times New Roman"/>
          <w:sz w:val="20"/>
          <w:szCs w:val="20"/>
        </w:rPr>
        <w:t>окошите яйца за консумация - с 22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7</w:t>
      </w:r>
      <w:r w:rsidRPr="00CF68AD">
        <w:rPr>
          <w:rFonts w:ascii="Verdana" w:eastAsia="Calibri" w:hAnsi="Verdana" w:cs="Times New Roman"/>
          <w:sz w:val="20"/>
          <w:szCs w:val="20"/>
        </w:rPr>
        <w:t>%</w:t>
      </w:r>
      <w:r w:rsidR="00311AB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="00311AB3">
        <w:rPr>
          <w:rFonts w:ascii="Verdana" w:eastAsia="Calibri" w:hAnsi="Verdana" w:cs="Times New Roman"/>
          <w:sz w:val="20"/>
          <w:szCs w:val="20"/>
        </w:rPr>
        <w:t xml:space="preserve">и </w:t>
      </w:r>
      <w:r w:rsidR="00172AD3">
        <w:rPr>
          <w:rFonts w:ascii="Verdana" w:eastAsia="Calibri" w:hAnsi="Verdana" w:cs="Times New Roman"/>
          <w:sz w:val="20"/>
          <w:szCs w:val="20"/>
        </w:rPr>
        <w:t xml:space="preserve">то </w:t>
      </w:r>
      <w:r w:rsidR="00311AB3">
        <w:rPr>
          <w:rFonts w:ascii="Verdana" w:eastAsia="Calibri" w:hAnsi="Verdana" w:cs="Times New Roman"/>
          <w:sz w:val="20"/>
          <w:szCs w:val="20"/>
        </w:rPr>
        <w:t>не може да бъде компенсирано от ръста на цените на кравето мляко - с 3.5%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</w:p>
    <w:p w14:paraId="4A05316D" w14:textId="5935F1F3" w:rsidR="00A12821" w:rsidRPr="00CF68AD" w:rsidRDefault="00A12821" w:rsidP="00A12821">
      <w:pPr>
        <w:spacing w:line="360" w:lineRule="auto"/>
        <w:ind w:firstLine="567"/>
        <w:jc w:val="both"/>
        <w:rPr>
          <w:rFonts w:eastAsia="Calibri" w:cs="Times New Roman"/>
          <w:lang w:val="en-US"/>
        </w:rPr>
      </w:pPr>
      <w:r w:rsidRPr="00CF68AD">
        <w:rPr>
          <w:rFonts w:ascii="Verdana" w:eastAsia="Calibri" w:hAnsi="Verdana" w:cs="Times New Roman"/>
          <w:sz w:val="20"/>
          <w:szCs w:val="20"/>
        </w:rPr>
        <w:t xml:space="preserve">В животновъдството през </w:t>
      </w:r>
      <w:r>
        <w:rPr>
          <w:rFonts w:ascii="Verdana" w:eastAsia="Calibri" w:hAnsi="Verdana" w:cs="Times New Roman"/>
          <w:sz w:val="20"/>
          <w:szCs w:val="20"/>
        </w:rPr>
        <w:t>второто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тримесечие на 2024 г. спрямо 2023 г.</w:t>
      </w:r>
      <w:r w:rsidR="004F3134">
        <w:rPr>
          <w:rFonts w:ascii="Verdana" w:eastAsia="Calibri" w:hAnsi="Verdana" w:cs="Times New Roman"/>
          <w:sz w:val="20"/>
          <w:szCs w:val="20"/>
        </w:rPr>
        <w:t xml:space="preserve"> </w:t>
      </w:r>
      <w:r w:rsidR="004F3134">
        <w:rPr>
          <w:rFonts w:ascii="Verdana" w:eastAsia="Calibri" w:hAnsi="Verdana" w:cs="Times New Roman"/>
          <w:sz w:val="20"/>
          <w:szCs w:val="20"/>
          <w:lang w:val="en-US"/>
        </w:rPr>
        <w:t>(</w:t>
      </w:r>
      <w:r w:rsidR="004F3134">
        <w:rPr>
          <w:rFonts w:ascii="Verdana" w:eastAsia="Calibri" w:hAnsi="Verdana" w:cs="Times New Roman"/>
          <w:sz w:val="20"/>
          <w:szCs w:val="20"/>
        </w:rPr>
        <w:t>на годишна база</w:t>
      </w:r>
      <w:r w:rsidR="004F3134">
        <w:rPr>
          <w:rFonts w:ascii="Verdana" w:eastAsia="Calibri" w:hAnsi="Verdana" w:cs="Times New Roman"/>
          <w:sz w:val="20"/>
          <w:szCs w:val="20"/>
          <w:lang w:val="en-US"/>
        </w:rPr>
        <w:t>)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цените на</w:t>
      </w:r>
      <w:r>
        <w:rPr>
          <w:rFonts w:ascii="Verdana" w:eastAsia="Calibri" w:hAnsi="Verdana" w:cs="Times New Roman"/>
          <w:sz w:val="20"/>
          <w:szCs w:val="20"/>
        </w:rPr>
        <w:t xml:space="preserve"> живите животни се понижават с 1</w:t>
      </w:r>
      <w:r>
        <w:rPr>
          <w:rFonts w:ascii="Verdana" w:eastAsia="Calibri" w:hAnsi="Verdana" w:cs="Times New Roman"/>
          <w:sz w:val="20"/>
          <w:szCs w:val="20"/>
          <w:lang w:val="en-US"/>
        </w:rPr>
        <w:t>.</w:t>
      </w:r>
      <w:r w:rsidRPr="00CF68AD">
        <w:rPr>
          <w:rFonts w:ascii="Verdana" w:eastAsia="Calibri" w:hAnsi="Verdana" w:cs="Times New Roman"/>
          <w:sz w:val="20"/>
          <w:szCs w:val="20"/>
        </w:rPr>
        <w:t>8%, в резултат от нама</w:t>
      </w:r>
      <w:r>
        <w:rPr>
          <w:rFonts w:ascii="Verdana" w:eastAsia="Calibri" w:hAnsi="Verdana" w:cs="Times New Roman"/>
          <w:sz w:val="20"/>
          <w:szCs w:val="20"/>
        </w:rPr>
        <w:t>лението на цените на свинете</w:t>
      </w:r>
      <w:r w:rsidR="00D4349B">
        <w:rPr>
          <w:rFonts w:ascii="Verdana" w:eastAsia="Calibri" w:hAnsi="Verdana" w:cs="Times New Roman"/>
          <w:sz w:val="20"/>
          <w:szCs w:val="20"/>
        </w:rPr>
        <w:t xml:space="preserve"> -</w:t>
      </w:r>
      <w:r>
        <w:rPr>
          <w:rFonts w:ascii="Verdana" w:eastAsia="Calibri" w:hAnsi="Verdana" w:cs="Times New Roman"/>
          <w:sz w:val="20"/>
          <w:szCs w:val="20"/>
        </w:rPr>
        <w:t xml:space="preserve"> с 6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2</w:t>
      </w:r>
      <w:r w:rsidRPr="00CF68AD">
        <w:rPr>
          <w:rFonts w:ascii="Verdana" w:eastAsia="Calibri" w:hAnsi="Verdana" w:cs="Times New Roman"/>
          <w:sz w:val="20"/>
          <w:szCs w:val="20"/>
        </w:rPr>
        <w:t>%</w:t>
      </w:r>
      <w:r w:rsidR="0056384C">
        <w:rPr>
          <w:rFonts w:ascii="Verdana" w:eastAsia="Calibri" w:hAnsi="Verdana" w:cs="Times New Roman"/>
          <w:sz w:val="20"/>
          <w:szCs w:val="20"/>
        </w:rPr>
        <w:t xml:space="preserve"> и на птиците - с 9.0%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. Цените на продуктите от животновъдство отбелязват </w:t>
      </w:r>
      <w:r>
        <w:rPr>
          <w:rFonts w:ascii="Verdana" w:eastAsia="Calibri" w:hAnsi="Verdana" w:cs="Times New Roman"/>
          <w:sz w:val="20"/>
          <w:szCs w:val="20"/>
        </w:rPr>
        <w:t>спад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от </w:t>
      </w:r>
      <w:r>
        <w:rPr>
          <w:rFonts w:ascii="Verdana" w:eastAsia="Calibri" w:hAnsi="Verdana" w:cs="Times New Roman"/>
          <w:sz w:val="20"/>
          <w:szCs w:val="20"/>
        </w:rPr>
        <w:t>6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6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%, </w:t>
      </w:r>
      <w:r w:rsidR="0056384C">
        <w:rPr>
          <w:rFonts w:ascii="Verdana" w:eastAsia="Calibri" w:hAnsi="Verdana" w:cs="Times New Roman"/>
          <w:sz w:val="20"/>
          <w:szCs w:val="20"/>
        </w:rPr>
        <w:t>като на</w:t>
      </w:r>
      <w:r w:rsidR="008413FC">
        <w:rPr>
          <w:rFonts w:ascii="Verdana" w:eastAsia="Calibri" w:hAnsi="Verdana" w:cs="Times New Roman"/>
          <w:sz w:val="20"/>
          <w:szCs w:val="20"/>
        </w:rPr>
        <w:t>маление е отчетено при всички</w:t>
      </w:r>
      <w:r w:rsidR="0056384C">
        <w:rPr>
          <w:rFonts w:ascii="Verdana" w:eastAsia="Calibri" w:hAnsi="Verdana" w:cs="Times New Roman"/>
          <w:sz w:val="20"/>
          <w:szCs w:val="20"/>
        </w:rPr>
        <w:t xml:space="preserve"> продукти с изключение </w:t>
      </w:r>
      <w:r w:rsidR="008413FC">
        <w:rPr>
          <w:rFonts w:ascii="Verdana" w:eastAsia="Calibri" w:hAnsi="Verdana" w:cs="Times New Roman"/>
          <w:sz w:val="20"/>
          <w:szCs w:val="20"/>
        </w:rPr>
        <w:t>на кокошите яйца за разплод, чиято цена нараства с 4.8%.</w:t>
      </w:r>
    </w:p>
    <w:p w14:paraId="444609A0" w14:textId="77777777" w:rsidR="00D44E6E" w:rsidRDefault="00D44E6E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4DEC0F99" w14:textId="77777777" w:rsidR="00A12821" w:rsidRPr="00CF68AD" w:rsidRDefault="00E65BAD" w:rsidP="00E65BAD">
      <w:pPr>
        <w:spacing w:before="160" w:after="160" w:line="360" w:lineRule="auto"/>
        <w:ind w:left="709"/>
        <w:contextualSpacing/>
        <w:jc w:val="center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lastRenderedPageBreak/>
        <w:t>Таблица 1</w:t>
      </w:r>
      <w:r w:rsidRPr="00CF68AD">
        <w:rPr>
          <w:rFonts w:ascii="Verdana" w:eastAsia="Calibri" w:hAnsi="Verdana" w:cs="Times New Roman"/>
          <w:b/>
          <w:sz w:val="20"/>
          <w:szCs w:val="20"/>
        </w:rPr>
        <w:t xml:space="preserve">. </w:t>
      </w:r>
      <w:r w:rsidR="00A12821" w:rsidRPr="00CF68AD">
        <w:rPr>
          <w:rFonts w:ascii="Verdana" w:eastAsia="Calibri" w:hAnsi="Verdana" w:cs="Times New Roman"/>
          <w:b/>
          <w:sz w:val="20"/>
          <w:szCs w:val="20"/>
        </w:rPr>
        <w:t>Индекси на цените на производител в селското стопанство за</w:t>
      </w:r>
      <w:r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A12821">
        <w:rPr>
          <w:rFonts w:ascii="Verdana" w:eastAsia="Calibri" w:hAnsi="Verdana" w:cs="Times New Roman"/>
          <w:b/>
          <w:sz w:val="20"/>
          <w:szCs w:val="20"/>
        </w:rPr>
        <w:t>второто</w:t>
      </w:r>
      <w:r w:rsidR="00A12821" w:rsidRPr="00CF68AD">
        <w:rPr>
          <w:rFonts w:ascii="Verdana" w:eastAsia="Calibri" w:hAnsi="Verdana" w:cs="Times New Roman"/>
          <w:b/>
          <w:sz w:val="20"/>
          <w:szCs w:val="20"/>
        </w:rPr>
        <w:t xml:space="preserve"> тримесечие на 2024 година</w:t>
      </w:r>
    </w:p>
    <w:p w14:paraId="741F3D91" w14:textId="77777777" w:rsidR="00A12821" w:rsidRPr="00CF68AD" w:rsidRDefault="00A12821" w:rsidP="001E6171">
      <w:pPr>
        <w:spacing w:before="360"/>
        <w:ind w:left="-567" w:right="140" w:firstLine="567"/>
        <w:jc w:val="right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sz w:val="20"/>
          <w:szCs w:val="22"/>
        </w:rPr>
        <w:t>(</w:t>
      </w:r>
      <w:r w:rsidRPr="00963454">
        <w:rPr>
          <w:rFonts w:ascii="Verdana" w:eastAsia="Calibri" w:hAnsi="Verdana" w:cs="Times New Roman"/>
          <w:sz w:val="16"/>
          <w:szCs w:val="16"/>
        </w:rPr>
        <w:t>Проценти</w:t>
      </w:r>
      <w:r>
        <w:rPr>
          <w:rFonts w:ascii="Verdana" w:eastAsia="Calibri" w:hAnsi="Verdana" w:cs="Times New Roman"/>
          <w:sz w:val="20"/>
          <w:szCs w:val="22"/>
        </w:rPr>
        <w:t>)</w:t>
      </w: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4028"/>
        <w:gridCol w:w="1501"/>
        <w:gridCol w:w="1879"/>
        <w:gridCol w:w="1560"/>
      </w:tblGrid>
      <w:tr w:rsidR="00A12821" w:rsidRPr="00CF68AD" w14:paraId="3DA1BEF3" w14:textId="77777777" w:rsidTr="00105E1B">
        <w:trPr>
          <w:trHeight w:val="780"/>
        </w:trPr>
        <w:tc>
          <w:tcPr>
            <w:tcW w:w="4028" w:type="dxa"/>
            <w:hideMark/>
          </w:tcPr>
          <w:p w14:paraId="6D89CD79" w14:textId="77777777" w:rsidR="00A12821" w:rsidRPr="006365DD" w:rsidRDefault="00A12821" w:rsidP="004630B6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1" w:type="dxa"/>
            <w:hideMark/>
          </w:tcPr>
          <w:p w14:paraId="5A9C8714" w14:textId="77777777" w:rsidR="00A12821" w:rsidRPr="006365DD" w:rsidRDefault="00A12821" w:rsidP="009D3AC9">
            <w:pPr>
              <w:spacing w:before="16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2020 = 100</w:t>
            </w:r>
          </w:p>
        </w:tc>
        <w:tc>
          <w:tcPr>
            <w:tcW w:w="1879" w:type="dxa"/>
            <w:hideMark/>
          </w:tcPr>
          <w:p w14:paraId="41F6E84D" w14:textId="77777777" w:rsidR="00A12821" w:rsidRPr="006365DD" w:rsidRDefault="00A12821" w:rsidP="00963454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Съответното тримесечие на 202</w:t>
            </w: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3</w:t>
            </w: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= 100</w:t>
            </w:r>
          </w:p>
        </w:tc>
        <w:tc>
          <w:tcPr>
            <w:tcW w:w="1560" w:type="dxa"/>
            <w:hideMark/>
          </w:tcPr>
          <w:p w14:paraId="383AAA3D" w14:textId="77777777" w:rsidR="00A12821" w:rsidRPr="006365DD" w:rsidRDefault="00A12821" w:rsidP="009D3AC9">
            <w:pPr>
              <w:spacing w:before="16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2023 = 100</w:t>
            </w:r>
          </w:p>
        </w:tc>
      </w:tr>
      <w:tr w:rsidR="00A12821" w:rsidRPr="00CF68AD" w14:paraId="413AD8AD" w14:textId="77777777" w:rsidTr="00105E1B">
        <w:trPr>
          <w:trHeight w:val="402"/>
        </w:trPr>
        <w:tc>
          <w:tcPr>
            <w:tcW w:w="4028" w:type="dxa"/>
            <w:hideMark/>
          </w:tcPr>
          <w:p w14:paraId="0127537D" w14:textId="77777777" w:rsidR="00A12821" w:rsidRPr="006365DD" w:rsidRDefault="00A12821" w:rsidP="00C36955">
            <w:pPr>
              <w:spacing w:before="16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501" w:type="dxa"/>
            <w:noWrap/>
            <w:hideMark/>
          </w:tcPr>
          <w:p w14:paraId="5CBA8267" w14:textId="77777777" w:rsidR="00A12821" w:rsidRPr="006365DD" w:rsidRDefault="002237F7" w:rsidP="00C36955">
            <w:pPr>
              <w:spacing w:before="16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129.</w:t>
            </w:r>
            <w:r w:rsidR="00A12821"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1879" w:type="dxa"/>
            <w:noWrap/>
            <w:hideMark/>
          </w:tcPr>
          <w:p w14:paraId="7A2998C2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96</w:t>
            </w: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.</w:t>
            </w: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28D652FF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95.</w:t>
            </w: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</w:t>
            </w:r>
          </w:p>
        </w:tc>
      </w:tr>
      <w:tr w:rsidR="00A12821" w:rsidRPr="00CF68AD" w14:paraId="289F8A32" w14:textId="77777777" w:rsidTr="00105E1B">
        <w:trPr>
          <w:trHeight w:val="402"/>
        </w:trPr>
        <w:tc>
          <w:tcPr>
            <w:tcW w:w="4028" w:type="dxa"/>
            <w:hideMark/>
          </w:tcPr>
          <w:p w14:paraId="09974F1A" w14:textId="77777777" w:rsidR="00A12821" w:rsidRPr="006365DD" w:rsidRDefault="008D0534" w:rsidP="00C36955">
            <w:pPr>
              <w:spacing w:before="1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</w:t>
            </w:r>
            <w:r w:rsidR="00A12821"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астениевъдство</w:t>
            </w:r>
          </w:p>
        </w:tc>
        <w:tc>
          <w:tcPr>
            <w:tcW w:w="1501" w:type="dxa"/>
            <w:hideMark/>
          </w:tcPr>
          <w:p w14:paraId="0CC23B4A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1</w:t>
            </w: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</w:t>
            </w: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2.</w:t>
            </w: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879" w:type="dxa"/>
            <w:hideMark/>
          </w:tcPr>
          <w:p w14:paraId="12694B1F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96</w:t>
            </w: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.</w:t>
            </w: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560" w:type="dxa"/>
            <w:hideMark/>
          </w:tcPr>
          <w:p w14:paraId="6C739171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95</w:t>
            </w: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.</w:t>
            </w: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</w:tr>
      <w:tr w:rsidR="00A12821" w:rsidRPr="00CF68AD" w14:paraId="4A0A0B77" w14:textId="77777777" w:rsidTr="00105E1B">
        <w:trPr>
          <w:trHeight w:val="402"/>
        </w:trPr>
        <w:tc>
          <w:tcPr>
            <w:tcW w:w="4028" w:type="dxa"/>
            <w:hideMark/>
          </w:tcPr>
          <w:p w14:paraId="0B857A9B" w14:textId="77777777" w:rsidR="00A12821" w:rsidRPr="006365DD" w:rsidRDefault="008D0534" w:rsidP="00C36955">
            <w:pPr>
              <w:spacing w:before="1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ж</w:t>
            </w:r>
            <w:r w:rsidR="00A12821"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ивотновъдство</w:t>
            </w:r>
          </w:p>
        </w:tc>
        <w:tc>
          <w:tcPr>
            <w:tcW w:w="1501" w:type="dxa"/>
            <w:hideMark/>
          </w:tcPr>
          <w:p w14:paraId="1ABD4901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138.8</w:t>
            </w:r>
          </w:p>
        </w:tc>
        <w:tc>
          <w:tcPr>
            <w:tcW w:w="1879" w:type="dxa"/>
            <w:hideMark/>
          </w:tcPr>
          <w:p w14:paraId="6AA663C8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97.0</w:t>
            </w:r>
          </w:p>
        </w:tc>
        <w:tc>
          <w:tcPr>
            <w:tcW w:w="1560" w:type="dxa"/>
            <w:hideMark/>
          </w:tcPr>
          <w:p w14:paraId="0C4EE73F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95.9</w:t>
            </w:r>
          </w:p>
        </w:tc>
      </w:tr>
    </w:tbl>
    <w:p w14:paraId="7E66BB2E" w14:textId="77777777" w:rsidR="00A12821" w:rsidRPr="00CF68AD" w:rsidRDefault="00A12821" w:rsidP="00CC76F5">
      <w:pPr>
        <w:spacing w:beforeLines="160" w:before="384" w:after="16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CF68AD">
        <w:rPr>
          <w:rFonts w:ascii="Verdana" w:eastAsia="Calibri" w:hAnsi="Verdana" w:cs="Times New Roman"/>
          <w:b/>
          <w:sz w:val="20"/>
          <w:szCs w:val="20"/>
        </w:rPr>
        <w:t>Фиг. 1. Индекси на цените на производител в селското стопанство по тримесечия</w:t>
      </w:r>
      <w:r w:rsidR="008702B1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CF68AD">
        <w:rPr>
          <w:rFonts w:ascii="Verdana" w:eastAsia="Calibri" w:hAnsi="Verdana" w:cs="Times New Roman"/>
          <w:b/>
          <w:sz w:val="20"/>
          <w:szCs w:val="20"/>
        </w:rPr>
        <w:t>(2020 = 100)</w:t>
      </w:r>
    </w:p>
    <w:p w14:paraId="4627C394" w14:textId="77777777" w:rsidR="00A12821" w:rsidRPr="00CF68AD" w:rsidRDefault="00A12821" w:rsidP="00A12821">
      <w:pPr>
        <w:spacing w:after="200" w:line="276" w:lineRule="auto"/>
        <w:ind w:left="709" w:hanging="1276"/>
        <w:rPr>
          <w:rFonts w:eastAsia="Μοντέρνα" w:cs="Times New Roman"/>
          <w:noProof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3718B8CC" wp14:editId="4A764705">
            <wp:extent cx="6283756" cy="3291840"/>
            <wp:effectExtent l="0" t="0" r="3175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D4A67D" w14:textId="77777777" w:rsidR="00867246" w:rsidRPr="00CF68AD" w:rsidRDefault="00867246" w:rsidP="00867246">
      <w:pPr>
        <w:spacing w:before="160" w:after="16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F68AD">
        <w:rPr>
          <w:rFonts w:ascii="Verdana" w:eastAsia="Calibri" w:hAnsi="Verdana" w:cs="Times New Roman"/>
          <w:b/>
          <w:sz w:val="20"/>
          <w:szCs w:val="20"/>
        </w:rPr>
        <w:t>Индекси на цените на продуктите и услугите за текущо потребление в селското стопанство</w:t>
      </w:r>
    </w:p>
    <w:p w14:paraId="5403CA4C" w14:textId="77777777" w:rsidR="00867246" w:rsidRPr="00CF68AD" w:rsidRDefault="00867246" w:rsidP="00867246">
      <w:pPr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</w:rPr>
      </w:pPr>
      <w:r w:rsidRPr="00CF68AD">
        <w:rPr>
          <w:rFonts w:ascii="Verdana" w:eastAsia="Calibri" w:hAnsi="Verdana" w:cs="Times New Roman"/>
          <w:b/>
          <w:sz w:val="20"/>
          <w:szCs w:val="20"/>
        </w:rPr>
        <w:t>Индексът на цените на продуктите и услугите за текущо потребление в селското стопанство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за </w:t>
      </w:r>
      <w:r>
        <w:rPr>
          <w:rFonts w:ascii="Verdana" w:eastAsia="Calibri" w:hAnsi="Verdana" w:cs="Times New Roman"/>
          <w:sz w:val="20"/>
          <w:szCs w:val="20"/>
        </w:rPr>
        <w:t>второто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тримесечие на 2024 г. е по-нисък с </w:t>
      </w:r>
      <w:r>
        <w:rPr>
          <w:rFonts w:ascii="Verdana" w:eastAsia="Calibri" w:hAnsi="Verdana" w:cs="Times New Roman"/>
          <w:sz w:val="20"/>
          <w:szCs w:val="20"/>
        </w:rPr>
        <w:t>5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>0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% спрямо същото тримесечие на предходната година и </w:t>
      </w:r>
      <w:r>
        <w:rPr>
          <w:rFonts w:ascii="Verdana" w:eastAsia="Calibri" w:hAnsi="Verdana" w:cs="Times New Roman"/>
          <w:sz w:val="20"/>
          <w:szCs w:val="20"/>
        </w:rPr>
        <w:t xml:space="preserve">намалява </w:t>
      </w:r>
      <w:r w:rsidRPr="00CF68AD">
        <w:rPr>
          <w:rFonts w:ascii="Verdana" w:eastAsia="Calibri" w:hAnsi="Verdana" w:cs="Times New Roman"/>
          <w:sz w:val="20"/>
          <w:szCs w:val="20"/>
        </w:rPr>
        <w:t>с 4.</w:t>
      </w:r>
      <w:r>
        <w:rPr>
          <w:rFonts w:ascii="Verdana" w:eastAsia="Calibri" w:hAnsi="Verdana" w:cs="Times New Roman"/>
          <w:sz w:val="20"/>
          <w:szCs w:val="20"/>
        </w:rPr>
        <w:t>6</w:t>
      </w:r>
      <w:r w:rsidRPr="00CF68AD">
        <w:rPr>
          <w:rFonts w:ascii="Verdana" w:eastAsia="Calibri" w:hAnsi="Verdana" w:cs="Times New Roman"/>
          <w:sz w:val="20"/>
          <w:szCs w:val="20"/>
        </w:rPr>
        <w:t>%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CF68AD">
        <w:rPr>
          <w:rFonts w:ascii="Verdana" w:eastAsia="Calibri" w:hAnsi="Verdana" w:cs="Times New Roman"/>
          <w:sz w:val="20"/>
          <w:szCs w:val="20"/>
        </w:rPr>
        <w:t>спрямо 2023 година</w:t>
      </w:r>
      <w:r>
        <w:rPr>
          <w:rFonts w:ascii="Verdana" w:eastAsia="Calibri" w:hAnsi="Verdana" w:cs="Times New Roman"/>
          <w:sz w:val="20"/>
          <w:szCs w:val="20"/>
          <w:lang w:val="en-US"/>
        </w:rPr>
        <w:t xml:space="preserve"> (</w:t>
      </w:r>
      <w:r>
        <w:rPr>
          <w:rFonts w:ascii="Verdana" w:eastAsia="Calibri" w:hAnsi="Verdana" w:cs="Times New Roman"/>
          <w:sz w:val="20"/>
          <w:szCs w:val="20"/>
        </w:rPr>
        <w:t>на годишна база</w:t>
      </w:r>
      <w:r>
        <w:rPr>
          <w:rFonts w:ascii="Verdana" w:eastAsia="Calibri" w:hAnsi="Verdana" w:cs="Times New Roman"/>
          <w:sz w:val="20"/>
          <w:szCs w:val="20"/>
          <w:lang w:val="en-US"/>
        </w:rPr>
        <w:t>)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</w:p>
    <w:p w14:paraId="799F9176" w14:textId="01CBE118" w:rsidR="00867246" w:rsidRDefault="00867246">
      <w:pPr>
        <w:rPr>
          <w:rFonts w:eastAsia="Calibri" w:cs="Times New Roman"/>
          <w:b/>
        </w:rPr>
      </w:pPr>
    </w:p>
    <w:p w14:paraId="7E86E5F2" w14:textId="71739171" w:rsidR="00D44E6E" w:rsidRDefault="00D44E6E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14:paraId="2DB06080" w14:textId="77777777" w:rsidR="00A12821" w:rsidRPr="00CF68AD" w:rsidRDefault="00A12821" w:rsidP="00A12821">
      <w:pPr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lastRenderedPageBreak/>
        <w:t xml:space="preserve">През </w:t>
      </w:r>
      <w:r w:rsidR="00F32792">
        <w:rPr>
          <w:rFonts w:ascii="Verdana" w:eastAsia="Calibri" w:hAnsi="Verdana" w:cs="Times New Roman"/>
          <w:sz w:val="20"/>
          <w:szCs w:val="20"/>
        </w:rPr>
        <w:t xml:space="preserve">второто </w:t>
      </w:r>
      <w:r>
        <w:rPr>
          <w:rFonts w:ascii="Verdana" w:eastAsia="Calibri" w:hAnsi="Verdana" w:cs="Times New Roman"/>
          <w:sz w:val="20"/>
          <w:szCs w:val="20"/>
        </w:rPr>
        <w:t>тримесечие на 2024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г. спрямо съответното тримесечие на 2023 г. е отчетено повишение в цените на: посевния и посадъчния материал - с </w:t>
      </w:r>
      <w:r w:rsidR="00F32792">
        <w:rPr>
          <w:rFonts w:ascii="Verdana" w:eastAsia="Calibri" w:hAnsi="Verdana" w:cs="Times New Roman"/>
          <w:sz w:val="20"/>
          <w:szCs w:val="20"/>
        </w:rPr>
        <w:t>8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 w:rsidR="00F32792">
        <w:rPr>
          <w:rFonts w:ascii="Verdana" w:eastAsia="Calibri" w:hAnsi="Verdana" w:cs="Times New Roman"/>
          <w:sz w:val="20"/>
          <w:szCs w:val="20"/>
        </w:rPr>
        <w:t>5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%, електроенергията и горивата - с </w:t>
      </w:r>
      <w:r w:rsidR="00F32792">
        <w:rPr>
          <w:rFonts w:ascii="Verdana" w:eastAsia="Calibri" w:hAnsi="Verdana" w:cs="Times New Roman"/>
          <w:sz w:val="20"/>
          <w:szCs w:val="20"/>
        </w:rPr>
        <w:t>3</w:t>
      </w:r>
      <w:r w:rsidRPr="00CF68AD">
        <w:rPr>
          <w:rFonts w:ascii="Verdana" w:eastAsia="Calibri" w:hAnsi="Verdana" w:cs="Times New Roman"/>
          <w:sz w:val="20"/>
          <w:szCs w:val="20"/>
        </w:rPr>
        <w:t>.6%, продуктите за растителна защита - с 1</w:t>
      </w:r>
      <w:r w:rsidR="00F32792">
        <w:rPr>
          <w:rFonts w:ascii="Verdana" w:eastAsia="Calibri" w:hAnsi="Verdana" w:cs="Times New Roman"/>
          <w:sz w:val="20"/>
          <w:szCs w:val="20"/>
        </w:rPr>
        <w:t>5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 w:rsidR="00F32792">
        <w:rPr>
          <w:rFonts w:ascii="Verdana" w:eastAsia="Calibri" w:hAnsi="Verdana" w:cs="Times New Roman"/>
          <w:sz w:val="20"/>
          <w:szCs w:val="20"/>
        </w:rPr>
        <w:t>9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% и ветеринарномедицинските продукти - с </w:t>
      </w:r>
      <w:r w:rsidR="00F32792">
        <w:rPr>
          <w:rFonts w:ascii="Verdana" w:eastAsia="Calibri" w:hAnsi="Verdana" w:cs="Times New Roman"/>
          <w:sz w:val="20"/>
          <w:szCs w:val="20"/>
        </w:rPr>
        <w:t>3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 w:rsidR="00F32792">
        <w:rPr>
          <w:rFonts w:ascii="Verdana" w:eastAsia="Calibri" w:hAnsi="Verdana" w:cs="Times New Roman"/>
          <w:sz w:val="20"/>
          <w:szCs w:val="20"/>
        </w:rPr>
        <w:t>6</w:t>
      </w:r>
      <w:r w:rsidRPr="00CF68AD">
        <w:rPr>
          <w:rFonts w:ascii="Verdana" w:eastAsia="Calibri" w:hAnsi="Verdana" w:cs="Times New Roman"/>
          <w:sz w:val="20"/>
          <w:szCs w:val="20"/>
        </w:rPr>
        <w:t>%. Намаляват цените на: минералните торове - с 2</w:t>
      </w:r>
      <w:r w:rsidR="00F32792">
        <w:rPr>
          <w:rFonts w:ascii="Verdana" w:eastAsia="Calibri" w:hAnsi="Verdana" w:cs="Times New Roman"/>
          <w:sz w:val="20"/>
          <w:szCs w:val="20"/>
        </w:rPr>
        <w:t>1</w:t>
      </w:r>
      <w:r w:rsidR="0070448B">
        <w:rPr>
          <w:rFonts w:ascii="Verdana" w:eastAsia="Calibri" w:hAnsi="Verdana" w:cs="Times New Roman"/>
          <w:sz w:val="20"/>
          <w:szCs w:val="20"/>
        </w:rPr>
        <w:t>.2%,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и фуражите - с </w:t>
      </w:r>
      <w:r w:rsidR="00F32792">
        <w:rPr>
          <w:rFonts w:ascii="Verdana" w:eastAsia="Calibri" w:hAnsi="Verdana" w:cs="Times New Roman"/>
          <w:sz w:val="20"/>
          <w:szCs w:val="20"/>
        </w:rPr>
        <w:t>9</w:t>
      </w:r>
      <w:r w:rsidRPr="00CF68AD">
        <w:rPr>
          <w:rFonts w:ascii="Verdana" w:eastAsia="Calibri" w:hAnsi="Verdana" w:cs="Times New Roman"/>
          <w:sz w:val="20"/>
          <w:szCs w:val="20"/>
        </w:rPr>
        <w:t>.</w:t>
      </w:r>
      <w:r w:rsidR="00F32792">
        <w:rPr>
          <w:rFonts w:ascii="Verdana" w:eastAsia="Calibri" w:hAnsi="Verdana" w:cs="Times New Roman"/>
          <w:sz w:val="20"/>
          <w:szCs w:val="20"/>
        </w:rPr>
        <w:t>5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%. </w:t>
      </w:r>
    </w:p>
    <w:p w14:paraId="6272DA67" w14:textId="240154BE" w:rsidR="00A12821" w:rsidRDefault="00B15632" w:rsidP="00A12821">
      <w:pPr>
        <w:spacing w:line="360" w:lineRule="auto"/>
        <w:ind w:firstLine="567"/>
        <w:jc w:val="both"/>
        <w:rPr>
          <w:rFonts w:eastAsia="Calibri" w:cs="Times New Roman"/>
          <w:b/>
        </w:rPr>
      </w:pPr>
      <w:r>
        <w:rPr>
          <w:rFonts w:ascii="Verdana" w:eastAsia="Calibri" w:hAnsi="Verdana" w:cs="Times New Roman"/>
          <w:sz w:val="20"/>
          <w:szCs w:val="20"/>
        </w:rPr>
        <w:t>През второто тримесечие на 2024</w:t>
      </w:r>
      <w:r w:rsidRPr="00CF68AD">
        <w:rPr>
          <w:rFonts w:ascii="Verdana" w:eastAsia="Calibri" w:hAnsi="Verdana" w:cs="Times New Roman"/>
          <w:sz w:val="20"/>
          <w:szCs w:val="20"/>
        </w:rPr>
        <w:t xml:space="preserve"> г.</w:t>
      </w:r>
      <w:r>
        <w:rPr>
          <w:rFonts w:ascii="Verdana" w:eastAsia="Calibri" w:hAnsi="Verdana" w:cs="Times New Roman"/>
          <w:sz w:val="20"/>
          <w:szCs w:val="20"/>
        </w:rPr>
        <w:t xml:space="preserve"> с</w:t>
      </w:r>
      <w:r w:rsidR="004F3134">
        <w:rPr>
          <w:rFonts w:ascii="Verdana" w:eastAsia="Calibri" w:hAnsi="Verdana" w:cs="Times New Roman"/>
          <w:sz w:val="20"/>
          <w:szCs w:val="20"/>
        </w:rPr>
        <w:t>прямо 2023 г.</w:t>
      </w:r>
      <w:r w:rsidR="00CC76F5">
        <w:rPr>
          <w:rFonts w:ascii="Verdana" w:eastAsia="Calibri" w:hAnsi="Verdana" w:cs="Times New Roman"/>
          <w:sz w:val="20"/>
          <w:szCs w:val="20"/>
        </w:rPr>
        <w:t xml:space="preserve"> </w:t>
      </w:r>
      <w:r w:rsidR="004F3134">
        <w:rPr>
          <w:rFonts w:ascii="Verdana" w:eastAsia="Calibri" w:hAnsi="Verdana" w:cs="Times New Roman"/>
          <w:sz w:val="20"/>
          <w:szCs w:val="20"/>
          <w:lang w:val="en-US"/>
        </w:rPr>
        <w:t>(</w:t>
      </w:r>
      <w:r w:rsidR="001B23D9">
        <w:rPr>
          <w:rFonts w:ascii="Verdana" w:eastAsia="Calibri" w:hAnsi="Verdana" w:cs="Times New Roman"/>
          <w:sz w:val="20"/>
          <w:szCs w:val="20"/>
        </w:rPr>
        <w:t>на годишна база</w:t>
      </w:r>
      <w:r w:rsidR="004F3134">
        <w:rPr>
          <w:rFonts w:ascii="Verdana" w:eastAsia="Calibri" w:hAnsi="Verdana" w:cs="Times New Roman"/>
          <w:sz w:val="20"/>
          <w:szCs w:val="20"/>
          <w:lang w:val="en-US"/>
        </w:rPr>
        <w:t>)</w:t>
      </w:r>
      <w:r w:rsidR="001B23D9">
        <w:rPr>
          <w:rFonts w:ascii="Verdana" w:eastAsia="Calibri" w:hAnsi="Verdana" w:cs="Times New Roman"/>
          <w:sz w:val="20"/>
          <w:szCs w:val="20"/>
        </w:rPr>
        <w:t xml:space="preserve"> </w:t>
      </w:r>
      <w:r w:rsidR="00A12821" w:rsidRPr="00CF68AD">
        <w:rPr>
          <w:rFonts w:ascii="Verdana" w:eastAsia="Calibri" w:hAnsi="Verdana" w:cs="Times New Roman"/>
          <w:sz w:val="20"/>
          <w:szCs w:val="20"/>
        </w:rPr>
        <w:t>е отчетено повишение в цените на:</w:t>
      </w:r>
      <w:r w:rsidR="00A12821">
        <w:rPr>
          <w:rFonts w:ascii="Verdana" w:eastAsia="Calibri" w:hAnsi="Verdana" w:cs="Times New Roman"/>
          <w:sz w:val="20"/>
          <w:szCs w:val="20"/>
        </w:rPr>
        <w:t xml:space="preserve"> посевния и посадъчния материал </w:t>
      </w:r>
      <w:r w:rsidR="00A12821" w:rsidRPr="00CF68AD">
        <w:rPr>
          <w:rFonts w:ascii="Verdana" w:eastAsia="Calibri" w:hAnsi="Verdana" w:cs="Times New Roman"/>
          <w:sz w:val="20"/>
          <w:szCs w:val="20"/>
        </w:rPr>
        <w:t xml:space="preserve">- с </w:t>
      </w:r>
      <w:r w:rsidR="00F32792">
        <w:rPr>
          <w:rFonts w:ascii="Verdana" w:eastAsia="Calibri" w:hAnsi="Verdana" w:cs="Times New Roman"/>
          <w:sz w:val="20"/>
          <w:szCs w:val="20"/>
        </w:rPr>
        <w:t>6</w:t>
      </w:r>
      <w:r w:rsidR="00A12821" w:rsidRPr="00CF68AD">
        <w:rPr>
          <w:rFonts w:ascii="Verdana" w:eastAsia="Calibri" w:hAnsi="Verdana" w:cs="Times New Roman"/>
          <w:sz w:val="20"/>
          <w:szCs w:val="20"/>
        </w:rPr>
        <w:t>.</w:t>
      </w:r>
      <w:r w:rsidR="00F32792">
        <w:rPr>
          <w:rFonts w:ascii="Verdana" w:eastAsia="Calibri" w:hAnsi="Verdana" w:cs="Times New Roman"/>
          <w:sz w:val="20"/>
          <w:szCs w:val="20"/>
        </w:rPr>
        <w:t>2</w:t>
      </w:r>
      <w:r w:rsidR="00A12821" w:rsidRPr="00CF68AD">
        <w:rPr>
          <w:rFonts w:ascii="Verdana" w:eastAsia="Calibri" w:hAnsi="Verdana" w:cs="Times New Roman"/>
          <w:sz w:val="20"/>
          <w:szCs w:val="20"/>
        </w:rPr>
        <w:t>%, продуктите за растителна защита - с 1</w:t>
      </w:r>
      <w:r w:rsidR="00F32792">
        <w:rPr>
          <w:rFonts w:ascii="Verdana" w:eastAsia="Calibri" w:hAnsi="Verdana" w:cs="Times New Roman"/>
          <w:sz w:val="20"/>
          <w:szCs w:val="20"/>
        </w:rPr>
        <w:t>5</w:t>
      </w:r>
      <w:r w:rsidR="00A12821" w:rsidRPr="00CF68AD">
        <w:rPr>
          <w:rFonts w:ascii="Verdana" w:eastAsia="Calibri" w:hAnsi="Verdana" w:cs="Times New Roman"/>
          <w:sz w:val="20"/>
          <w:szCs w:val="20"/>
        </w:rPr>
        <w:t>.</w:t>
      </w:r>
      <w:r w:rsidR="00F32792">
        <w:rPr>
          <w:rFonts w:ascii="Verdana" w:eastAsia="Calibri" w:hAnsi="Verdana" w:cs="Times New Roman"/>
          <w:sz w:val="20"/>
          <w:szCs w:val="20"/>
        </w:rPr>
        <w:t>3</w:t>
      </w:r>
      <w:r w:rsidR="00A12821" w:rsidRPr="00CF68AD">
        <w:rPr>
          <w:rFonts w:ascii="Verdana" w:eastAsia="Calibri" w:hAnsi="Verdana" w:cs="Times New Roman"/>
          <w:sz w:val="20"/>
          <w:szCs w:val="20"/>
        </w:rPr>
        <w:t>% и ветеринарномедицинските продукти - с 2.</w:t>
      </w:r>
      <w:r w:rsidR="00F32792">
        <w:rPr>
          <w:rFonts w:ascii="Verdana" w:eastAsia="Calibri" w:hAnsi="Verdana" w:cs="Times New Roman"/>
          <w:sz w:val="20"/>
          <w:szCs w:val="20"/>
        </w:rPr>
        <w:t>8</w:t>
      </w:r>
      <w:r w:rsidR="00A12821" w:rsidRPr="00CF68AD">
        <w:rPr>
          <w:rFonts w:ascii="Verdana" w:eastAsia="Calibri" w:hAnsi="Verdana" w:cs="Times New Roman"/>
          <w:sz w:val="20"/>
          <w:szCs w:val="20"/>
        </w:rPr>
        <w:t>%. Намаляват цените на: минералните торове - с 1</w:t>
      </w:r>
      <w:r w:rsidR="00F32792">
        <w:rPr>
          <w:rFonts w:ascii="Verdana" w:eastAsia="Calibri" w:hAnsi="Verdana" w:cs="Times New Roman"/>
          <w:sz w:val="20"/>
          <w:szCs w:val="20"/>
        </w:rPr>
        <w:t>6</w:t>
      </w:r>
      <w:r w:rsidR="00A12821" w:rsidRPr="00CF68AD">
        <w:rPr>
          <w:rFonts w:ascii="Verdana" w:eastAsia="Calibri" w:hAnsi="Verdana" w:cs="Times New Roman"/>
          <w:sz w:val="20"/>
          <w:szCs w:val="20"/>
        </w:rPr>
        <w:t>.</w:t>
      </w:r>
      <w:r w:rsidR="00F32792">
        <w:rPr>
          <w:rFonts w:ascii="Verdana" w:eastAsia="Calibri" w:hAnsi="Verdana" w:cs="Times New Roman"/>
          <w:sz w:val="20"/>
          <w:szCs w:val="20"/>
        </w:rPr>
        <w:t>6</w:t>
      </w:r>
      <w:r w:rsidR="00A12821" w:rsidRPr="00CF68AD">
        <w:rPr>
          <w:rFonts w:ascii="Verdana" w:eastAsia="Calibri" w:hAnsi="Verdana" w:cs="Times New Roman"/>
          <w:sz w:val="20"/>
          <w:szCs w:val="20"/>
        </w:rPr>
        <w:t xml:space="preserve">%, и  фуражите - с </w:t>
      </w:r>
      <w:r w:rsidR="00F32792">
        <w:rPr>
          <w:rFonts w:ascii="Verdana" w:eastAsia="Calibri" w:hAnsi="Verdana" w:cs="Times New Roman"/>
          <w:sz w:val="20"/>
          <w:szCs w:val="20"/>
        </w:rPr>
        <w:t>8</w:t>
      </w:r>
      <w:r w:rsidR="00A12821" w:rsidRPr="00CF68AD">
        <w:rPr>
          <w:rFonts w:ascii="Verdana" w:eastAsia="Calibri" w:hAnsi="Verdana" w:cs="Times New Roman"/>
          <w:sz w:val="20"/>
          <w:szCs w:val="20"/>
        </w:rPr>
        <w:t>.</w:t>
      </w:r>
      <w:r w:rsidR="00F32792">
        <w:rPr>
          <w:rFonts w:ascii="Verdana" w:eastAsia="Calibri" w:hAnsi="Verdana" w:cs="Times New Roman"/>
          <w:sz w:val="20"/>
          <w:szCs w:val="20"/>
        </w:rPr>
        <w:t>0</w:t>
      </w:r>
      <w:r w:rsidR="00A12821" w:rsidRPr="00CF68AD">
        <w:rPr>
          <w:rFonts w:ascii="Verdana" w:eastAsia="Calibri" w:hAnsi="Verdana" w:cs="Times New Roman"/>
          <w:sz w:val="20"/>
          <w:szCs w:val="20"/>
        </w:rPr>
        <w:t>%. (</w:t>
      </w:r>
      <w:r w:rsidR="005C5197">
        <w:rPr>
          <w:rFonts w:ascii="Verdana" w:eastAsia="Calibri" w:hAnsi="Verdana" w:cs="Times New Roman"/>
          <w:sz w:val="20"/>
          <w:szCs w:val="20"/>
        </w:rPr>
        <w:t xml:space="preserve">виж </w:t>
      </w:r>
      <w:r w:rsidR="00A12821" w:rsidRPr="00CF68AD">
        <w:rPr>
          <w:rFonts w:ascii="Verdana" w:eastAsia="Calibri" w:hAnsi="Verdana" w:cs="Times New Roman"/>
          <w:sz w:val="20"/>
          <w:szCs w:val="20"/>
        </w:rPr>
        <w:t>табл. 2).</w:t>
      </w:r>
    </w:p>
    <w:p w14:paraId="6B317B54" w14:textId="77777777" w:rsidR="00A12821" w:rsidRPr="00CF68AD" w:rsidRDefault="00E65BAD" w:rsidP="00A12821">
      <w:pPr>
        <w:spacing w:before="160" w:after="160" w:line="360" w:lineRule="auto"/>
        <w:jc w:val="center"/>
        <w:rPr>
          <w:rFonts w:eastAsia="Calibri" w:cs="Times New Roman"/>
          <w:b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Таблица </w:t>
      </w:r>
      <w:r w:rsidR="00A12821" w:rsidRPr="00CF68AD">
        <w:rPr>
          <w:rFonts w:ascii="Verdana" w:eastAsia="Calibri" w:hAnsi="Verdana" w:cs="Times New Roman"/>
          <w:b/>
          <w:sz w:val="20"/>
          <w:szCs w:val="20"/>
        </w:rPr>
        <w:t>2. Индекси на цените на продуктите и услугите за текущо потреб</w:t>
      </w:r>
      <w:r w:rsidR="00A12821">
        <w:rPr>
          <w:rFonts w:ascii="Verdana" w:eastAsia="Calibri" w:hAnsi="Verdana" w:cs="Times New Roman"/>
          <w:b/>
          <w:sz w:val="20"/>
          <w:szCs w:val="20"/>
        </w:rPr>
        <w:t xml:space="preserve">ление в селското </w:t>
      </w:r>
      <w:r w:rsidR="00A12821" w:rsidRPr="00CF68AD">
        <w:rPr>
          <w:rFonts w:ascii="Verdana" w:eastAsia="Calibri" w:hAnsi="Verdana" w:cs="Times New Roman"/>
          <w:b/>
          <w:sz w:val="20"/>
          <w:szCs w:val="20"/>
        </w:rPr>
        <w:t xml:space="preserve">стопанство за </w:t>
      </w:r>
      <w:r w:rsidR="00F32792">
        <w:rPr>
          <w:rFonts w:ascii="Verdana" w:eastAsia="Calibri" w:hAnsi="Verdana" w:cs="Times New Roman"/>
          <w:b/>
          <w:sz w:val="20"/>
          <w:szCs w:val="20"/>
        </w:rPr>
        <w:t xml:space="preserve">второто </w:t>
      </w:r>
      <w:r w:rsidR="00A12821" w:rsidRPr="00CF68AD">
        <w:rPr>
          <w:rFonts w:ascii="Verdana" w:eastAsia="Calibri" w:hAnsi="Verdana" w:cs="Times New Roman"/>
          <w:b/>
          <w:sz w:val="20"/>
          <w:szCs w:val="20"/>
        </w:rPr>
        <w:t>тримесечие на 2024 година</w:t>
      </w:r>
    </w:p>
    <w:p w14:paraId="64554484" w14:textId="77777777" w:rsidR="00A12821" w:rsidRPr="001E6171" w:rsidRDefault="00A12821" w:rsidP="00A34D09">
      <w:pPr>
        <w:spacing w:line="276" w:lineRule="auto"/>
        <w:ind w:left="8080" w:right="-1" w:hanging="418"/>
        <w:jc w:val="right"/>
        <w:rPr>
          <w:rFonts w:ascii="Verdana" w:eastAsia="Calibri" w:hAnsi="Verdana" w:cs="Times New Roman"/>
          <w:sz w:val="20"/>
          <w:szCs w:val="22"/>
        </w:rPr>
      </w:pPr>
      <w:r w:rsidRPr="006365DD">
        <w:rPr>
          <w:rFonts w:ascii="Verdana" w:eastAsia="Calibri" w:hAnsi="Verdana" w:cs="Times New Roman"/>
          <w:sz w:val="16"/>
          <w:szCs w:val="16"/>
        </w:rPr>
        <w:t>(Проценти</w:t>
      </w:r>
      <w:r w:rsidRPr="001E6171">
        <w:rPr>
          <w:rFonts w:ascii="Verdana" w:eastAsia="Calibri" w:hAnsi="Verdana" w:cs="Times New Roman"/>
          <w:sz w:val="20"/>
          <w:szCs w:val="22"/>
        </w:rPr>
        <w:t>)</w:t>
      </w: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4384"/>
        <w:gridCol w:w="1451"/>
        <w:gridCol w:w="1810"/>
        <w:gridCol w:w="1450"/>
      </w:tblGrid>
      <w:tr w:rsidR="00A12821" w:rsidRPr="00CF68AD" w14:paraId="7ACD4936" w14:textId="77777777" w:rsidTr="00105E1B">
        <w:trPr>
          <w:trHeight w:val="780"/>
        </w:trPr>
        <w:tc>
          <w:tcPr>
            <w:tcW w:w="4384" w:type="dxa"/>
            <w:hideMark/>
          </w:tcPr>
          <w:p w14:paraId="363277A9" w14:textId="77777777" w:rsidR="00A12821" w:rsidRPr="006365DD" w:rsidRDefault="00A12821" w:rsidP="004630B6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51" w:type="dxa"/>
            <w:hideMark/>
          </w:tcPr>
          <w:p w14:paraId="492563F6" w14:textId="77777777" w:rsidR="00A12821" w:rsidRPr="006365DD" w:rsidRDefault="00A12821" w:rsidP="009D3AC9">
            <w:pPr>
              <w:spacing w:before="16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2020 = 100</w:t>
            </w:r>
          </w:p>
        </w:tc>
        <w:tc>
          <w:tcPr>
            <w:tcW w:w="1810" w:type="dxa"/>
            <w:hideMark/>
          </w:tcPr>
          <w:p w14:paraId="3A78BED7" w14:textId="77777777" w:rsidR="00A12821" w:rsidRPr="006365DD" w:rsidRDefault="00A12821" w:rsidP="009D3AC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Съответното тримесечие на 2023 = 100</w:t>
            </w:r>
          </w:p>
        </w:tc>
        <w:tc>
          <w:tcPr>
            <w:tcW w:w="1450" w:type="dxa"/>
            <w:hideMark/>
          </w:tcPr>
          <w:p w14:paraId="453E1C37" w14:textId="77777777" w:rsidR="00A12821" w:rsidRPr="006365DD" w:rsidRDefault="00A12821" w:rsidP="009D3AC9">
            <w:pPr>
              <w:spacing w:before="16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2023 = 100</w:t>
            </w:r>
          </w:p>
        </w:tc>
      </w:tr>
      <w:tr w:rsidR="00A12821" w:rsidRPr="00CF68AD" w14:paraId="19496817" w14:textId="77777777" w:rsidTr="00105E1B">
        <w:trPr>
          <w:trHeight w:val="402"/>
        </w:trPr>
        <w:tc>
          <w:tcPr>
            <w:tcW w:w="4384" w:type="dxa"/>
            <w:hideMark/>
          </w:tcPr>
          <w:p w14:paraId="307E97A7" w14:textId="77777777" w:rsidR="00A12821" w:rsidRPr="006365DD" w:rsidRDefault="00A12821" w:rsidP="00C36955">
            <w:pPr>
              <w:spacing w:before="16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451" w:type="dxa"/>
            <w:hideMark/>
          </w:tcPr>
          <w:p w14:paraId="038C9F0A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  <w:t>137.</w:t>
            </w:r>
            <w:r w:rsidR="00F32792" w:rsidRPr="006365DD">
              <w:rPr>
                <w:rFonts w:ascii="Verdana" w:eastAsia="Times New Roman" w:hAnsi="Verdana" w:cs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810" w:type="dxa"/>
            <w:hideMark/>
          </w:tcPr>
          <w:p w14:paraId="44BDED0B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9</w:t>
            </w:r>
            <w:r w:rsidR="00F32792" w:rsidRPr="006365DD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5</w:t>
            </w:r>
            <w:r w:rsidRPr="006365DD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.</w:t>
            </w:r>
            <w:r w:rsidR="00F32792" w:rsidRPr="006365DD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50" w:type="dxa"/>
            <w:hideMark/>
          </w:tcPr>
          <w:p w14:paraId="453B917E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b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95.</w:t>
            </w:r>
            <w:r w:rsidR="00F32792" w:rsidRPr="006365DD">
              <w:rPr>
                <w:rFonts w:ascii="Verdana" w:eastAsia="Μοντέρνα" w:hAnsi="Verdana" w:cs="Times New Roman"/>
                <w:b/>
                <w:sz w:val="16"/>
                <w:szCs w:val="16"/>
                <w:lang w:eastAsia="bg-BG"/>
              </w:rPr>
              <w:t>4</w:t>
            </w:r>
          </w:p>
        </w:tc>
      </w:tr>
      <w:tr w:rsidR="00A12821" w:rsidRPr="00CF68AD" w14:paraId="2C1225E1" w14:textId="77777777" w:rsidTr="00105E1B">
        <w:trPr>
          <w:trHeight w:val="402"/>
        </w:trPr>
        <w:tc>
          <w:tcPr>
            <w:tcW w:w="4384" w:type="dxa"/>
            <w:hideMark/>
          </w:tcPr>
          <w:p w14:paraId="302B019D" w14:textId="77777777" w:rsidR="00A12821" w:rsidRPr="006365DD" w:rsidRDefault="008D0534" w:rsidP="00C36955">
            <w:pPr>
              <w:spacing w:before="1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</w:t>
            </w:r>
            <w:r w:rsidR="00A12821"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осевен и посадъчен материал</w:t>
            </w:r>
          </w:p>
        </w:tc>
        <w:tc>
          <w:tcPr>
            <w:tcW w:w="1451" w:type="dxa"/>
            <w:hideMark/>
          </w:tcPr>
          <w:p w14:paraId="7CE9B3E8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14</w:t>
            </w:r>
            <w:r w:rsidR="00F32792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6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.</w:t>
            </w:r>
            <w:r w:rsidR="00F32792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810" w:type="dxa"/>
            <w:hideMark/>
          </w:tcPr>
          <w:p w14:paraId="2CA7BD40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10</w:t>
            </w:r>
            <w:r w:rsidR="00F32792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8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32792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50" w:type="dxa"/>
            <w:hideMark/>
          </w:tcPr>
          <w:p w14:paraId="3A13FE5E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10</w:t>
            </w:r>
            <w:r w:rsidR="00F32792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6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32792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2</w:t>
            </w:r>
          </w:p>
        </w:tc>
      </w:tr>
      <w:tr w:rsidR="00A12821" w:rsidRPr="00CF68AD" w14:paraId="2AF46B38" w14:textId="77777777" w:rsidTr="00105E1B">
        <w:trPr>
          <w:trHeight w:val="402"/>
        </w:trPr>
        <w:tc>
          <w:tcPr>
            <w:tcW w:w="4384" w:type="dxa"/>
            <w:hideMark/>
          </w:tcPr>
          <w:p w14:paraId="4F43F863" w14:textId="77777777" w:rsidR="00A12821" w:rsidRPr="006365DD" w:rsidRDefault="008D0534" w:rsidP="00C36955">
            <w:pPr>
              <w:spacing w:before="1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</w:t>
            </w:r>
            <w:r w:rsidR="00A12821"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лектроенергия, горива и други</w:t>
            </w:r>
          </w:p>
        </w:tc>
        <w:tc>
          <w:tcPr>
            <w:tcW w:w="1451" w:type="dxa"/>
            <w:hideMark/>
          </w:tcPr>
          <w:p w14:paraId="7D9CCB06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13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9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810" w:type="dxa"/>
            <w:hideMark/>
          </w:tcPr>
          <w:p w14:paraId="032595F3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10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3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.6</w:t>
            </w:r>
          </w:p>
        </w:tc>
        <w:tc>
          <w:tcPr>
            <w:tcW w:w="1450" w:type="dxa"/>
            <w:hideMark/>
          </w:tcPr>
          <w:p w14:paraId="53F64CFD" w14:textId="77777777" w:rsidR="00A12821" w:rsidRPr="006365DD" w:rsidRDefault="00F41D1B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100</w:t>
            </w:r>
            <w:r w:rsidR="00A12821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0</w:t>
            </w:r>
          </w:p>
        </w:tc>
      </w:tr>
      <w:tr w:rsidR="00A12821" w:rsidRPr="00CF68AD" w14:paraId="12B0469E" w14:textId="77777777" w:rsidTr="00105E1B">
        <w:trPr>
          <w:trHeight w:val="402"/>
        </w:trPr>
        <w:tc>
          <w:tcPr>
            <w:tcW w:w="4384" w:type="dxa"/>
            <w:hideMark/>
          </w:tcPr>
          <w:p w14:paraId="7DC1FDA2" w14:textId="77777777" w:rsidR="00A12821" w:rsidRPr="006365DD" w:rsidRDefault="008D0534" w:rsidP="00C36955">
            <w:pPr>
              <w:spacing w:before="1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м</w:t>
            </w:r>
            <w:r w:rsidR="00A12821"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инерални торове</w:t>
            </w:r>
          </w:p>
        </w:tc>
        <w:tc>
          <w:tcPr>
            <w:tcW w:w="1451" w:type="dxa"/>
            <w:hideMark/>
          </w:tcPr>
          <w:p w14:paraId="162C3C32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15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4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810" w:type="dxa"/>
            <w:hideMark/>
          </w:tcPr>
          <w:p w14:paraId="3A0E05E2" w14:textId="77777777" w:rsidR="00A12821" w:rsidRPr="006365DD" w:rsidRDefault="00F41D1B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78</w:t>
            </w:r>
            <w:r w:rsidR="00A12821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.8</w:t>
            </w:r>
          </w:p>
        </w:tc>
        <w:tc>
          <w:tcPr>
            <w:tcW w:w="1450" w:type="dxa"/>
            <w:hideMark/>
          </w:tcPr>
          <w:p w14:paraId="47048006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8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3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4</w:t>
            </w:r>
          </w:p>
        </w:tc>
      </w:tr>
      <w:tr w:rsidR="00A12821" w:rsidRPr="00CF68AD" w14:paraId="4517E566" w14:textId="77777777" w:rsidTr="00105E1B">
        <w:trPr>
          <w:trHeight w:val="402"/>
        </w:trPr>
        <w:tc>
          <w:tcPr>
            <w:tcW w:w="4384" w:type="dxa"/>
            <w:hideMark/>
          </w:tcPr>
          <w:p w14:paraId="0F91C61C" w14:textId="77777777" w:rsidR="00A12821" w:rsidRPr="006365DD" w:rsidRDefault="008D0534" w:rsidP="00C36955">
            <w:pPr>
              <w:spacing w:before="1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</w:t>
            </w:r>
            <w:r w:rsidR="00A12821"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родукти за растителна защита</w:t>
            </w:r>
          </w:p>
        </w:tc>
        <w:tc>
          <w:tcPr>
            <w:tcW w:w="1451" w:type="dxa"/>
            <w:hideMark/>
          </w:tcPr>
          <w:p w14:paraId="6669E82D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31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810" w:type="dxa"/>
            <w:hideMark/>
          </w:tcPr>
          <w:p w14:paraId="07FCF58C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11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5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450" w:type="dxa"/>
            <w:hideMark/>
          </w:tcPr>
          <w:p w14:paraId="0E649E41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11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5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3</w:t>
            </w:r>
          </w:p>
        </w:tc>
      </w:tr>
      <w:tr w:rsidR="00A12821" w:rsidRPr="00CF68AD" w14:paraId="6350E46D" w14:textId="77777777" w:rsidTr="00105E1B">
        <w:trPr>
          <w:trHeight w:val="402"/>
        </w:trPr>
        <w:tc>
          <w:tcPr>
            <w:tcW w:w="4384" w:type="dxa"/>
            <w:hideMark/>
          </w:tcPr>
          <w:p w14:paraId="40C86654" w14:textId="77777777" w:rsidR="00A12821" w:rsidRPr="006365DD" w:rsidRDefault="008D0534" w:rsidP="00C36955">
            <w:pPr>
              <w:spacing w:before="1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в</w:t>
            </w:r>
            <w:r w:rsidR="00A12821"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етеринарномедицински продукти</w:t>
            </w:r>
          </w:p>
        </w:tc>
        <w:tc>
          <w:tcPr>
            <w:tcW w:w="1451" w:type="dxa"/>
            <w:hideMark/>
          </w:tcPr>
          <w:p w14:paraId="630A6A0C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2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3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.8</w:t>
            </w:r>
          </w:p>
        </w:tc>
        <w:tc>
          <w:tcPr>
            <w:tcW w:w="1810" w:type="dxa"/>
            <w:hideMark/>
          </w:tcPr>
          <w:p w14:paraId="21933DC8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0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3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450" w:type="dxa"/>
            <w:hideMark/>
          </w:tcPr>
          <w:p w14:paraId="28B5D8F5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02.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8</w:t>
            </w:r>
          </w:p>
        </w:tc>
      </w:tr>
      <w:tr w:rsidR="00A12821" w:rsidRPr="00CF68AD" w14:paraId="3A8CC072" w14:textId="77777777" w:rsidTr="00105E1B">
        <w:trPr>
          <w:trHeight w:val="402"/>
        </w:trPr>
        <w:tc>
          <w:tcPr>
            <w:tcW w:w="4384" w:type="dxa"/>
            <w:hideMark/>
          </w:tcPr>
          <w:p w14:paraId="315816FF" w14:textId="77777777" w:rsidR="00A12821" w:rsidRPr="006365DD" w:rsidRDefault="008D0534" w:rsidP="00C36955">
            <w:pPr>
              <w:spacing w:before="1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ф</w:t>
            </w:r>
            <w:r w:rsidR="00A12821" w:rsidRPr="006365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уражи</w:t>
            </w:r>
          </w:p>
        </w:tc>
        <w:tc>
          <w:tcPr>
            <w:tcW w:w="1451" w:type="dxa"/>
            <w:hideMark/>
          </w:tcPr>
          <w:p w14:paraId="1B76EF9C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1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4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0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810" w:type="dxa"/>
            <w:hideMark/>
          </w:tcPr>
          <w:p w14:paraId="3CD2E546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9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0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50" w:type="dxa"/>
            <w:hideMark/>
          </w:tcPr>
          <w:p w14:paraId="01B291B7" w14:textId="77777777" w:rsidR="00A12821" w:rsidRPr="006365DD" w:rsidRDefault="00A12821" w:rsidP="00C36955">
            <w:pPr>
              <w:spacing w:before="160"/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</w:pP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9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2</w:t>
            </w:r>
            <w:r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</w:t>
            </w:r>
            <w:r w:rsidR="00F41D1B" w:rsidRPr="006365DD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0</w:t>
            </w:r>
          </w:p>
        </w:tc>
      </w:tr>
    </w:tbl>
    <w:p w14:paraId="44BF9A47" w14:textId="77777777" w:rsidR="008D0534" w:rsidRDefault="008D0534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058E5D81" w14:textId="77777777" w:rsidR="00A12821" w:rsidRPr="00CF68AD" w:rsidRDefault="00A12821" w:rsidP="0075614B">
      <w:pPr>
        <w:spacing w:before="160" w:after="16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CF68AD">
        <w:rPr>
          <w:rFonts w:ascii="Verdana" w:eastAsia="Calibri" w:hAnsi="Verdana" w:cs="Times New Roman"/>
          <w:b/>
          <w:sz w:val="20"/>
          <w:szCs w:val="20"/>
        </w:rPr>
        <w:lastRenderedPageBreak/>
        <w:t>Фиг. 2. Индекси на цените на продуктите и услугите за текущо потребление в</w:t>
      </w:r>
      <w:r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r w:rsidRPr="00CF68AD">
        <w:rPr>
          <w:rFonts w:ascii="Verdana" w:eastAsia="Calibri" w:hAnsi="Verdana" w:cs="Times New Roman"/>
          <w:b/>
          <w:sz w:val="20"/>
          <w:szCs w:val="20"/>
        </w:rPr>
        <w:t>селското стопанство по тримесечия</w:t>
      </w:r>
      <w:r w:rsidR="0075614B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r w:rsidRPr="00CF68AD">
        <w:rPr>
          <w:rFonts w:ascii="Verdana" w:eastAsia="Calibri" w:hAnsi="Verdana" w:cs="Times New Roman"/>
          <w:b/>
          <w:sz w:val="20"/>
          <w:szCs w:val="20"/>
        </w:rPr>
        <w:t>(2020 = 100)</w:t>
      </w:r>
    </w:p>
    <w:p w14:paraId="1062B388" w14:textId="46FFC4EE" w:rsidR="00A12821" w:rsidRPr="00CF68AD" w:rsidRDefault="00B93909" w:rsidP="00BC1E61">
      <w:pPr>
        <w:keepNext/>
        <w:overflowPunct w:val="0"/>
        <w:autoSpaceDE w:val="0"/>
        <w:autoSpaceDN w:val="0"/>
        <w:adjustRightInd w:val="0"/>
        <w:spacing w:before="160" w:after="160" w:line="360" w:lineRule="auto"/>
        <w:ind w:left="-567"/>
        <w:jc w:val="center"/>
        <w:textAlignment w:val="baseline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368F6DA6" wp14:editId="376E432F">
            <wp:extent cx="6048375" cy="3634105"/>
            <wp:effectExtent l="0" t="0" r="0" b="444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12821" w:rsidRPr="00CF68AD">
        <w:rPr>
          <w:rFonts w:ascii="Verdana" w:eastAsia="Times New Roman" w:hAnsi="Verdana" w:cs="Times New Roman"/>
          <w:b/>
          <w:sz w:val="20"/>
          <w:szCs w:val="20"/>
        </w:rPr>
        <w:t>Методологични бележки</w:t>
      </w:r>
    </w:p>
    <w:p w14:paraId="358E28B2" w14:textId="77777777" w:rsidR="00A12821" w:rsidRPr="00CF68AD" w:rsidRDefault="00A12821" w:rsidP="000D477D">
      <w:pPr>
        <w:overflowPunct w:val="0"/>
        <w:autoSpaceDE w:val="0"/>
        <w:autoSpaceDN w:val="0"/>
        <w:adjustRightInd w:val="0"/>
        <w:spacing w:before="160" w:after="16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CF68AD">
        <w:rPr>
          <w:rFonts w:ascii="Verdana" w:eastAsia="Times New Roman" w:hAnsi="Verdana" w:cs="Times New Roman"/>
          <w:b/>
          <w:sz w:val="20"/>
          <w:szCs w:val="20"/>
        </w:rPr>
        <w:t>Методология и основни понятия</w:t>
      </w:r>
    </w:p>
    <w:p w14:paraId="29BC08A9" w14:textId="5D32C7BC" w:rsidR="00A12821" w:rsidRPr="00CF68AD" w:rsidRDefault="00A12821" w:rsidP="00BC1E61">
      <w:pPr>
        <w:spacing w:after="160"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CF68A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Изследванията за цените в селското стопанство се провеждат в съответствие с основните изисквания </w:t>
      </w:r>
      <w:r w:rsidR="0015414E">
        <w:rPr>
          <w:rFonts w:ascii="Verdana" w:eastAsia="Μοντέρνα" w:hAnsi="Verdana" w:cs="Times New Roman"/>
          <w:bCs/>
          <w:sz w:val="20"/>
          <w:szCs w:val="20"/>
          <w:lang w:eastAsia="bg-BG"/>
        </w:rPr>
        <w:t>по</w:t>
      </w:r>
      <w:r w:rsidRPr="00CF68A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Методологията на Евростат за индексите на селскостопанските цени (Handbook for Agricultural Price Indices). По този начин се постига хармонизация в областта на статистиката на цените и индексите в селското стопанство с практиката в ЕС по отношение на:</w:t>
      </w:r>
    </w:p>
    <w:p w14:paraId="2DA506A0" w14:textId="77777777" w:rsidR="00A12821" w:rsidRPr="00CF68AD" w:rsidRDefault="00A12821" w:rsidP="00A128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>използваните дефиниции;</w:t>
      </w:r>
    </w:p>
    <w:p w14:paraId="2EFBE9B0" w14:textId="77777777" w:rsidR="00A12821" w:rsidRPr="00CF68AD" w:rsidRDefault="00A12821" w:rsidP="00A128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>механизмите за регистрация на цените;</w:t>
      </w:r>
    </w:p>
    <w:p w14:paraId="1140DC4F" w14:textId="77777777" w:rsidR="00A12821" w:rsidRPr="00CF68AD" w:rsidRDefault="00A12821" w:rsidP="00A128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>типа на изчисляваните индекси;</w:t>
      </w:r>
    </w:p>
    <w:p w14:paraId="00506E3D" w14:textId="77777777" w:rsidR="00A12821" w:rsidRPr="00CF68AD" w:rsidRDefault="00A12821" w:rsidP="00A128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>периодичността при провеждане на наблюденията;</w:t>
      </w:r>
    </w:p>
    <w:p w14:paraId="28A1BBBB" w14:textId="77777777" w:rsidR="00A12821" w:rsidRPr="00CF68AD" w:rsidRDefault="00A12821" w:rsidP="00A128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>използваните номенклатури;</w:t>
      </w:r>
    </w:p>
    <w:p w14:paraId="5FABB6CC" w14:textId="77777777" w:rsidR="00A12821" w:rsidRPr="00CF68AD" w:rsidRDefault="00A12821" w:rsidP="00A128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>дефинирането на подбраните продукти чрез качествени, количествени, видови и други ценообразуващи характеристики.</w:t>
      </w:r>
    </w:p>
    <w:p w14:paraId="59908B5F" w14:textId="77777777" w:rsidR="00A12821" w:rsidRPr="00CF68AD" w:rsidRDefault="00A12821" w:rsidP="00BC1E61">
      <w:pPr>
        <w:overflowPunct w:val="0"/>
        <w:autoSpaceDE w:val="0"/>
        <w:autoSpaceDN w:val="0"/>
        <w:adjustRightInd w:val="0"/>
        <w:spacing w:before="16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lastRenderedPageBreak/>
        <w:t>Обект на наблюдение са цените на производител на произведените от земеделските стопанства растителни и животински продукти и селскостопански животни и на стоките и услугите за текущо потребление, използвани в селското стопанство.</w:t>
      </w:r>
    </w:p>
    <w:p w14:paraId="193F9E7F" w14:textId="2D53439C" w:rsidR="00A12821" w:rsidRPr="00CF68AD" w:rsidRDefault="00A12821" w:rsidP="00A1282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 xml:space="preserve">Цената на производител в селското стопанство е цената, която земеделското стопанство получава за продадените от него селскостопански продукти/живи животни. Тя се отчита на първия пазарен етап от движението на стоките - „цена от производителя за пазара“. Цената на производител не включва получените от стопанството субсидии върху селскостопанските продукти/животни, транспортните разходи и данъците. </w:t>
      </w:r>
      <w:r w:rsidR="009C034F">
        <w:rPr>
          <w:rFonts w:ascii="Verdana" w:eastAsia="Times New Roman" w:hAnsi="Verdana" w:cs="Times New Roman"/>
          <w:sz w:val="20"/>
          <w:szCs w:val="20"/>
        </w:rPr>
        <w:t>Данъкът върху добавената стойност (</w:t>
      </w:r>
      <w:r w:rsidRPr="00CF68AD">
        <w:rPr>
          <w:rFonts w:ascii="Verdana" w:eastAsia="Times New Roman" w:hAnsi="Verdana" w:cs="Times New Roman"/>
          <w:sz w:val="20"/>
          <w:szCs w:val="20"/>
        </w:rPr>
        <w:t>ДДС</w:t>
      </w:r>
      <w:r w:rsidR="009C034F">
        <w:rPr>
          <w:rFonts w:ascii="Verdana" w:eastAsia="Times New Roman" w:hAnsi="Verdana" w:cs="Times New Roman"/>
          <w:sz w:val="20"/>
          <w:szCs w:val="20"/>
        </w:rPr>
        <w:t>)</w:t>
      </w:r>
      <w:r w:rsidRPr="00CF68AD">
        <w:rPr>
          <w:rFonts w:ascii="Verdana" w:eastAsia="Times New Roman" w:hAnsi="Verdana" w:cs="Times New Roman"/>
          <w:sz w:val="20"/>
          <w:szCs w:val="20"/>
        </w:rPr>
        <w:t xml:space="preserve"> също се изключва при формирането на цената.</w:t>
      </w:r>
    </w:p>
    <w:p w14:paraId="38B01F97" w14:textId="77777777" w:rsidR="00A12821" w:rsidRPr="00CF68AD" w:rsidRDefault="00A12821" w:rsidP="00A12821">
      <w:pPr>
        <w:spacing w:line="360" w:lineRule="auto"/>
        <w:ind w:firstLine="567"/>
        <w:jc w:val="both"/>
        <w:rPr>
          <w:rFonts w:ascii="Verdana" w:eastAsia="Μοντέρνα" w:hAnsi="Verdana" w:cs="Times New Roman"/>
          <w:bCs/>
          <w:sz w:val="20"/>
          <w:szCs w:val="20"/>
          <w:lang w:eastAsia="bg-BG"/>
        </w:rPr>
      </w:pPr>
      <w:r w:rsidRPr="00CF68AD">
        <w:rPr>
          <w:rFonts w:ascii="Verdana" w:eastAsia="Μοντέρνα" w:hAnsi="Verdana" w:cs="Times New Roman"/>
          <w:bCs/>
          <w:sz w:val="20"/>
          <w:szCs w:val="20"/>
          <w:lang w:eastAsia="bg-BG"/>
        </w:rPr>
        <w:t>Изследването за цените на стоките и услугите за текущо потребление, използвани в селското стопанство (Input I), се осъществява чрез провеждането на пет наблюдения, в рамките на които се наблюдават цените на:</w:t>
      </w:r>
    </w:p>
    <w:p w14:paraId="57B8B933" w14:textId="77777777" w:rsidR="00A12821" w:rsidRPr="00CF68AD" w:rsidRDefault="00A12821" w:rsidP="00BC1E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60" w:line="36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минералните торове;</w:t>
      </w:r>
      <w:r w:rsidRPr="00CF68A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4A5AF18" w14:textId="77777777" w:rsidR="00A12821" w:rsidRPr="00CF68AD" w:rsidRDefault="00A12821" w:rsidP="00A128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Μοντέρνα" w:hAnsi="Verdana" w:cs="Times New Roman"/>
          <w:bCs/>
          <w:sz w:val="20"/>
          <w:szCs w:val="20"/>
          <w:lang w:eastAsia="bg-BG"/>
        </w:rPr>
        <w:t>фуражите;</w:t>
      </w:r>
      <w:r w:rsidRPr="00CF68A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33B1631" w14:textId="77777777" w:rsidR="00A12821" w:rsidRPr="00CF68AD" w:rsidRDefault="00A12821" w:rsidP="00A128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Μοντέρνα" w:hAnsi="Verdana" w:cs="Times New Roman"/>
          <w:bCs/>
          <w:sz w:val="20"/>
          <w:szCs w:val="20"/>
          <w:lang w:eastAsia="bg-BG"/>
        </w:rPr>
        <w:t>продуктите за растителна защита;</w:t>
      </w:r>
      <w:r w:rsidRPr="00CF68A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CCF33E9" w14:textId="77777777" w:rsidR="00A12821" w:rsidRPr="00CF68AD" w:rsidRDefault="00A12821" w:rsidP="00A128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Μοντέρνα" w:hAnsi="Verdana" w:cs="Times New Roman"/>
          <w:bCs/>
          <w:sz w:val="20"/>
          <w:szCs w:val="20"/>
          <w:lang w:eastAsia="bg-BG"/>
        </w:rPr>
        <w:t>ветеринарномедицинските продукти;</w:t>
      </w:r>
      <w:r w:rsidRPr="00CF68A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40750E1" w14:textId="77777777" w:rsidR="00A12821" w:rsidRPr="00CF68AD" w:rsidRDefault="00A12821" w:rsidP="00A128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Μοντέρνα" w:hAnsi="Verdana" w:cs="Times New Roman"/>
          <w:bCs/>
          <w:sz w:val="20"/>
          <w:szCs w:val="20"/>
          <w:lang w:eastAsia="bg-BG"/>
        </w:rPr>
        <w:t>посевния и посадъчния материал.</w:t>
      </w:r>
      <w:r w:rsidRPr="00CF68A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7B69C68" w14:textId="00255902" w:rsidR="00A12821" w:rsidRPr="00CF68AD" w:rsidRDefault="00A12821" w:rsidP="00BC1E61">
      <w:pPr>
        <w:overflowPunct w:val="0"/>
        <w:autoSpaceDE w:val="0"/>
        <w:autoSpaceDN w:val="0"/>
        <w:adjustRightInd w:val="0"/>
        <w:spacing w:before="16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bCs/>
          <w:sz w:val="20"/>
          <w:szCs w:val="20"/>
        </w:rPr>
        <w:t>Наблюдаваната цена</w:t>
      </w:r>
      <w:r w:rsidRPr="00CF68AD">
        <w:rPr>
          <w:rFonts w:ascii="Verdana" w:eastAsia="Times New Roman" w:hAnsi="Verdana" w:cs="Times New Roman"/>
          <w:sz w:val="20"/>
          <w:szCs w:val="20"/>
        </w:rPr>
        <w:t xml:space="preserve"> е цената, която купувачът действително е платил за средствата за закупуване на стоките и услугите за текущо потребление. Тя включва данъците и таксите и изключва субсидиите (ако има такива) и приспадаемия ДДС. </w:t>
      </w:r>
    </w:p>
    <w:p w14:paraId="639B255C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before="160" w:after="16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CF68AD">
        <w:rPr>
          <w:rFonts w:ascii="Verdana" w:eastAsia="Times New Roman" w:hAnsi="Verdana" w:cs="Times New Roman"/>
          <w:b/>
          <w:sz w:val="20"/>
          <w:szCs w:val="20"/>
        </w:rPr>
        <w:t>Единици на наблюдение</w:t>
      </w:r>
    </w:p>
    <w:p w14:paraId="51F5239F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>Единиците за наблюдение в рамките на изследванията на селскостопанските цени са земеделските стопанства - юридически и физически лица и селскостопанските и ветеринарните аптеки. За всяко от наблюденията се формира списък от респонденти, като през годините се поддържа стабилен брой регистрации на цени по продукти/категории животни и средства за производство.</w:t>
      </w:r>
    </w:p>
    <w:p w14:paraId="44646580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 xml:space="preserve">Наблюденията са изчерпателни и включват всички единици над определен стойностен праг. Критерий за подбора е стойността на продажбите на селскостопански продукти/животни - за цените на производител в селското стопанство, и стойността на разходите за покупки на стоки и услуги за междинно потребление - за цените на стоките и услугите за текущо потребление, използвани в селското стопанство. За осигуряване на представителност на цените освен поддържането на определен брой </w:t>
      </w:r>
      <w:r w:rsidRPr="00CF68AD">
        <w:rPr>
          <w:rFonts w:ascii="Verdana" w:eastAsia="Times New Roman" w:hAnsi="Verdana" w:cs="Times New Roman"/>
          <w:sz w:val="20"/>
          <w:szCs w:val="20"/>
        </w:rPr>
        <w:lastRenderedPageBreak/>
        <w:t>регистрации в отчетния период се осигурява обхват на поне 50% от стойността на продажбите за всеки отделен продукт/категория животни или от стойността на покупките на стоки и услуги за междинно потребление за съответната година.</w:t>
      </w:r>
    </w:p>
    <w:p w14:paraId="5A96B810" w14:textId="77777777" w:rsidR="00A12821" w:rsidRPr="00CF68AD" w:rsidRDefault="00A12821" w:rsidP="00A12821">
      <w:p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CF68AD">
        <w:rPr>
          <w:rFonts w:ascii="Verdana" w:eastAsia="Μοντέρνα" w:hAnsi="Verdana" w:cs="Times New Roman"/>
          <w:b/>
          <w:sz w:val="20"/>
          <w:szCs w:val="20"/>
          <w:lang w:eastAsia="bg-BG"/>
        </w:rPr>
        <w:t>Източници на информация</w:t>
      </w:r>
    </w:p>
    <w:p w14:paraId="63203279" w14:textId="730686DF" w:rsidR="00A12821" w:rsidRPr="00CF68AD" w:rsidRDefault="00A12821" w:rsidP="00A12821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F68AD">
        <w:rPr>
          <w:rFonts w:ascii="Verdana" w:eastAsia="Μοντέρνα" w:hAnsi="Verdana" w:cs="Times New Roman"/>
          <w:sz w:val="20"/>
          <w:szCs w:val="20"/>
          <w:lang w:eastAsia="bg-BG"/>
        </w:rPr>
        <w:t>Източник на информация са еднократни статистически формуляри за събиране на данни за качествените и количествените характеристики на селскостопанските продукти/категории животни и стоки и услуги за текущо потребление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, както</w:t>
      </w:r>
      <w:r w:rsidRPr="00CF68A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 тримесечни въпросници за цените на производител на селскостопански продукти/живите животни и за цените на стоките и услугите за текущо потребление в селското стопанство.</w:t>
      </w:r>
    </w:p>
    <w:p w14:paraId="653D450A" w14:textId="77777777" w:rsidR="00A12821" w:rsidRPr="00CF68AD" w:rsidRDefault="00A12821" w:rsidP="00A12821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F68AD">
        <w:rPr>
          <w:rFonts w:ascii="Verdana" w:eastAsia="Μοντέρνα" w:hAnsi="Verdana" w:cs="Times New Roman"/>
          <w:sz w:val="20"/>
          <w:szCs w:val="20"/>
          <w:lang w:eastAsia="bg-BG"/>
        </w:rPr>
        <w:t>С еднократните въпросници се осигурява информация за изграждането на номенклатура на наблюденията. Актуализация на номенклатурите се извършва периодично - обикновено в годините, завършващи на 0 и на 5, при смяна на базата на Евростат.</w:t>
      </w:r>
    </w:p>
    <w:p w14:paraId="7A8E7ED9" w14:textId="77777777" w:rsidR="00A12821" w:rsidRPr="00CF68AD" w:rsidRDefault="00A12821" w:rsidP="00A12821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F68AD">
        <w:rPr>
          <w:rFonts w:ascii="Verdana" w:eastAsia="Μοντέρνα" w:hAnsi="Verdana" w:cs="Times New Roman"/>
          <w:sz w:val="20"/>
          <w:szCs w:val="20"/>
          <w:lang w:eastAsia="bg-BG"/>
        </w:rPr>
        <w:t>С тримесечните въпросници се осигурява регулярно информация за цените на включените в номенклатурите на наблюденията селскостопански продукти/категории животни и стоки и услуги за текущо потребление в селското стопанство.</w:t>
      </w:r>
    </w:p>
    <w:p w14:paraId="47A55274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before="160" w:after="160" w:line="360" w:lineRule="auto"/>
        <w:ind w:firstLine="567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CF68AD">
        <w:rPr>
          <w:rFonts w:ascii="Verdana" w:eastAsia="Times New Roman" w:hAnsi="Verdana" w:cs="Times New Roman"/>
          <w:b/>
          <w:sz w:val="20"/>
          <w:szCs w:val="20"/>
        </w:rPr>
        <w:t>Изчисляване на средни цени</w:t>
      </w:r>
    </w:p>
    <w:p w14:paraId="2C58FD4A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>В рамките на тримесечните изследвания се изчисляват средни месечни и тримесечни цени. Месечните цени се изчисляват като средни аритметични стойности от всички регистрирани цени. Тримесечните цени се изчисляват като средни аритметични стойности от месечните.</w:t>
      </w:r>
    </w:p>
    <w:p w14:paraId="6CF9CEDB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before="160" w:after="160" w:line="360" w:lineRule="auto"/>
        <w:ind w:firstLine="567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b/>
          <w:sz w:val="20"/>
          <w:szCs w:val="20"/>
        </w:rPr>
        <w:t>Изчисляване на индекси</w:t>
      </w:r>
    </w:p>
    <w:p w14:paraId="468192A2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>Изчисляването на ценовите индекси се извършва по формулата на Ласпер. Този тип индекс има постоянна теглова структура, като базисният период за теглата и цените е един и същ. Като тегла за изчисляването на индексите на цените на производител в селското стопанство се използват стойностите на продажбите на селскостопанска продукция, а за индексите на цените на стоките и услугите за текущо потребление, използвани в селското стопанство - стойностите на покупките за междинно потребление. Теглата се изчисляват в рамките на сателитните икономически сметки за селското стопанство.</w:t>
      </w:r>
    </w:p>
    <w:p w14:paraId="73E31A0E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>Индексите се изчисляват при три бази: предходна година, съответно тримесечие на предходната година и година, завършваща на 0 или 5 (база на Евростат).</w:t>
      </w:r>
    </w:p>
    <w:p w14:paraId="6A6B76AE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lastRenderedPageBreak/>
        <w:t xml:space="preserve">За изчисляването на общия индекс на стоките и услугите за текущо потребление (Input </w:t>
      </w:r>
      <w:r w:rsidRPr="00CF68AD">
        <w:rPr>
          <w:rFonts w:ascii="Verdana" w:eastAsia="Times New Roman" w:hAnsi="Verdana" w:cs="Times New Roman"/>
          <w:sz w:val="20"/>
          <w:szCs w:val="20"/>
          <w:lang w:val="en-US"/>
        </w:rPr>
        <w:t>I</w:t>
      </w:r>
      <w:r w:rsidRPr="00CF68AD">
        <w:rPr>
          <w:rFonts w:ascii="Verdana" w:eastAsia="Times New Roman" w:hAnsi="Verdana" w:cs="Times New Roman"/>
          <w:sz w:val="20"/>
          <w:szCs w:val="20"/>
        </w:rPr>
        <w:t xml:space="preserve">) освен индексите, изчислени за всяка от петте групи продукти, се използват и индекси на стоки и услуги, </w:t>
      </w:r>
      <w:r>
        <w:rPr>
          <w:rFonts w:ascii="Verdana" w:eastAsia="Times New Roman" w:hAnsi="Verdana" w:cs="Times New Roman"/>
          <w:sz w:val="20"/>
          <w:szCs w:val="20"/>
        </w:rPr>
        <w:t xml:space="preserve">отчетени </w:t>
      </w:r>
      <w:r w:rsidRPr="00CF68AD">
        <w:rPr>
          <w:rFonts w:ascii="Verdana" w:eastAsia="Times New Roman" w:hAnsi="Verdana" w:cs="Times New Roman"/>
          <w:sz w:val="20"/>
          <w:szCs w:val="20"/>
        </w:rPr>
        <w:t>в рамките на наблюдението на потребителските цени.</w:t>
      </w:r>
    </w:p>
    <w:p w14:paraId="37B4EB1F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before="160" w:after="16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F68AD">
        <w:rPr>
          <w:rFonts w:ascii="Verdana" w:eastAsia="Times New Roman" w:hAnsi="Verdana" w:cs="Times New Roman"/>
          <w:b/>
          <w:bCs/>
          <w:sz w:val="20"/>
          <w:szCs w:val="20"/>
        </w:rPr>
        <w:t>Използвани класификации</w:t>
      </w:r>
    </w:p>
    <w:p w14:paraId="32ACCC0B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 xml:space="preserve">За изчисляването на индексите на цените на производител в селското стопанство е използвана </w:t>
      </w:r>
      <w:r>
        <w:rPr>
          <w:rFonts w:ascii="Verdana" w:eastAsia="Times New Roman" w:hAnsi="Verdana" w:cs="Times New Roman"/>
          <w:sz w:val="20"/>
          <w:szCs w:val="20"/>
        </w:rPr>
        <w:t xml:space="preserve">Номенклатура </w:t>
      </w:r>
      <w:r w:rsidRPr="00CF68AD">
        <w:rPr>
          <w:rFonts w:ascii="Verdana" w:eastAsia="Times New Roman" w:hAnsi="Verdana" w:cs="Times New Roman"/>
          <w:sz w:val="20"/>
          <w:szCs w:val="20"/>
        </w:rPr>
        <w:t>на продукцията в селското, горското и рибното стопанство в България (ПРОДАГРО).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F68AD">
        <w:rPr>
          <w:rFonts w:ascii="Verdana" w:eastAsia="Times New Roman" w:hAnsi="Verdana" w:cs="Times New Roman"/>
          <w:sz w:val="20"/>
          <w:szCs w:val="20"/>
        </w:rPr>
        <w:t>ПРОДАГРО се използва като база за разпад на продуктите за наблюдение съгласно техните качествени и количествени характеристики. За наблюденията на цените на стоките и услугите за текущо потребление се използват собствени класификации, изградени в рамките на еднократните проучвания за съставяне на списък с представителните продукти. За изчисляване и предоставяне на Евростат на хармонизирани индекси на цените в селското стопанство се използва класификацията PRAG (класификация на селскостопанските цени в базата данни на Евростат New CRONOS).</w:t>
      </w:r>
    </w:p>
    <w:p w14:paraId="2A1C9C49" w14:textId="77777777" w:rsidR="00A12821" w:rsidRPr="00CF68AD" w:rsidRDefault="00A12821" w:rsidP="00A12821">
      <w:pPr>
        <w:numPr>
          <w:ilvl w:val="12"/>
          <w:numId w:val="0"/>
        </w:num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CF68AD">
        <w:rPr>
          <w:rFonts w:ascii="Verdana" w:eastAsia="Μοντέρνα" w:hAnsi="Verdana" w:cs="Times New Roman"/>
          <w:b/>
          <w:sz w:val="20"/>
          <w:szCs w:val="20"/>
          <w:lang w:eastAsia="bg-BG"/>
        </w:rPr>
        <w:t>Отчитане на влиянието на качеството върху цените на селскостопанските продукти</w:t>
      </w:r>
    </w:p>
    <w:p w14:paraId="26A471A4" w14:textId="77777777" w:rsidR="00A12821" w:rsidRPr="00CF68AD" w:rsidRDefault="00A12821" w:rsidP="00A12821">
      <w:pPr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CF68AD">
        <w:rPr>
          <w:rFonts w:ascii="Verdana" w:eastAsia="Μοντέρνα" w:hAnsi="Verdana" w:cs="Times New Roman"/>
          <w:sz w:val="20"/>
          <w:szCs w:val="20"/>
          <w:lang w:eastAsia="bg-BG"/>
        </w:rPr>
        <w:t>За да бъдат елиминирани различията в цените, свързани с измененията в качеството, вида, количеството и опаковките, подбраните продукти са дефинирани чрез качествени, количествени, видови и други характеристики, които оказват влияние върху изменението на цените. Когато даден конкретен продукт отпада от изследването, той се заменя с нов, с близки характеристики на отпадналия от изследването. Новият продукт също трябва да бъде представителен.</w:t>
      </w:r>
    </w:p>
    <w:p w14:paraId="0DA8613F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before="160" w:after="16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F68AD">
        <w:rPr>
          <w:rFonts w:ascii="Verdana" w:eastAsia="Times New Roman" w:hAnsi="Verdana" w:cs="Times New Roman"/>
          <w:b/>
          <w:bCs/>
          <w:sz w:val="20"/>
          <w:szCs w:val="20"/>
        </w:rPr>
        <w:t>Изчисляване на индекси на стоките и услугите с инвестиционно предназначение, използвани в селското стопанство (Input II)</w:t>
      </w:r>
    </w:p>
    <w:p w14:paraId="0FA75800" w14:textId="77777777" w:rsidR="00A12821" w:rsidRPr="00CF68AD" w:rsidRDefault="00A12821" w:rsidP="00A1282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CF68AD">
        <w:rPr>
          <w:rFonts w:ascii="Verdana" w:eastAsia="Times New Roman" w:hAnsi="Verdana" w:cs="Times New Roman"/>
          <w:sz w:val="20"/>
          <w:szCs w:val="20"/>
        </w:rPr>
        <w:t>Изчисляването на ценови индекс на стоките и услугите с инвестиционно предназначение в селското стопанство също се извършва по формулата на Ласпер, като използваните тегла са стойностите на направените от земеделските стопанства покупки на стоки и услуги с инвестиционно предназначение, изчислени в рамките на сателитните икономически сметки за селското стопанство. За изчисляването на общия индекс на стоките и услугите с инвестиционно предназначение се използва информация от изследвания, провеждани от НСИ, в областта на статистиката на потребителските цени, външната търговия и краткосрочната бизнес статистика.</w:t>
      </w:r>
    </w:p>
    <w:p w14:paraId="21E7AEA0" w14:textId="77777777" w:rsidR="00A12821" w:rsidRPr="00CA0766" w:rsidRDefault="00A12821" w:rsidP="00A1282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 w:rsidRPr="00CF68AD">
        <w:rPr>
          <w:rFonts w:ascii="Verdana" w:eastAsia="Times New Roman" w:hAnsi="Verdana" w:cs="Times New Roman"/>
          <w:sz w:val="20"/>
          <w:szCs w:val="20"/>
        </w:rPr>
        <w:lastRenderedPageBreak/>
        <w:t>На базата на изчислените индекси на стоките и услугите за текущо потребление и на стоките и услугите с инвестиционно предназначение се изчислява общ индекс на цените на средствата за производство в се</w:t>
      </w:r>
      <w:r w:rsidRPr="004347BE">
        <w:rPr>
          <w:rFonts w:ascii="Verdana" w:eastAsia="Times New Roman" w:hAnsi="Verdana" w:cs="Times New Roman"/>
          <w:sz w:val="20"/>
          <w:szCs w:val="20"/>
        </w:rPr>
        <w:t>лското стопанство (Total Input)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14:paraId="5022F38F" w14:textId="77777777" w:rsidR="00FD731D" w:rsidRDefault="00FD731D" w:rsidP="00A12821">
      <w:pPr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7E6A112" w14:textId="77777777" w:rsidR="00A12821" w:rsidRDefault="00A12821" w:rsidP="00A12821">
      <w:pPr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A12821" w:rsidSect="001E5BA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br w:type="page"/>
      </w:r>
    </w:p>
    <w:p w14:paraId="15BE0D81" w14:textId="77777777" w:rsidR="00171C36" w:rsidRPr="00CA0766" w:rsidRDefault="00171C36" w:rsidP="000D477D">
      <w:pPr>
        <w:spacing w:line="360" w:lineRule="auto"/>
        <w:jc w:val="both"/>
      </w:pPr>
    </w:p>
    <w:sectPr w:rsidR="00171C36" w:rsidRPr="00CA0766" w:rsidSect="008748F1">
      <w:headerReference w:type="first" r:id="rId14"/>
      <w:footerReference w:type="first" r:id="rId15"/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A094" w14:textId="77777777" w:rsidR="005E26DE" w:rsidRDefault="005E26DE" w:rsidP="00214ACA">
      <w:r>
        <w:separator/>
      </w:r>
    </w:p>
  </w:endnote>
  <w:endnote w:type="continuationSeparator" w:id="0">
    <w:p w14:paraId="6E1180A9" w14:textId="77777777" w:rsidR="005E26DE" w:rsidRDefault="005E26DE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B090A" w14:textId="77777777"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94528FF" wp14:editId="7D428896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2AF03" w14:textId="60F64952"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1E6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4528F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7B2AF03" w14:textId="60F64952"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BC1E6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C7EED68" wp14:editId="2C66A5FE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8FADACF" wp14:editId="4AA939B9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r w:rsidR="00214ACA" w:rsidRPr="00A7142A">
      <w:rPr>
        <w:rFonts w:ascii="Verdana" w:hAnsi="Verdana"/>
        <w:color w:val="31312F"/>
        <w:sz w:val="16"/>
        <w:szCs w:val="16"/>
      </w:rPr>
      <w:t>mail: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227D" w14:textId="77777777"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627234F4" wp14:editId="52667302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F56E759" wp14:editId="03F61016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D82CC" w14:textId="4D740BDF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1E6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6E75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5A3D82CC" w14:textId="4D740BDF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BC1E6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04DEF" w14:textId="77777777" w:rsidR="00E13DB4" w:rsidRDefault="00E13DB4" w:rsidP="0094060D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2A43" w14:textId="77777777" w:rsidR="005E26DE" w:rsidRDefault="005E26DE" w:rsidP="00214ACA">
      <w:r>
        <w:separator/>
      </w:r>
    </w:p>
  </w:footnote>
  <w:footnote w:type="continuationSeparator" w:id="0">
    <w:p w14:paraId="09DFE1BA" w14:textId="77777777" w:rsidR="005E26DE" w:rsidRDefault="005E26DE" w:rsidP="0021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BCE0" w14:textId="77777777" w:rsidR="00B77149" w:rsidRPr="00B77149" w:rsidRDefault="008748F1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ABA0985" wp14:editId="7E0C3504">
              <wp:simplePos x="0" y="0"/>
              <wp:positionH relativeFrom="margin">
                <wp:posOffset>828675</wp:posOffset>
              </wp:positionH>
              <wp:positionV relativeFrom="paragraph">
                <wp:posOffset>-591185</wp:posOffset>
              </wp:positionV>
              <wp:extent cx="4095750" cy="5334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3CBCD" w14:textId="77777777" w:rsidR="00A12821" w:rsidRPr="00CF68AD" w:rsidRDefault="00A12821" w:rsidP="00A12821">
                          <w:pPr>
                            <w:spacing w:after="160" w:line="360" w:lineRule="auto"/>
                            <w:jc w:val="center"/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CF68AD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ИНДЕКСИ НА ЦЕНИТЕ В СЕЛСКОТО СТОПАНСТВО ЗА</w:t>
                          </w:r>
                          <w:r w:rsidRPr="00CF68AD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ВТОРОТО</w:t>
                          </w:r>
                          <w:r w:rsidRPr="00CF68AD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 ТРИМЕСЕЧИЕ НА 2024 ГОДИНА</w:t>
                          </w:r>
                        </w:p>
                        <w:p w14:paraId="053E269B" w14:textId="77777777" w:rsidR="00101DE0" w:rsidRPr="00101DE0" w:rsidRDefault="00101DE0" w:rsidP="00101DE0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A09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25pt;margin-top:-46.55pt;width:322.5pt;height:4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" stroked="f">
              <v:textbox>
                <w:txbxContent>
                  <w:p w14:paraId="11D3CBCD" w14:textId="77777777" w:rsidR="00A12821" w:rsidRPr="00CF68AD" w:rsidRDefault="00A12821" w:rsidP="00A12821">
                    <w:pPr>
                      <w:spacing w:after="160" w:line="360" w:lineRule="auto"/>
                      <w:jc w:val="center"/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</w:pPr>
                    <w:r w:rsidRPr="00CF68AD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ИНДЕКСИ НА ЦЕНИТЕ В СЕЛСКОТО СТОПАНСТВО ЗА</w:t>
                    </w:r>
                    <w:r w:rsidRPr="00CF68AD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ВТОРОТО</w:t>
                    </w:r>
                    <w:r w:rsidRPr="00CF68AD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 ТРИМЕСЕЧИЕ НА 2024 ГОДИНА</w:t>
                    </w:r>
                  </w:p>
                  <w:p w14:paraId="053E269B" w14:textId="77777777" w:rsidR="00101DE0" w:rsidRPr="00101DE0" w:rsidRDefault="00101DE0" w:rsidP="00101DE0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355AC467" wp14:editId="762D7742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282C" w14:textId="77777777" w:rsidR="00B07D27" w:rsidRPr="009E4021" w:rsidRDefault="00E13DB4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918583B" wp14:editId="15FDAA1A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3F7352AE" wp14:editId="4637AFA2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159AC32" wp14:editId="482FEBE8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C58B0" w14:textId="77777777"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5C730365" w14:textId="77777777"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9AC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0ACC58B0" w14:textId="77777777"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5C730365" w14:textId="77777777"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179F2C7" wp14:editId="6E63B1C7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01A8184E" wp14:editId="28B9294D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8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20FB5" w14:textId="77777777"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20E8" w14:textId="77777777" w:rsidR="008748F1" w:rsidRPr="004F064E" w:rsidRDefault="008748F1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901"/>
    <w:multiLevelType w:val="hybridMultilevel"/>
    <w:tmpl w:val="341C9E14"/>
    <w:lvl w:ilvl="0" w:tplc="ED80F3D0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F61636"/>
    <w:multiLevelType w:val="hybridMultilevel"/>
    <w:tmpl w:val="824E713A"/>
    <w:lvl w:ilvl="0" w:tplc="2F183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6051E"/>
    <w:rsid w:val="000607BC"/>
    <w:rsid w:val="00077C97"/>
    <w:rsid w:val="000B17C2"/>
    <w:rsid w:val="000B2B10"/>
    <w:rsid w:val="000B2ED7"/>
    <w:rsid w:val="000C0D56"/>
    <w:rsid w:val="000D477D"/>
    <w:rsid w:val="000F0B88"/>
    <w:rsid w:val="00101DE0"/>
    <w:rsid w:val="00105E1B"/>
    <w:rsid w:val="0015414E"/>
    <w:rsid w:val="0015499D"/>
    <w:rsid w:val="00171C36"/>
    <w:rsid w:val="00172AD3"/>
    <w:rsid w:val="00186C41"/>
    <w:rsid w:val="001901A0"/>
    <w:rsid w:val="001B03D8"/>
    <w:rsid w:val="001B23D9"/>
    <w:rsid w:val="001D11C4"/>
    <w:rsid w:val="001E5BA2"/>
    <w:rsid w:val="001E6171"/>
    <w:rsid w:val="001E7AC3"/>
    <w:rsid w:val="00214ACA"/>
    <w:rsid w:val="002212E8"/>
    <w:rsid w:val="002237F7"/>
    <w:rsid w:val="002317D6"/>
    <w:rsid w:val="002A4978"/>
    <w:rsid w:val="002C5EC8"/>
    <w:rsid w:val="002C72D4"/>
    <w:rsid w:val="00311AB3"/>
    <w:rsid w:val="00317499"/>
    <w:rsid w:val="00332C88"/>
    <w:rsid w:val="00336556"/>
    <w:rsid w:val="00364357"/>
    <w:rsid w:val="003769D2"/>
    <w:rsid w:val="0038746A"/>
    <w:rsid w:val="003A3D5A"/>
    <w:rsid w:val="003B2503"/>
    <w:rsid w:val="003B42F8"/>
    <w:rsid w:val="003B46BA"/>
    <w:rsid w:val="003C2111"/>
    <w:rsid w:val="003D5F6D"/>
    <w:rsid w:val="003E0C51"/>
    <w:rsid w:val="00415F0F"/>
    <w:rsid w:val="00446CF4"/>
    <w:rsid w:val="00454CE3"/>
    <w:rsid w:val="004760D3"/>
    <w:rsid w:val="00486232"/>
    <w:rsid w:val="004F064E"/>
    <w:rsid w:val="004F3134"/>
    <w:rsid w:val="00520539"/>
    <w:rsid w:val="005458EB"/>
    <w:rsid w:val="0056384C"/>
    <w:rsid w:val="005B4023"/>
    <w:rsid w:val="005C5197"/>
    <w:rsid w:val="005E26DE"/>
    <w:rsid w:val="006120F5"/>
    <w:rsid w:val="0061648A"/>
    <w:rsid w:val="006365DD"/>
    <w:rsid w:val="00644D53"/>
    <w:rsid w:val="00654814"/>
    <w:rsid w:val="00693F75"/>
    <w:rsid w:val="006A212D"/>
    <w:rsid w:val="006D1BE4"/>
    <w:rsid w:val="0070448B"/>
    <w:rsid w:val="00704539"/>
    <w:rsid w:val="007246E5"/>
    <w:rsid w:val="0075614B"/>
    <w:rsid w:val="00760687"/>
    <w:rsid w:val="00764226"/>
    <w:rsid w:val="007C61E0"/>
    <w:rsid w:val="007C7A6A"/>
    <w:rsid w:val="007D0368"/>
    <w:rsid w:val="007F116A"/>
    <w:rsid w:val="007F17B3"/>
    <w:rsid w:val="00837ACB"/>
    <w:rsid w:val="008413FC"/>
    <w:rsid w:val="00864191"/>
    <w:rsid w:val="00867246"/>
    <w:rsid w:val="008702B1"/>
    <w:rsid w:val="00870559"/>
    <w:rsid w:val="008748F1"/>
    <w:rsid w:val="00881B14"/>
    <w:rsid w:val="00883238"/>
    <w:rsid w:val="008D0534"/>
    <w:rsid w:val="008D3797"/>
    <w:rsid w:val="008E71E8"/>
    <w:rsid w:val="0094060D"/>
    <w:rsid w:val="00947EBF"/>
    <w:rsid w:val="00963454"/>
    <w:rsid w:val="00993E98"/>
    <w:rsid w:val="009A0837"/>
    <w:rsid w:val="009C034F"/>
    <w:rsid w:val="009D3AC9"/>
    <w:rsid w:val="009E4021"/>
    <w:rsid w:val="00A11467"/>
    <w:rsid w:val="00A12821"/>
    <w:rsid w:val="00A14E83"/>
    <w:rsid w:val="00A21D70"/>
    <w:rsid w:val="00A34D09"/>
    <w:rsid w:val="00A7142A"/>
    <w:rsid w:val="00A869E9"/>
    <w:rsid w:val="00AC3D78"/>
    <w:rsid w:val="00AE4196"/>
    <w:rsid w:val="00AF2D94"/>
    <w:rsid w:val="00B0333E"/>
    <w:rsid w:val="00B07D27"/>
    <w:rsid w:val="00B15632"/>
    <w:rsid w:val="00B55B11"/>
    <w:rsid w:val="00B6225B"/>
    <w:rsid w:val="00B77149"/>
    <w:rsid w:val="00B82DFD"/>
    <w:rsid w:val="00B93909"/>
    <w:rsid w:val="00BB5863"/>
    <w:rsid w:val="00BC1E61"/>
    <w:rsid w:val="00BF7E7A"/>
    <w:rsid w:val="00C14799"/>
    <w:rsid w:val="00C22E8B"/>
    <w:rsid w:val="00C36955"/>
    <w:rsid w:val="00C616FD"/>
    <w:rsid w:val="00C93974"/>
    <w:rsid w:val="00CA0766"/>
    <w:rsid w:val="00CC76F5"/>
    <w:rsid w:val="00D070C8"/>
    <w:rsid w:val="00D10143"/>
    <w:rsid w:val="00D127F7"/>
    <w:rsid w:val="00D165D8"/>
    <w:rsid w:val="00D4349B"/>
    <w:rsid w:val="00D44E6E"/>
    <w:rsid w:val="00D514CD"/>
    <w:rsid w:val="00D82477"/>
    <w:rsid w:val="00D973A1"/>
    <w:rsid w:val="00DD11CB"/>
    <w:rsid w:val="00DE20CA"/>
    <w:rsid w:val="00DE4F56"/>
    <w:rsid w:val="00E13DB4"/>
    <w:rsid w:val="00E300B6"/>
    <w:rsid w:val="00E4761F"/>
    <w:rsid w:val="00E53467"/>
    <w:rsid w:val="00E563C3"/>
    <w:rsid w:val="00E618A9"/>
    <w:rsid w:val="00E65BAD"/>
    <w:rsid w:val="00E67823"/>
    <w:rsid w:val="00EA7A64"/>
    <w:rsid w:val="00EB5089"/>
    <w:rsid w:val="00EC67B2"/>
    <w:rsid w:val="00EF12E2"/>
    <w:rsid w:val="00F20D50"/>
    <w:rsid w:val="00F32792"/>
    <w:rsid w:val="00F41D1B"/>
    <w:rsid w:val="00FA00EF"/>
    <w:rsid w:val="00FB5A98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263A8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semiHidden/>
    <w:unhideWhenUsed/>
    <w:rsid w:val="004760D3"/>
    <w:rPr>
      <w:vertAlign w:val="superscript"/>
    </w:rPr>
  </w:style>
  <w:style w:type="table" w:styleId="TableGrid">
    <w:name w:val="Table Grid"/>
    <w:basedOn w:val="TableNormal"/>
    <w:uiPriority w:val="39"/>
    <w:rsid w:val="0010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D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r>
              <a:rPr lang="bg-BG" sz="800" baseline="0">
                <a:latin typeface="Verdana" panose="020B0604030504040204" pitchFamily="34" charset="0"/>
                <a:ea typeface="Verdana" panose="020B0604030504040204" pitchFamily="34" charset="0"/>
              </a:rPr>
              <a:t>%</a:t>
            </a:r>
          </a:p>
        </c:rich>
      </c:tx>
      <c:layout>
        <c:manualLayout>
          <c:xMode val="edge"/>
          <c:yMode val="edge"/>
          <c:x val="6.1709088273561509E-2"/>
          <c:y val="5.1396539233500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7.6406415489964311E-2"/>
          <c:y val="0.12122373843541051"/>
          <c:w val="0.8557601207458676"/>
          <c:h val="0.61064020170345223"/>
        </c:manualLayout>
      </c:layout>
      <c:lineChart>
        <c:grouping val="standard"/>
        <c:varyColors val="0"/>
        <c:ser>
          <c:idx val="0"/>
          <c:order val="0"/>
          <c:tx>
            <c:strRef>
              <c:f>Graf_2024_1_BG!$A$5</c:f>
              <c:strCache>
                <c:ptCount val="1"/>
                <c:pt idx="0">
                  <c:v>Общо</c:v>
                </c:pt>
              </c:strCache>
            </c:strRef>
          </c:tx>
          <c:spPr>
            <a:ln w="23495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Graf_2024_1_BG!$B$4:$S$4</c:f>
              <c:strCache>
                <c:ptCount val="18"/>
                <c:pt idx="0">
                  <c:v>I 2020</c:v>
                </c:pt>
                <c:pt idx="1">
                  <c:v>II 2020</c:v>
                </c:pt>
                <c:pt idx="2">
                  <c:v>III 2020</c:v>
                </c:pt>
                <c:pt idx="3">
                  <c:v>IV 2020</c:v>
                </c:pt>
                <c:pt idx="4">
                  <c:v>I 2021</c:v>
                </c:pt>
                <c:pt idx="5">
                  <c:v>II 2021</c:v>
                </c:pt>
                <c:pt idx="6">
                  <c:v>III 2021</c:v>
                </c:pt>
                <c:pt idx="7">
                  <c:v>IV 2021</c:v>
                </c:pt>
                <c:pt idx="8">
                  <c:v>I 2022</c:v>
                </c:pt>
                <c:pt idx="9">
                  <c:v>II 2022</c:v>
                </c:pt>
                <c:pt idx="10">
                  <c:v>III 2022</c:v>
                </c:pt>
                <c:pt idx="11">
                  <c:v>IV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I 2024</c:v>
                </c:pt>
                <c:pt idx="17">
                  <c:v>II 2024</c:v>
                </c:pt>
              </c:strCache>
            </c:strRef>
          </c:cat>
          <c:val>
            <c:numRef>
              <c:f>Graf_2024_1_BG!$B$5:$S$5</c:f>
              <c:numCache>
                <c:formatCode>0.0</c:formatCode>
                <c:ptCount val="18"/>
                <c:pt idx="0">
                  <c:v>99.286179305796281</c:v>
                </c:pt>
                <c:pt idx="1">
                  <c:v>98.677409451813261</c:v>
                </c:pt>
                <c:pt idx="2">
                  <c:v>96.65654484980675</c:v>
                </c:pt>
                <c:pt idx="3">
                  <c:v>105.10089148391795</c:v>
                </c:pt>
                <c:pt idx="4">
                  <c:v>116.24018584465674</c:v>
                </c:pt>
                <c:pt idx="5">
                  <c:v>109.57059260463198</c:v>
                </c:pt>
                <c:pt idx="6">
                  <c:v>114.865411220976</c:v>
                </c:pt>
                <c:pt idx="7">
                  <c:v>131.36456063383207</c:v>
                </c:pt>
                <c:pt idx="8">
                  <c:v>146.48758382418228</c:v>
                </c:pt>
                <c:pt idx="9">
                  <c:v>150.54505813148742</c:v>
                </c:pt>
                <c:pt idx="10">
                  <c:v>162.78021198827551</c:v>
                </c:pt>
                <c:pt idx="11">
                  <c:v>157.24346284929646</c:v>
                </c:pt>
                <c:pt idx="12">
                  <c:v>150.56933458003357</c:v>
                </c:pt>
                <c:pt idx="13">
                  <c:v>138.65685265394794</c:v>
                </c:pt>
                <c:pt idx="14">
                  <c:v>119.90557451191961</c:v>
                </c:pt>
                <c:pt idx="15">
                  <c:v>121.25759534681615</c:v>
                </c:pt>
                <c:pt idx="16">
                  <c:v>123.09890604469226</c:v>
                </c:pt>
                <c:pt idx="17">
                  <c:v>129.75577887062283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95-4B6B-B280-A6A16258F223}"/>
            </c:ext>
          </c:extLst>
        </c:ser>
        <c:ser>
          <c:idx val="1"/>
          <c:order val="1"/>
          <c:tx>
            <c:strRef>
              <c:f>Graf_2024_1_BG!$A$6</c:f>
              <c:strCache>
                <c:ptCount val="1"/>
                <c:pt idx="0">
                  <c:v>Растениевъдство</c:v>
                </c:pt>
              </c:strCache>
            </c:strRef>
          </c:tx>
          <c:spPr>
            <a:ln w="2349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Graf_2024_1_BG!$B$4:$S$4</c:f>
              <c:strCache>
                <c:ptCount val="18"/>
                <c:pt idx="0">
                  <c:v>I 2020</c:v>
                </c:pt>
                <c:pt idx="1">
                  <c:v>II 2020</c:v>
                </c:pt>
                <c:pt idx="2">
                  <c:v>III 2020</c:v>
                </c:pt>
                <c:pt idx="3">
                  <c:v>IV 2020</c:v>
                </c:pt>
                <c:pt idx="4">
                  <c:v>I 2021</c:v>
                </c:pt>
                <c:pt idx="5">
                  <c:v>II 2021</c:v>
                </c:pt>
                <c:pt idx="6">
                  <c:v>III 2021</c:v>
                </c:pt>
                <c:pt idx="7">
                  <c:v>IV 2021</c:v>
                </c:pt>
                <c:pt idx="8">
                  <c:v>I 2022</c:v>
                </c:pt>
                <c:pt idx="9">
                  <c:v>II 2022</c:v>
                </c:pt>
                <c:pt idx="10">
                  <c:v>III 2022</c:v>
                </c:pt>
                <c:pt idx="11">
                  <c:v>IV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I 2024</c:v>
                </c:pt>
                <c:pt idx="17">
                  <c:v>II 2024</c:v>
                </c:pt>
              </c:strCache>
            </c:strRef>
          </c:cat>
          <c:val>
            <c:numRef>
              <c:f>Graf_2024_1_BG!$B$6:$S$6</c:f>
              <c:numCache>
                <c:formatCode>0.0</c:formatCode>
                <c:ptCount val="18"/>
                <c:pt idx="0">
                  <c:v>97.187536679702006</c:v>
                </c:pt>
                <c:pt idx="1">
                  <c:v>98.450362102451081</c:v>
                </c:pt>
                <c:pt idx="2">
                  <c:v>96.09165485265396</c:v>
                </c:pt>
                <c:pt idx="3">
                  <c:v>106.79418464176386</c:v>
                </c:pt>
                <c:pt idx="4">
                  <c:v>124.49810412983733</c:v>
                </c:pt>
                <c:pt idx="5">
                  <c:v>118.21371742045582</c:v>
                </c:pt>
                <c:pt idx="6">
                  <c:v>117.65927290751047</c:v>
                </c:pt>
                <c:pt idx="7">
                  <c:v>138.61455013772155</c:v>
                </c:pt>
                <c:pt idx="8">
                  <c:v>163.32958183454519</c:v>
                </c:pt>
                <c:pt idx="9">
                  <c:v>171.99566840076892</c:v>
                </c:pt>
                <c:pt idx="10">
                  <c:v>169.18232256416542</c:v>
                </c:pt>
                <c:pt idx="11">
                  <c:v>160.9291500516737</c:v>
                </c:pt>
                <c:pt idx="12">
                  <c:v>152.59993563175735</c:v>
                </c:pt>
                <c:pt idx="13">
                  <c:v>137.52446902054976</c:v>
                </c:pt>
                <c:pt idx="14">
                  <c:v>116.51920813629141</c:v>
                </c:pt>
                <c:pt idx="15">
                  <c:v>116.99064442360702</c:v>
                </c:pt>
                <c:pt idx="16">
                  <c:v>112.91093590760528</c:v>
                </c:pt>
                <c:pt idx="17">
                  <c:v>122.18826530736888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95-4B6B-B280-A6A16258F223}"/>
            </c:ext>
          </c:extLst>
        </c:ser>
        <c:ser>
          <c:idx val="2"/>
          <c:order val="2"/>
          <c:tx>
            <c:strRef>
              <c:f>Graf_2024_1_BG!$A$7</c:f>
              <c:strCache>
                <c:ptCount val="1"/>
                <c:pt idx="0">
                  <c:v>Животновъдство</c:v>
                </c:pt>
              </c:strCache>
            </c:strRef>
          </c:tx>
          <c:spPr>
            <a:ln w="2349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strRef>
              <c:f>Graf_2024_1_BG!$B$4:$S$4</c:f>
              <c:strCache>
                <c:ptCount val="18"/>
                <c:pt idx="0">
                  <c:v>I 2020</c:v>
                </c:pt>
                <c:pt idx="1">
                  <c:v>II 2020</c:v>
                </c:pt>
                <c:pt idx="2">
                  <c:v>III 2020</c:v>
                </c:pt>
                <c:pt idx="3">
                  <c:v>IV 2020</c:v>
                </c:pt>
                <c:pt idx="4">
                  <c:v>I 2021</c:v>
                </c:pt>
                <c:pt idx="5">
                  <c:v>II 2021</c:v>
                </c:pt>
                <c:pt idx="6">
                  <c:v>III 2021</c:v>
                </c:pt>
                <c:pt idx="7">
                  <c:v>IV 2021</c:v>
                </c:pt>
                <c:pt idx="8">
                  <c:v>I 2022</c:v>
                </c:pt>
                <c:pt idx="9">
                  <c:v>II 2022</c:v>
                </c:pt>
                <c:pt idx="10">
                  <c:v>III 2022</c:v>
                </c:pt>
                <c:pt idx="11">
                  <c:v>IV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I 2024</c:v>
                </c:pt>
                <c:pt idx="17">
                  <c:v>II 2024</c:v>
                </c:pt>
              </c:strCache>
            </c:strRef>
          </c:cat>
          <c:val>
            <c:numRef>
              <c:f>Graf_2024_1_BG!$B$7:$S$7</c:f>
              <c:numCache>
                <c:formatCode>0.0</c:formatCode>
                <c:ptCount val="18"/>
                <c:pt idx="0">
                  <c:v>103.80149094789606</c:v>
                </c:pt>
                <c:pt idx="1">
                  <c:v>98.950184914306377</c:v>
                </c:pt>
                <c:pt idx="2">
                  <c:v>99.721150384952466</c:v>
                </c:pt>
                <c:pt idx="3">
                  <c:v>98.042152859577925</c:v>
                </c:pt>
                <c:pt idx="4">
                  <c:v>98.472951867341308</c:v>
                </c:pt>
                <c:pt idx="5">
                  <c:v>99.186712873618873</c:v>
                </c:pt>
                <c:pt idx="6">
                  <c:v>99.708329254326685</c:v>
                </c:pt>
                <c:pt idx="7">
                  <c:v>101.14192570494239</c:v>
                </c:pt>
                <c:pt idx="8">
                  <c:v>110.25136678234033</c:v>
                </c:pt>
                <c:pt idx="9">
                  <c:v>124.77422154872052</c:v>
                </c:pt>
                <c:pt idx="10">
                  <c:v>128.04788603742244</c:v>
                </c:pt>
                <c:pt idx="11">
                  <c:v>141.87914008444713</c:v>
                </c:pt>
                <c:pt idx="12">
                  <c:v>146.20041704481116</c:v>
                </c:pt>
                <c:pt idx="13">
                  <c:v>140.01730222619597</c:v>
                </c:pt>
                <c:pt idx="14">
                  <c:v>138.27707549633973</c:v>
                </c:pt>
                <c:pt idx="15">
                  <c:v>139.04500041029303</c:v>
                </c:pt>
                <c:pt idx="16">
                  <c:v>145.01872202354079</c:v>
                </c:pt>
                <c:pt idx="17">
                  <c:v>138.84741556199333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95-4B6B-B280-A6A16258F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139776"/>
        <c:axId val="60141952"/>
      </c:lineChart>
      <c:catAx>
        <c:axId val="6013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endParaRPr lang="bg-BG"/>
          </a:p>
        </c:txPr>
        <c:crossAx val="60141952"/>
        <c:crossesAt val="60"/>
        <c:auto val="1"/>
        <c:lblAlgn val="ctr"/>
        <c:lblOffset val="100"/>
        <c:noMultiLvlLbl val="0"/>
      </c:catAx>
      <c:valAx>
        <c:axId val="60141952"/>
        <c:scaling>
          <c:orientation val="minMax"/>
          <c:min val="70"/>
        </c:scaling>
        <c:delete val="0"/>
        <c:axPos val="l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 w="0">
            <a:solidFill>
              <a:schemeClr val="tx1"/>
            </a:solidFill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endParaRPr lang="bg-BG"/>
          </a:p>
        </c:txPr>
        <c:crossAx val="6013977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736664656349096"/>
          <c:y val="0.89110248096815947"/>
          <c:w val="0.65359991422573316"/>
          <c:h val="7.0930598791430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r>
              <a:rPr lang="bg-BG" sz="800" baseline="0">
                <a:latin typeface="Verdana" panose="020B0604030504040204" pitchFamily="34" charset="0"/>
                <a:ea typeface="Verdana" panose="020B0604030504040204" pitchFamily="34" charset="0"/>
              </a:rPr>
              <a:t>%</a:t>
            </a:r>
          </a:p>
        </c:rich>
      </c:tx>
      <c:layout>
        <c:manualLayout>
          <c:xMode val="edge"/>
          <c:yMode val="edge"/>
          <c:x val="5.998625032540858E-2"/>
          <c:y val="5.77513421980569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6.7302730775674321E-2"/>
          <c:y val="0.1108009093005634"/>
          <c:w val="0.90016793486579838"/>
          <c:h val="0.57279675814581754"/>
        </c:manualLayout>
      </c:layout>
      <c:lineChart>
        <c:grouping val="standard"/>
        <c:varyColors val="0"/>
        <c:ser>
          <c:idx val="7"/>
          <c:order val="0"/>
          <c:tx>
            <c:strRef>
              <c:f>Graf_2024_1_BG!$A$41</c:f>
              <c:strCache>
                <c:ptCount val="1"/>
                <c:pt idx="0">
                  <c:v>Общо</c:v>
                </c:pt>
              </c:strCache>
            </c:strRef>
          </c:tx>
          <c:spPr>
            <a:ln w="2349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Graf_2024_1_BG!$B$40:$S$40</c:f>
              <c:strCache>
                <c:ptCount val="18"/>
                <c:pt idx="0">
                  <c:v>I 2020</c:v>
                </c:pt>
                <c:pt idx="1">
                  <c:v>II 2020</c:v>
                </c:pt>
                <c:pt idx="2">
                  <c:v>III 2020</c:v>
                </c:pt>
                <c:pt idx="3">
                  <c:v>IV 2020</c:v>
                </c:pt>
                <c:pt idx="4">
                  <c:v>I 2021</c:v>
                </c:pt>
                <c:pt idx="5">
                  <c:v>II 2021</c:v>
                </c:pt>
                <c:pt idx="6">
                  <c:v>III 2021</c:v>
                </c:pt>
                <c:pt idx="7">
                  <c:v>IV 2021</c:v>
                </c:pt>
                <c:pt idx="8">
                  <c:v>I 2022</c:v>
                </c:pt>
                <c:pt idx="9">
                  <c:v>II 2022</c:v>
                </c:pt>
                <c:pt idx="10">
                  <c:v>III 2022</c:v>
                </c:pt>
                <c:pt idx="11">
                  <c:v>IV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I 2024</c:v>
                </c:pt>
                <c:pt idx="17">
                  <c:v>II 2024</c:v>
                </c:pt>
              </c:strCache>
            </c:strRef>
          </c:cat>
          <c:val>
            <c:numRef>
              <c:f>Graf_2024_1_BG!$B$41:$S$41</c:f>
              <c:numCache>
                <c:formatCode>0.0</c:formatCode>
                <c:ptCount val="18"/>
                <c:pt idx="0">
                  <c:v>102.4</c:v>
                </c:pt>
                <c:pt idx="1">
                  <c:v>99.3</c:v>
                </c:pt>
                <c:pt idx="2">
                  <c:v>99.1</c:v>
                </c:pt>
                <c:pt idx="3">
                  <c:v>99.2</c:v>
                </c:pt>
                <c:pt idx="4">
                  <c:v>103.3</c:v>
                </c:pt>
                <c:pt idx="5">
                  <c:v>107.3</c:v>
                </c:pt>
                <c:pt idx="6">
                  <c:v>112.2</c:v>
                </c:pt>
                <c:pt idx="7">
                  <c:v>123.2</c:v>
                </c:pt>
                <c:pt idx="8">
                  <c:v>137.1</c:v>
                </c:pt>
                <c:pt idx="9">
                  <c:v>151.30000000000001</c:v>
                </c:pt>
                <c:pt idx="10">
                  <c:v>157.30000000000001</c:v>
                </c:pt>
                <c:pt idx="11">
                  <c:v>155.80000000000001</c:v>
                </c:pt>
                <c:pt idx="12">
                  <c:v>147.1</c:v>
                </c:pt>
                <c:pt idx="13" formatCode="General">
                  <c:v>142.1</c:v>
                </c:pt>
                <c:pt idx="14" formatCode="General">
                  <c:v>137.80000000000001</c:v>
                </c:pt>
                <c:pt idx="15" formatCode="General">
                  <c:v>138.5</c:v>
                </c:pt>
                <c:pt idx="16" formatCode="General">
                  <c:v>137</c:v>
                </c:pt>
                <c:pt idx="17" formatCode="General">
                  <c:v>137.69999999999999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95-4723-BE04-206032010E40}"/>
            </c:ext>
          </c:extLst>
        </c:ser>
        <c:ser>
          <c:idx val="8"/>
          <c:order val="1"/>
          <c:tx>
            <c:strRef>
              <c:f>Graf_2024_1_BG!$A$42</c:f>
              <c:strCache>
                <c:ptCount val="1"/>
                <c:pt idx="0">
                  <c:v>Посевен и посадъчен материал</c:v>
                </c:pt>
              </c:strCache>
            </c:strRef>
          </c:tx>
          <c:spPr>
            <a:ln w="2349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Graf_2024_1_BG!$B$40:$S$40</c:f>
              <c:strCache>
                <c:ptCount val="18"/>
                <c:pt idx="0">
                  <c:v>I 2020</c:v>
                </c:pt>
                <c:pt idx="1">
                  <c:v>II 2020</c:v>
                </c:pt>
                <c:pt idx="2">
                  <c:v>III 2020</c:v>
                </c:pt>
                <c:pt idx="3">
                  <c:v>IV 2020</c:v>
                </c:pt>
                <c:pt idx="4">
                  <c:v>I 2021</c:v>
                </c:pt>
                <c:pt idx="5">
                  <c:v>II 2021</c:v>
                </c:pt>
                <c:pt idx="6">
                  <c:v>III 2021</c:v>
                </c:pt>
                <c:pt idx="7">
                  <c:v>IV 2021</c:v>
                </c:pt>
                <c:pt idx="8">
                  <c:v>I 2022</c:v>
                </c:pt>
                <c:pt idx="9">
                  <c:v>II 2022</c:v>
                </c:pt>
                <c:pt idx="10">
                  <c:v>III 2022</c:v>
                </c:pt>
                <c:pt idx="11">
                  <c:v>IV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I 2024</c:v>
                </c:pt>
                <c:pt idx="17">
                  <c:v>II 2024</c:v>
                </c:pt>
              </c:strCache>
            </c:strRef>
          </c:cat>
          <c:val>
            <c:numRef>
              <c:f>Graf_2024_1_BG!$B$42:$S$42</c:f>
              <c:numCache>
                <c:formatCode>0.0</c:formatCode>
                <c:ptCount val="18"/>
                <c:pt idx="0">
                  <c:v>97.4</c:v>
                </c:pt>
                <c:pt idx="1">
                  <c:v>102.3</c:v>
                </c:pt>
                <c:pt idx="2">
                  <c:v>103.6</c:v>
                </c:pt>
                <c:pt idx="3">
                  <c:v>96.7</c:v>
                </c:pt>
                <c:pt idx="4">
                  <c:v>98</c:v>
                </c:pt>
                <c:pt idx="5">
                  <c:v>106.4</c:v>
                </c:pt>
                <c:pt idx="6">
                  <c:v>103.6</c:v>
                </c:pt>
                <c:pt idx="7">
                  <c:v>105.4</c:v>
                </c:pt>
                <c:pt idx="8">
                  <c:v>110.9</c:v>
                </c:pt>
                <c:pt idx="9">
                  <c:v>113.4</c:v>
                </c:pt>
                <c:pt idx="10">
                  <c:v>124.1</c:v>
                </c:pt>
                <c:pt idx="11">
                  <c:v>131.80000000000001</c:v>
                </c:pt>
                <c:pt idx="12">
                  <c:v>138.1</c:v>
                </c:pt>
                <c:pt idx="13">
                  <c:v>135</c:v>
                </c:pt>
                <c:pt idx="14">
                  <c:v>137.19999999999999</c:v>
                </c:pt>
                <c:pt idx="15" formatCode="General">
                  <c:v>141.19999999999999</c:v>
                </c:pt>
                <c:pt idx="16" formatCode="General">
                  <c:v>144</c:v>
                </c:pt>
                <c:pt idx="17" formatCode="General">
                  <c:v>146.19999999999999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95-4723-BE04-206032010E40}"/>
            </c:ext>
          </c:extLst>
        </c:ser>
        <c:ser>
          <c:idx val="9"/>
          <c:order val="2"/>
          <c:tx>
            <c:strRef>
              <c:f>Graf_2024_1_BG!$A$43</c:f>
              <c:strCache>
                <c:ptCount val="1"/>
                <c:pt idx="0">
                  <c:v>Електроенергия, горива и други</c:v>
                </c:pt>
              </c:strCache>
            </c:strRef>
          </c:tx>
          <c:spPr>
            <a:ln w="2349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Graf_2024_1_BG!$B$40:$S$40</c:f>
              <c:strCache>
                <c:ptCount val="18"/>
                <c:pt idx="0">
                  <c:v>I 2020</c:v>
                </c:pt>
                <c:pt idx="1">
                  <c:v>II 2020</c:v>
                </c:pt>
                <c:pt idx="2">
                  <c:v>III 2020</c:v>
                </c:pt>
                <c:pt idx="3">
                  <c:v>IV 2020</c:v>
                </c:pt>
                <c:pt idx="4">
                  <c:v>I 2021</c:v>
                </c:pt>
                <c:pt idx="5">
                  <c:v>II 2021</c:v>
                </c:pt>
                <c:pt idx="6">
                  <c:v>III 2021</c:v>
                </c:pt>
                <c:pt idx="7">
                  <c:v>IV 2021</c:v>
                </c:pt>
                <c:pt idx="8">
                  <c:v>I 2022</c:v>
                </c:pt>
                <c:pt idx="9">
                  <c:v>II 2022</c:v>
                </c:pt>
                <c:pt idx="10">
                  <c:v>III 2022</c:v>
                </c:pt>
                <c:pt idx="11">
                  <c:v>IV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I 2024</c:v>
                </c:pt>
                <c:pt idx="17">
                  <c:v>II 2024</c:v>
                </c:pt>
              </c:strCache>
            </c:strRef>
          </c:cat>
          <c:val>
            <c:numRef>
              <c:f>Graf_2024_1_BG!$B$43:$S$43</c:f>
              <c:numCache>
                <c:formatCode>0.0</c:formatCode>
                <c:ptCount val="18"/>
                <c:pt idx="0">
                  <c:v>111.6</c:v>
                </c:pt>
                <c:pt idx="1">
                  <c:v>94.9</c:v>
                </c:pt>
                <c:pt idx="2">
                  <c:v>96.2</c:v>
                </c:pt>
                <c:pt idx="3">
                  <c:v>97.3</c:v>
                </c:pt>
                <c:pt idx="4">
                  <c:v>103.4</c:v>
                </c:pt>
                <c:pt idx="5">
                  <c:v>109.9</c:v>
                </c:pt>
                <c:pt idx="6">
                  <c:v>116.2</c:v>
                </c:pt>
                <c:pt idx="7">
                  <c:v>123.3</c:v>
                </c:pt>
                <c:pt idx="8">
                  <c:v>131.6</c:v>
                </c:pt>
                <c:pt idx="9">
                  <c:v>153.1</c:v>
                </c:pt>
                <c:pt idx="10">
                  <c:v>157.4</c:v>
                </c:pt>
                <c:pt idx="11">
                  <c:v>144</c:v>
                </c:pt>
                <c:pt idx="12">
                  <c:v>133.30000000000001</c:v>
                </c:pt>
                <c:pt idx="13" formatCode="General">
                  <c:v>131.80000000000001</c:v>
                </c:pt>
                <c:pt idx="14" formatCode="General">
                  <c:v>137.69999999999999</c:v>
                </c:pt>
                <c:pt idx="15" formatCode="General">
                  <c:v>140.19999999999999</c:v>
                </c:pt>
                <c:pt idx="16" formatCode="General">
                  <c:v>138.19999999999999</c:v>
                </c:pt>
                <c:pt idx="17" formatCode="General">
                  <c:v>139.9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895-4723-BE04-206032010E40}"/>
            </c:ext>
          </c:extLst>
        </c:ser>
        <c:ser>
          <c:idx val="10"/>
          <c:order val="3"/>
          <c:tx>
            <c:strRef>
              <c:f>Graf_2024_1_BG!$A$44</c:f>
              <c:strCache>
                <c:ptCount val="1"/>
                <c:pt idx="0">
                  <c:v>Минерални торове</c:v>
                </c:pt>
              </c:strCache>
            </c:strRef>
          </c:tx>
          <c:spPr>
            <a:ln w="2349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Graf_2024_1_BG!$B$40:$S$40</c:f>
              <c:strCache>
                <c:ptCount val="18"/>
                <c:pt idx="0">
                  <c:v>I 2020</c:v>
                </c:pt>
                <c:pt idx="1">
                  <c:v>II 2020</c:v>
                </c:pt>
                <c:pt idx="2">
                  <c:v>III 2020</c:v>
                </c:pt>
                <c:pt idx="3">
                  <c:v>IV 2020</c:v>
                </c:pt>
                <c:pt idx="4">
                  <c:v>I 2021</c:v>
                </c:pt>
                <c:pt idx="5">
                  <c:v>II 2021</c:v>
                </c:pt>
                <c:pt idx="6">
                  <c:v>III 2021</c:v>
                </c:pt>
                <c:pt idx="7">
                  <c:v>IV 2021</c:v>
                </c:pt>
                <c:pt idx="8">
                  <c:v>I 2022</c:v>
                </c:pt>
                <c:pt idx="9">
                  <c:v>II 2022</c:v>
                </c:pt>
                <c:pt idx="10">
                  <c:v>III 2022</c:v>
                </c:pt>
                <c:pt idx="11">
                  <c:v>IV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I 2024</c:v>
                </c:pt>
                <c:pt idx="17">
                  <c:v>II 2024</c:v>
                </c:pt>
              </c:strCache>
            </c:strRef>
          </c:cat>
          <c:val>
            <c:numRef>
              <c:f>Graf_2024_1_BG!$B$44:$S$44</c:f>
              <c:numCache>
                <c:formatCode>0.0</c:formatCode>
                <c:ptCount val="18"/>
                <c:pt idx="0">
                  <c:v>101</c:v>
                </c:pt>
                <c:pt idx="1">
                  <c:v>102</c:v>
                </c:pt>
                <c:pt idx="2">
                  <c:v>100.6</c:v>
                </c:pt>
                <c:pt idx="3">
                  <c:v>96.4</c:v>
                </c:pt>
                <c:pt idx="4">
                  <c:v>106.4</c:v>
                </c:pt>
                <c:pt idx="5">
                  <c:v>115.1</c:v>
                </c:pt>
                <c:pt idx="6">
                  <c:v>141.80000000000001</c:v>
                </c:pt>
                <c:pt idx="7">
                  <c:v>198</c:v>
                </c:pt>
                <c:pt idx="8">
                  <c:v>261</c:v>
                </c:pt>
                <c:pt idx="9">
                  <c:v>284.3</c:v>
                </c:pt>
                <c:pt idx="10">
                  <c:v>304.3</c:v>
                </c:pt>
                <c:pt idx="11">
                  <c:v>300.89999999999998</c:v>
                </c:pt>
                <c:pt idx="12">
                  <c:v>246.7</c:v>
                </c:pt>
                <c:pt idx="13" formatCode="General">
                  <c:v>210.1</c:v>
                </c:pt>
                <c:pt idx="14" formatCode="General">
                  <c:v>168.6</c:v>
                </c:pt>
                <c:pt idx="15" formatCode="General">
                  <c:v>166.9</c:v>
                </c:pt>
                <c:pt idx="16" formatCode="General">
                  <c:v>151.19999999999999</c:v>
                </c:pt>
                <c:pt idx="17" formatCode="General">
                  <c:v>154.4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895-4723-BE04-206032010E40}"/>
            </c:ext>
          </c:extLst>
        </c:ser>
        <c:ser>
          <c:idx val="11"/>
          <c:order val="4"/>
          <c:tx>
            <c:strRef>
              <c:f>Graf_2024_1_BG!$A$45</c:f>
              <c:strCache>
                <c:ptCount val="1"/>
                <c:pt idx="0">
                  <c:v>Продукти за растителна защита</c:v>
                </c:pt>
              </c:strCache>
            </c:strRef>
          </c:tx>
          <c:spPr>
            <a:ln w="2222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strRef>
              <c:f>Graf_2024_1_BG!$B$40:$S$40</c:f>
              <c:strCache>
                <c:ptCount val="18"/>
                <c:pt idx="0">
                  <c:v>I 2020</c:v>
                </c:pt>
                <c:pt idx="1">
                  <c:v>II 2020</c:v>
                </c:pt>
                <c:pt idx="2">
                  <c:v>III 2020</c:v>
                </c:pt>
                <c:pt idx="3">
                  <c:v>IV 2020</c:v>
                </c:pt>
                <c:pt idx="4">
                  <c:v>I 2021</c:v>
                </c:pt>
                <c:pt idx="5">
                  <c:v>II 2021</c:v>
                </c:pt>
                <c:pt idx="6">
                  <c:v>III 2021</c:v>
                </c:pt>
                <c:pt idx="7">
                  <c:v>IV 2021</c:v>
                </c:pt>
                <c:pt idx="8">
                  <c:v>I 2022</c:v>
                </c:pt>
                <c:pt idx="9">
                  <c:v>II 2022</c:v>
                </c:pt>
                <c:pt idx="10">
                  <c:v>III 2022</c:v>
                </c:pt>
                <c:pt idx="11">
                  <c:v>IV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I 2024</c:v>
                </c:pt>
                <c:pt idx="17">
                  <c:v>II 2024</c:v>
                </c:pt>
              </c:strCache>
            </c:strRef>
          </c:cat>
          <c:val>
            <c:numRef>
              <c:f>Graf_2024_1_BG!$B$45:$S$45</c:f>
              <c:numCache>
                <c:formatCode>0.0</c:formatCode>
                <c:ptCount val="18"/>
                <c:pt idx="0">
                  <c:v>98.7</c:v>
                </c:pt>
                <c:pt idx="1">
                  <c:v>100.4</c:v>
                </c:pt>
                <c:pt idx="2">
                  <c:v>100.7</c:v>
                </c:pt>
                <c:pt idx="3">
                  <c:v>100.2</c:v>
                </c:pt>
                <c:pt idx="4">
                  <c:v>101.9</c:v>
                </c:pt>
                <c:pt idx="5">
                  <c:v>101.4</c:v>
                </c:pt>
                <c:pt idx="6">
                  <c:v>100.8</c:v>
                </c:pt>
                <c:pt idx="7">
                  <c:v>101.7</c:v>
                </c:pt>
                <c:pt idx="8">
                  <c:v>116.5</c:v>
                </c:pt>
                <c:pt idx="9">
                  <c:v>133.30000000000001</c:v>
                </c:pt>
                <c:pt idx="10">
                  <c:v>127.2</c:v>
                </c:pt>
                <c:pt idx="11">
                  <c:v>129.6</c:v>
                </c:pt>
                <c:pt idx="12">
                  <c:v>117.8</c:v>
                </c:pt>
                <c:pt idx="13">
                  <c:v>114.6</c:v>
                </c:pt>
                <c:pt idx="14" formatCode="General">
                  <c:v>124.5</c:v>
                </c:pt>
                <c:pt idx="15" formatCode="General">
                  <c:v>122.3</c:v>
                </c:pt>
                <c:pt idx="16" formatCode="General">
                  <c:v>129.69999999999999</c:v>
                </c:pt>
                <c:pt idx="17" formatCode="General">
                  <c:v>131.4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895-4723-BE04-206032010E40}"/>
            </c:ext>
          </c:extLst>
        </c:ser>
        <c:ser>
          <c:idx val="12"/>
          <c:order val="5"/>
          <c:tx>
            <c:strRef>
              <c:f>Graf_2024_1_BG!$A$46</c:f>
              <c:strCache>
                <c:ptCount val="1"/>
                <c:pt idx="0">
                  <c:v>Ветеринарномедицински продукти</c:v>
                </c:pt>
              </c:strCache>
            </c:strRef>
          </c:tx>
          <c:spPr>
            <a:ln w="2349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Graf_2024_1_BG!$B$40:$S$40</c:f>
              <c:strCache>
                <c:ptCount val="18"/>
                <c:pt idx="0">
                  <c:v>I 2020</c:v>
                </c:pt>
                <c:pt idx="1">
                  <c:v>II 2020</c:v>
                </c:pt>
                <c:pt idx="2">
                  <c:v>III 2020</c:v>
                </c:pt>
                <c:pt idx="3">
                  <c:v>IV 2020</c:v>
                </c:pt>
                <c:pt idx="4">
                  <c:v>I 2021</c:v>
                </c:pt>
                <c:pt idx="5">
                  <c:v>II 2021</c:v>
                </c:pt>
                <c:pt idx="6">
                  <c:v>III 2021</c:v>
                </c:pt>
                <c:pt idx="7">
                  <c:v>IV 2021</c:v>
                </c:pt>
                <c:pt idx="8">
                  <c:v>I 2022</c:v>
                </c:pt>
                <c:pt idx="9">
                  <c:v>II 2022</c:v>
                </c:pt>
                <c:pt idx="10">
                  <c:v>III 2022</c:v>
                </c:pt>
                <c:pt idx="11">
                  <c:v>IV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I 2024</c:v>
                </c:pt>
                <c:pt idx="17">
                  <c:v>II 2024</c:v>
                </c:pt>
              </c:strCache>
            </c:strRef>
          </c:cat>
          <c:val>
            <c:numRef>
              <c:f>Graf_2024_1_BG!$B$46:$S$46</c:f>
              <c:numCache>
                <c:formatCode>0.0</c:formatCode>
                <c:ptCount val="18"/>
                <c:pt idx="0">
                  <c:v>99.3</c:v>
                </c:pt>
                <c:pt idx="1">
                  <c:v>99.4</c:v>
                </c:pt>
                <c:pt idx="2">
                  <c:v>100.2</c:v>
                </c:pt>
                <c:pt idx="3">
                  <c:v>101.1</c:v>
                </c:pt>
                <c:pt idx="4">
                  <c:v>101.6</c:v>
                </c:pt>
                <c:pt idx="5">
                  <c:v>102.1</c:v>
                </c:pt>
                <c:pt idx="6">
                  <c:v>101.2</c:v>
                </c:pt>
                <c:pt idx="7">
                  <c:v>102.5</c:v>
                </c:pt>
                <c:pt idx="8">
                  <c:v>108.5</c:v>
                </c:pt>
                <c:pt idx="9">
                  <c:v>111.1</c:v>
                </c:pt>
                <c:pt idx="10">
                  <c:v>117.4</c:v>
                </c:pt>
                <c:pt idx="11">
                  <c:v>118.7</c:v>
                </c:pt>
                <c:pt idx="12">
                  <c:v>117.6</c:v>
                </c:pt>
                <c:pt idx="13" formatCode="General">
                  <c:v>119.4</c:v>
                </c:pt>
                <c:pt idx="14" formatCode="General">
                  <c:v>119.1</c:v>
                </c:pt>
                <c:pt idx="15" formatCode="General">
                  <c:v>122.8</c:v>
                </c:pt>
                <c:pt idx="16" formatCode="General">
                  <c:v>122.8</c:v>
                </c:pt>
                <c:pt idx="17" formatCode="General">
                  <c:v>123.8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895-4723-BE04-206032010E40}"/>
            </c:ext>
          </c:extLst>
        </c:ser>
        <c:ser>
          <c:idx val="13"/>
          <c:order val="6"/>
          <c:tx>
            <c:strRef>
              <c:f>Graf_2024_1_BG!$A$47</c:f>
              <c:strCache>
                <c:ptCount val="1"/>
                <c:pt idx="0">
                  <c:v>Фуражи</c:v>
                </c:pt>
              </c:strCache>
            </c:strRef>
          </c:tx>
          <c:spPr>
            <a:ln w="2286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Graf_2024_1_BG!$B$40:$S$40</c:f>
              <c:strCache>
                <c:ptCount val="18"/>
                <c:pt idx="0">
                  <c:v>I 2020</c:v>
                </c:pt>
                <c:pt idx="1">
                  <c:v>II 2020</c:v>
                </c:pt>
                <c:pt idx="2">
                  <c:v>III 2020</c:v>
                </c:pt>
                <c:pt idx="3">
                  <c:v>IV 2020</c:v>
                </c:pt>
                <c:pt idx="4">
                  <c:v>I 2021</c:v>
                </c:pt>
                <c:pt idx="5">
                  <c:v>II 2021</c:v>
                </c:pt>
                <c:pt idx="6">
                  <c:v>III 2021</c:v>
                </c:pt>
                <c:pt idx="7">
                  <c:v>IV 2021</c:v>
                </c:pt>
                <c:pt idx="8">
                  <c:v>I 2022</c:v>
                </c:pt>
                <c:pt idx="9">
                  <c:v>II 2022</c:v>
                </c:pt>
                <c:pt idx="10">
                  <c:v>III 2022</c:v>
                </c:pt>
                <c:pt idx="11">
                  <c:v>IV 2022</c:v>
                </c:pt>
                <c:pt idx="12">
                  <c:v>I 2023</c:v>
                </c:pt>
                <c:pt idx="13">
                  <c:v>II 2023</c:v>
                </c:pt>
                <c:pt idx="14">
                  <c:v>III 2023</c:v>
                </c:pt>
                <c:pt idx="15">
                  <c:v>IV 2023</c:v>
                </c:pt>
                <c:pt idx="16">
                  <c:v>I 2024</c:v>
                </c:pt>
                <c:pt idx="17">
                  <c:v>II 2024</c:v>
                </c:pt>
              </c:strCache>
            </c:strRef>
          </c:cat>
          <c:val>
            <c:numRef>
              <c:f>Graf_2024_1_BG!$B$47:$S$47</c:f>
              <c:numCache>
                <c:formatCode>0.0</c:formatCode>
                <c:ptCount val="18"/>
                <c:pt idx="0">
                  <c:v>98.4</c:v>
                </c:pt>
                <c:pt idx="1">
                  <c:v>100.3</c:v>
                </c:pt>
                <c:pt idx="2">
                  <c:v>99.4</c:v>
                </c:pt>
                <c:pt idx="3">
                  <c:v>101.9</c:v>
                </c:pt>
                <c:pt idx="4">
                  <c:v>107.3</c:v>
                </c:pt>
                <c:pt idx="5">
                  <c:v>109.4</c:v>
                </c:pt>
                <c:pt idx="6">
                  <c:v>111.2</c:v>
                </c:pt>
                <c:pt idx="7">
                  <c:v>118.3</c:v>
                </c:pt>
                <c:pt idx="8">
                  <c:v>126.4</c:v>
                </c:pt>
                <c:pt idx="9">
                  <c:v>144.30000000000001</c:v>
                </c:pt>
                <c:pt idx="10">
                  <c:v>151.9</c:v>
                </c:pt>
                <c:pt idx="11">
                  <c:v>155.5</c:v>
                </c:pt>
                <c:pt idx="12">
                  <c:v>158.9</c:v>
                </c:pt>
                <c:pt idx="13" formatCode="General">
                  <c:v>156.4</c:v>
                </c:pt>
                <c:pt idx="14" formatCode="General">
                  <c:v>148.6</c:v>
                </c:pt>
                <c:pt idx="15" formatCode="General">
                  <c:v>146.6</c:v>
                </c:pt>
                <c:pt idx="16" formatCode="General">
                  <c:v>143.6</c:v>
                </c:pt>
                <c:pt idx="17" formatCode="General">
                  <c:v>140.19999999999999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895-4723-BE04-206032010E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156544"/>
        <c:axId val="60158720"/>
      </c:lineChart>
      <c:catAx>
        <c:axId val="6015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endParaRPr lang="bg-BG"/>
          </a:p>
        </c:txPr>
        <c:crossAx val="60158720"/>
        <c:crossesAt val="60"/>
        <c:auto val="1"/>
        <c:lblAlgn val="ctr"/>
        <c:lblOffset val="100"/>
        <c:tickMarkSkip val="1"/>
        <c:noMultiLvlLbl val="0"/>
      </c:catAx>
      <c:valAx>
        <c:axId val="60158720"/>
        <c:scaling>
          <c:orientation val="minMax"/>
          <c:max val="310"/>
          <c:min val="60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solidFill>
            <a:srgbClr val="FFFFFF"/>
          </a:solidFill>
          <a:ln w="3175">
            <a:solidFill>
              <a:srgbClr val="000000"/>
            </a:solidFill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+mn-cs"/>
              </a:defRPr>
            </a:pPr>
            <a:endParaRPr lang="bg-BG"/>
          </a:p>
        </c:txPr>
        <c:crossAx val="60156544"/>
        <c:crosses val="autoZero"/>
        <c:crossBetween val="between"/>
        <c:majorUnit val="20"/>
        <c:minorUnit val="10"/>
      </c:valAx>
      <c:spPr>
        <a:solidFill>
          <a:srgbClr val="FFFFFF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378401498383349"/>
          <c:y val="0.83690523739796141"/>
          <c:w val="0.74609433655567159"/>
          <c:h val="0.136944464630409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8D8DB-D98F-4205-A734-807F8B00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Zornitsa Ivanova</cp:lastModifiedBy>
  <cp:revision>3</cp:revision>
  <dcterms:created xsi:type="dcterms:W3CDTF">2024-08-12T09:12:00Z</dcterms:created>
  <dcterms:modified xsi:type="dcterms:W3CDTF">2024-08-12T09:19:00Z</dcterms:modified>
</cp:coreProperties>
</file>