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552AE" w14:textId="77777777" w:rsidR="008544B7" w:rsidRPr="0066568B" w:rsidRDefault="008544B7" w:rsidP="002A5FC6">
      <w:pPr>
        <w:spacing w:before="160" w:after="16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568B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БРУТ</w:t>
      </w:r>
      <w:r w:rsidR="00193B0F">
        <w:rPr>
          <w:rFonts w:ascii="Verdana" w:eastAsia="Μοντέρνα" w:hAnsi="Verdana" w:cs="Times New Roman"/>
          <w:b/>
          <w:sz w:val="20"/>
          <w:szCs w:val="20"/>
          <w:lang w:eastAsia="bg-BG"/>
        </w:rPr>
        <w:t>ЕН ВЪТРЕШЕН ПРОДУКТ ПРЕЗ ВТОРОТО</w:t>
      </w:r>
      <w:r w:rsidRPr="0066568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p w14:paraId="1C11A96A" w14:textId="77777777" w:rsidR="008544B7" w:rsidRDefault="008544B7" w:rsidP="006909B7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568B">
        <w:rPr>
          <w:rFonts w:ascii="Verdana" w:eastAsia="Μοντέρνα" w:hAnsi="Verdana" w:cs="Times New Roman"/>
          <w:b/>
          <w:sz w:val="20"/>
          <w:szCs w:val="20"/>
          <w:lang w:eastAsia="bg-BG"/>
        </w:rPr>
        <w:t>(ЕКСПРЕСНИ ОЦЕНКИ)</w:t>
      </w:r>
      <w:bookmarkStart w:id="0" w:name="OLE_LINK1"/>
      <w:bookmarkEnd w:id="0"/>
    </w:p>
    <w:p w14:paraId="618596FA" w14:textId="77777777" w:rsidR="003609D9" w:rsidRPr="008544B7" w:rsidRDefault="003609D9" w:rsidP="003609D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 второто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 г. брутният вътрешен продукт (БВП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) нараства с 2.0% спрямо второто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предходната г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одина и с 0.5% спрямо първото</w:t>
      </w:r>
      <w:r w:rsidR="002A5F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според сезонно изгладените данни по експресни оценки.</w:t>
      </w:r>
    </w:p>
    <w:p w14:paraId="5CFDF206" w14:textId="77777777" w:rsidR="003609D9" w:rsidRPr="008544B7" w:rsidRDefault="003609D9" w:rsidP="003609D9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Годишни изменения</w:t>
      </w:r>
    </w:p>
    <w:p w14:paraId="153ABE07" w14:textId="77777777" w:rsidR="003609D9" w:rsidRPr="008544B7" w:rsidRDefault="003609D9" w:rsidP="003609D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 второто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 г. БВП се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увеличава с 2.0% спрямо второто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предходната година, а брутната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добавена стойност нараства с 1.9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0998D0F6" w14:textId="279B4214" w:rsidR="003609D9" w:rsidRPr="008544B7" w:rsidRDefault="003609D9" w:rsidP="003609D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Крайното по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требление регистрира ръст от 2.8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032F6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 </w:t>
      </w:r>
      <w:bookmarkStart w:id="1" w:name="_GoBack"/>
      <w:bookmarkEnd w:id="1"/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бруто образуването на основен капитал се увеличава с</w:t>
      </w:r>
      <w:r w:rsidR="00AA2D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6.0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% през второто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есечие на 2024 г. спрямо второто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предходната година по сезонно изгладени данни. Износъ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 на стоки и услуги се увеличава с 0.9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%, а вносъ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 на стоки и услуги с 2.5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46952C9B" w14:textId="77777777" w:rsidR="003609D9" w:rsidRDefault="003609D9" w:rsidP="003609D9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Темп на прираст спрямо съответното тримесечие на предходната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година, %</w:t>
      </w:r>
    </w:p>
    <w:p w14:paraId="63DD1BD6" w14:textId="77777777" w:rsidR="003609D9" w:rsidRPr="008544B7" w:rsidRDefault="003609D9" w:rsidP="003609D9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3109192B" wp14:editId="45175C57">
            <wp:extent cx="4572000" cy="2943225"/>
            <wp:effectExtent l="0" t="0" r="0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EF1BFA" w14:textId="6403C1C5" w:rsidR="003609D9" w:rsidRDefault="003609D9" w:rsidP="003609D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F2D93C8" w14:textId="0006F052" w:rsidR="00C11E1F" w:rsidRDefault="00C11E1F" w:rsidP="003609D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3E1EE1" w14:textId="1C807783" w:rsidR="00C11E1F" w:rsidRDefault="00C11E1F" w:rsidP="003609D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775935E" w14:textId="77777777" w:rsidR="00C11E1F" w:rsidRDefault="00C11E1F" w:rsidP="003609D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4B110549" w14:textId="77777777" w:rsidR="003609D9" w:rsidRPr="008544B7" w:rsidRDefault="003609D9" w:rsidP="006909B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Тримесечни изменения</w:t>
      </w:r>
    </w:p>
    <w:p w14:paraId="67049596" w14:textId="77777777" w:rsidR="003609D9" w:rsidRPr="008544B7" w:rsidRDefault="003609D9" w:rsidP="003609D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 второто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 г. спрямо предходното тримесечие БВП, по сезонно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изгладени данни, нараства с 0.5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 (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табл. 1 от приложението).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Б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рутната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добавена стойност нараства с 0.3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35EB940E" w14:textId="77777777" w:rsidR="003609D9" w:rsidRPr="00EB14FF" w:rsidRDefault="003609D9" w:rsidP="00EB14F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Според експресните оценки на БВП по елементи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крайното използване през второто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 г. причина за регистрирания икономически ръст по сезонно изгладени данни спрямо предходното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тримесечие е увеличението на </w:t>
      </w:r>
      <w:r w:rsidR="00121CE0">
        <w:rPr>
          <w:rFonts w:ascii="Verdana" w:eastAsia="Times New Roman" w:hAnsi="Verdana" w:cs="Times New Roman"/>
          <w:sz w:val="20"/>
          <w:szCs w:val="20"/>
          <w:lang w:eastAsia="bg-BG"/>
        </w:rPr>
        <w:t>крайното потребление с 0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.8%, </w:t>
      </w:r>
      <w:r w:rsidRPr="008C2D85">
        <w:rPr>
          <w:rFonts w:ascii="Verdana" w:eastAsia="Times New Roman" w:hAnsi="Verdana" w:cs="Times New Roman"/>
          <w:sz w:val="20"/>
          <w:szCs w:val="20"/>
          <w:lang w:eastAsia="bg-BG"/>
        </w:rPr>
        <w:t>износ</w:t>
      </w:r>
      <w:r w:rsidR="00EB14FF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8C2D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стоки и услуги</w:t>
      </w:r>
      <w:r w:rsidR="00121C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B5DA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121CE0">
        <w:rPr>
          <w:rFonts w:ascii="Verdana" w:eastAsia="Times New Roman" w:hAnsi="Verdana" w:cs="Times New Roman"/>
          <w:sz w:val="20"/>
          <w:szCs w:val="20"/>
          <w:lang w:eastAsia="bg-BG"/>
        </w:rPr>
        <w:t>с 2.3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4B5DA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Pr="008C2D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внос</w:t>
      </w:r>
      <w:r w:rsidR="00EB14FF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8C2D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стоки и услуги</w:t>
      </w:r>
      <w:r w:rsidR="00121C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- 0.1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299B9A87" w14:textId="77777777" w:rsidR="00D81555" w:rsidRDefault="00D81555" w:rsidP="00D81555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Фиг. 2. Б</w:t>
      </w:r>
      <w:r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ВП по тримесечия </w:t>
      </w:r>
      <w:r w:rsidR="0034131B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за</w:t>
      </w:r>
      <w:r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 периода 20</w:t>
      </w:r>
      <w:r w:rsidR="000D23F3">
        <w:rPr>
          <w:rFonts w:ascii="Verdana" w:eastAsia="Μοντέρνα" w:hAnsi="Verdana" w:cs="Times New Roman"/>
          <w:b/>
          <w:bCs/>
          <w:noProof/>
          <w:sz w:val="20"/>
          <w:szCs w:val="20"/>
          <w:lang w:val="en-US" w:eastAsia="bg-BG"/>
        </w:rPr>
        <w:t>14</w:t>
      </w: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 - 2024 г. по средногодишни цени на 2015 година, млн. лв.</w:t>
      </w:r>
    </w:p>
    <w:p w14:paraId="518404C9" w14:textId="77777777" w:rsidR="00CE55D5" w:rsidRPr="000D23F3" w:rsidRDefault="000D23F3" w:rsidP="000D23F3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drawing>
          <wp:inline distT="0" distB="0" distL="0" distR="0" wp14:anchorId="2C3E47A7" wp14:editId="6C4FA789">
            <wp:extent cx="5456991" cy="2819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09" cy="2845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86165" w14:textId="77777777" w:rsidR="003609D9" w:rsidRPr="008544B7" w:rsidRDefault="003609D9" w:rsidP="003609D9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БВП в стойностен обем, текущи цени</w:t>
      </w:r>
    </w:p>
    <w:p w14:paraId="4C7D3961" w14:textId="77777777" w:rsidR="003609D9" w:rsidRPr="008544B7" w:rsidRDefault="003609D9" w:rsidP="003609D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Според експресните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оценки на НСИ за второто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 г. БВП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 номинално изражение достига 45 150.2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 (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табл. 2 от приложението).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Реализиранат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 добавена стойност през второто тримесечие на 2024 г. е 39 152.7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лева.</w:t>
      </w:r>
    </w:p>
    <w:p w14:paraId="7B0F2855" w14:textId="77777777" w:rsidR="003609D9" w:rsidRPr="00D81555" w:rsidRDefault="003609D9" w:rsidP="00D8155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По елементи на крайното използване най-голям дял в БВП за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ема крайното потребление с 81.0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%, което в стойност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 изражение възлиза на 36 573.5 млн. лева. През второто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 г. брут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 капиталообразуването е 7 818.5 млн. лв. и заема 17.3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 относителен дял в БВП. Външн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отърговското салдо </w:t>
      </w:r>
      <w:r w:rsidR="00B12B69">
        <w:rPr>
          <w:rFonts w:ascii="Verdana" w:eastAsia="Μοντέρνα" w:hAnsi="Verdana" w:cs="Times New Roman"/>
          <w:sz w:val="20"/>
          <w:szCs w:val="20"/>
          <w:lang w:val="en-US" w:eastAsia="bg-BG"/>
        </w:rPr>
        <w:t>(</w:t>
      </w:r>
      <w:r w:rsidR="00B12B69">
        <w:rPr>
          <w:rFonts w:ascii="Verdana" w:eastAsia="Μοντέρνα" w:hAnsi="Verdana" w:cs="Times New Roman"/>
          <w:sz w:val="20"/>
          <w:szCs w:val="20"/>
          <w:lang w:eastAsia="bg-BG"/>
        </w:rPr>
        <w:t>износ минус внос</w:t>
      </w:r>
      <w:r w:rsidR="00B12B69">
        <w:rPr>
          <w:rFonts w:ascii="Verdana" w:eastAsia="Μοντέρνα" w:hAnsi="Verdana" w:cs="Times New Roman"/>
          <w:sz w:val="20"/>
          <w:szCs w:val="20"/>
          <w:lang w:val="en-US" w:eastAsia="bg-BG"/>
        </w:rPr>
        <w:t>)</w:t>
      </w:r>
      <w:r w:rsidR="00B12B6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 положително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0F8B4CE1" w14:textId="77777777" w:rsidR="003609D9" w:rsidRPr="008544B7" w:rsidRDefault="003609D9" w:rsidP="003609D9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8544B7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Методологични бележки</w:t>
      </w:r>
    </w:p>
    <w:p w14:paraId="6E10FAEC" w14:textId="77777777" w:rsidR="003609D9" w:rsidRPr="004950FF" w:rsidRDefault="003609D9" w:rsidP="003609D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950FF">
        <w:rPr>
          <w:rFonts w:ascii="Verdana" w:eastAsia="Μοντέρνα" w:hAnsi="Verdana" w:cs="Times New Roman"/>
          <w:sz w:val="20"/>
          <w:szCs w:val="20"/>
          <w:lang w:eastAsia="bg-BG"/>
        </w:rPr>
        <w:t>В ръководството на Евростат за тримесечните национални сметки експресните оценки</w:t>
      </w:r>
      <w:r w:rsidRPr="004950FF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4950F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 БВП са дефинирани като:</w:t>
      </w:r>
    </w:p>
    <w:p w14:paraId="1C772FDD" w14:textId="77777777" w:rsidR="003609D9" w:rsidRPr="004950FF" w:rsidRDefault="003609D9" w:rsidP="003609D9">
      <w:pPr>
        <w:spacing w:line="360" w:lineRule="auto"/>
        <w:ind w:left="709" w:right="567" w:firstLine="567"/>
        <w:jc w:val="both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 w:rsidRPr="004B5DA5">
        <w:rPr>
          <w:rFonts w:ascii="Verdana" w:eastAsia="Μοντέρνα" w:hAnsi="Verdana" w:cs="Times New Roman"/>
          <w:i/>
          <w:sz w:val="20"/>
          <w:szCs w:val="20"/>
          <w:lang w:eastAsia="bg-BG"/>
        </w:rPr>
        <w:t>„...най-ранната картина на икономиката, представена в съответствие с концепциите и дефинициите на Системата на националните сметки, данните за която се произвеждат и публикуват във възможно най-кратки срокове след края на отчетното тримесечие, като се използва ограничена и непълна информация в сравнение с традиционно разработваните тримесечни показатели на националните сметки...“.</w:t>
      </w:r>
    </w:p>
    <w:p w14:paraId="2373FC24" w14:textId="77777777" w:rsidR="003609D9" w:rsidRPr="004950FF" w:rsidRDefault="003609D9" w:rsidP="003609D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950FF">
        <w:rPr>
          <w:rFonts w:ascii="Verdana" w:eastAsia="Μοντέρνα" w:hAnsi="Verdana" w:cs="Times New Roman"/>
          <w:sz w:val="20"/>
          <w:szCs w:val="20"/>
          <w:lang w:eastAsia="bg-BG"/>
        </w:rPr>
        <w:t>Експресните оценки за БВП се основават на предварителни, налични към момента, месечни и тримесечни данни (обект на последващи актуализации и ревизии), на експертни оценки и модели за поведението на компоненти в състава на БВП, за които към момента на изчисленията не е налична директна базисна информация.</w:t>
      </w:r>
    </w:p>
    <w:p w14:paraId="339CB62A" w14:textId="77777777" w:rsidR="003609D9" w:rsidRPr="004950FF" w:rsidRDefault="003609D9" w:rsidP="003609D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950FF">
        <w:rPr>
          <w:rFonts w:ascii="Verdana" w:eastAsia="Μοντέρνα" w:hAnsi="Verdana" w:cs="Times New Roman"/>
          <w:sz w:val="20"/>
          <w:szCs w:val="20"/>
          <w:lang w:eastAsia="bg-BG"/>
        </w:rPr>
        <w:t>Разработените експресни оценки за второто тримесечие на 2024 г. са подготвени в срок от 42 дни след отчетния период. Те са представени в стандартен формат за публикуване на тримесечните данни на националните сметки - темпове на прираст, получени от сезонно изгладени данни спрямо предходното тримесечие и спрямо същото тримесечие на предходната година, стойностен обем в текущи цени и относителни дялове на компонентите в състава на БВП.</w:t>
      </w:r>
    </w:p>
    <w:p w14:paraId="1E052EDE" w14:textId="77777777" w:rsidR="003609D9" w:rsidRPr="004950FF" w:rsidRDefault="003609D9" w:rsidP="003609D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950FF">
        <w:rPr>
          <w:rFonts w:ascii="Verdana" w:eastAsia="Μοντέρνα" w:hAnsi="Verdana" w:cs="Times New Roman"/>
          <w:sz w:val="20"/>
          <w:szCs w:val="20"/>
          <w:lang w:eastAsia="bg-BG"/>
        </w:rPr>
        <w:t>Съгласно Календара за разпространение на резултатите от статистическите изследвания НСИ ще подготви и публикува предварителни оценки за</w:t>
      </w:r>
      <w:r w:rsidR="002437AE" w:rsidRPr="004950F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тримесечните данни за БВП за второто</w:t>
      </w:r>
      <w:r w:rsidRPr="004950F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 г. на 5 септември 2024 година.</w:t>
      </w:r>
    </w:p>
    <w:p w14:paraId="47E3CAAC" w14:textId="77777777" w:rsidR="003609D9" w:rsidRPr="00664645" w:rsidRDefault="003609D9" w:rsidP="003609D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950F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Сезонното изглаждане на статистическите показатели в НСИ се осъществява чрез прилагане на алгоритъма TRAMO/SEATS по методология, описана в </w:t>
      </w:r>
      <w:hyperlink r:id="rId9" w:tooltip="ESS Guidelines on Seasonal Adjustment" w:history="1">
        <w:r w:rsidRPr="004950FF">
          <w:rPr>
            <w:rFonts w:ascii="Verdana" w:eastAsia="Μοντέρνα" w:hAnsi="Verdana" w:cs="Times New Roman"/>
            <w:sz w:val="20"/>
            <w:szCs w:val="20"/>
            <w:lang w:eastAsia="bg-BG"/>
          </w:rPr>
          <w:t>Ръководството на Европейската статистическа система за сезонно изглаждане</w:t>
        </w:r>
      </w:hyperlink>
      <w:r w:rsidRPr="004950FF">
        <w:rPr>
          <w:rFonts w:ascii="Verdana" w:eastAsia="Μοντέρνα" w:hAnsi="Verdana" w:cs="Times New Roman"/>
          <w:sz w:val="20"/>
          <w:szCs w:val="20"/>
          <w:lang w:eastAsia="bg-BG"/>
        </w:rPr>
        <w:t>. На сезонно изглаждане се подлагат тримесечните данни за компонентите на БВП по производствения метод и по компоненти на разходите за крайно използване. Прилага се директен метод за сезонно изглаждане, при който агрегираните показатели и техните компоненти се подлагат на самостоятелно изглаждане</w:t>
      </w:r>
      <w:r w:rsidRPr="004B5D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08E30207" w14:textId="77777777" w:rsidR="003609D9" w:rsidRDefault="003609D9" w:rsidP="003609D9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07D17C58" w14:textId="77777777" w:rsidR="003609D9" w:rsidRPr="008544B7" w:rsidRDefault="003609D9" w:rsidP="003609D9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A9BFF7C" w14:textId="77777777" w:rsidR="003609D9" w:rsidRPr="00AF6A83" w:rsidRDefault="003609D9" w:rsidP="003609D9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1DA4DE6A" w14:textId="77777777" w:rsidR="003609D9" w:rsidRPr="00AF6A83" w:rsidRDefault="003609D9" w:rsidP="003609D9">
      <w:pPr>
        <w:pStyle w:val="NoSpacing"/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AF6A83">
        <w:rPr>
          <w:rFonts w:ascii="Verdana" w:hAnsi="Verdana"/>
          <w:b/>
          <w:sz w:val="20"/>
          <w:szCs w:val="20"/>
          <w:lang w:eastAsia="bg-BG"/>
        </w:rPr>
        <w:t>Темп на прираст на БВП - общо и по компоненти,</w:t>
      </w:r>
      <w:r>
        <w:rPr>
          <w:rFonts w:ascii="Verdana" w:hAnsi="Verdana"/>
          <w:b/>
          <w:sz w:val="20"/>
          <w:szCs w:val="20"/>
          <w:lang w:eastAsia="bg-BG"/>
        </w:rPr>
        <w:t xml:space="preserve"> </w:t>
      </w:r>
      <w:r w:rsidRPr="00AF6A83">
        <w:rPr>
          <w:rFonts w:ascii="Verdana" w:hAnsi="Verdana"/>
          <w:b/>
          <w:sz w:val="20"/>
          <w:szCs w:val="20"/>
          <w:lang w:eastAsia="bg-BG"/>
        </w:rPr>
        <w:t>сезонно изгладени данни, експресни оценки</w:t>
      </w:r>
    </w:p>
    <w:p w14:paraId="58F53BFB" w14:textId="40FE7875" w:rsidR="003609D9" w:rsidRPr="00AE4E5B" w:rsidRDefault="003609D9" w:rsidP="006909B7">
      <w:pPr>
        <w:spacing w:before="100" w:beforeAutospacing="1" w:line="360" w:lineRule="auto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8544B7">
        <w:rPr>
          <w:rFonts w:ascii="Verdana" w:eastAsia="Times New Roman" w:hAnsi="Verdana" w:cs="Times New Roman"/>
          <w:i/>
          <w:sz w:val="16"/>
          <w:szCs w:val="16"/>
          <w:lang w:eastAsia="bg-BG"/>
        </w:rPr>
        <w:t xml:space="preserve"> </w:t>
      </w:r>
      <w:r w:rsidRPr="00AE4E5B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tbl>
      <w:tblPr>
        <w:tblW w:w="492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539"/>
        <w:gridCol w:w="687"/>
        <w:gridCol w:w="678"/>
        <w:gridCol w:w="109"/>
        <w:gridCol w:w="534"/>
        <w:gridCol w:w="120"/>
        <w:gridCol w:w="632"/>
        <w:gridCol w:w="762"/>
        <w:gridCol w:w="848"/>
        <w:gridCol w:w="705"/>
        <w:gridCol w:w="709"/>
      </w:tblGrid>
      <w:tr w:rsidR="003609D9" w:rsidRPr="000F72AE" w14:paraId="11B98D4E" w14:textId="77777777" w:rsidTr="003548CF">
        <w:trPr>
          <w:trHeight w:val="53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438" w14:textId="77777777" w:rsidR="003609D9" w:rsidRPr="00664645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1BB" w14:textId="77777777" w:rsidR="003609D9" w:rsidRPr="00664645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4785" w14:textId="77777777" w:rsidR="003609D9" w:rsidRPr="00AE4E5B" w:rsidRDefault="003609D9" w:rsidP="003548CF">
            <w:pPr>
              <w:pStyle w:val="NoSpacing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Темп на прираст спрямо предходното тримесечие</w:t>
            </w:r>
          </w:p>
        </w:tc>
        <w:tc>
          <w:tcPr>
            <w:tcW w:w="1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AB70" w14:textId="77777777" w:rsidR="003609D9" w:rsidRPr="00AE4E5B" w:rsidRDefault="003609D9" w:rsidP="003548CF">
            <w:pPr>
              <w:pStyle w:val="NoSpacing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Темп на прираст спрямо съответното тримесечие на предходната година</w:t>
            </w:r>
          </w:p>
        </w:tc>
      </w:tr>
      <w:tr w:rsidR="003609D9" w:rsidRPr="00C11E1F" w14:paraId="3F35BABA" w14:textId="77777777" w:rsidTr="003548CF">
        <w:trPr>
          <w:trHeight w:val="36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3DC" w14:textId="5B80BEA9" w:rsidR="003609D9" w:rsidRPr="00C11E1F" w:rsidRDefault="00313EE5" w:rsidP="003548C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D14" w14:textId="525A6871" w:rsidR="003609D9" w:rsidRPr="00C11E1F" w:rsidRDefault="00313EE5" w:rsidP="003548C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</w:rPr>
              <w:t>Показател</w:t>
            </w:r>
            <w:r w:rsidR="007963BC">
              <w:rPr>
                <w:rFonts w:ascii="Verdana" w:hAnsi="Verdana"/>
                <w:b/>
                <w:sz w:val="16"/>
                <w:szCs w:val="16"/>
              </w:rPr>
              <w:t>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DE9" w14:textId="77777777" w:rsidR="003609D9" w:rsidRPr="00C11E1F" w:rsidRDefault="003609D9" w:rsidP="003548CF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  <w:lang w:val="en-US"/>
              </w:rPr>
              <w:t>I</w:t>
            </w:r>
            <w:r w:rsidRPr="00C11E1F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C11E1F">
              <w:rPr>
                <w:rFonts w:ascii="Verdana" w:hAnsi="Verdana"/>
                <w:b/>
                <w:sz w:val="16"/>
                <w:szCs w:val="16"/>
                <w:lang w:val="en-US"/>
              </w:rPr>
              <w:t>I</w:t>
            </w:r>
            <w:r w:rsidRPr="00C11E1F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EB8" w14:textId="77777777" w:rsidR="003609D9" w:rsidRPr="00C11E1F" w:rsidRDefault="003609D9" w:rsidP="003548CF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  <w:lang w:val="en-US"/>
              </w:rPr>
              <w:t>IV</w:t>
            </w:r>
            <w:r w:rsidRPr="00C11E1F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1932" w14:textId="77777777" w:rsidR="003609D9" w:rsidRPr="00C11E1F" w:rsidRDefault="003609D9" w:rsidP="003548CF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  <w:lang w:val="en-US"/>
              </w:rPr>
              <w:t>I</w:t>
            </w:r>
            <w:r w:rsidRPr="00C11E1F">
              <w:rPr>
                <w:rFonts w:ascii="Verdana" w:hAnsi="Verdana"/>
                <w:b/>
                <w:sz w:val="16"/>
                <w:szCs w:val="16"/>
              </w:rPr>
              <w:t xml:space="preserve"> 2024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72C5" w14:textId="77777777" w:rsidR="003609D9" w:rsidRPr="00C11E1F" w:rsidRDefault="003609D9" w:rsidP="003548CF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  <w:lang w:val="en-US"/>
              </w:rPr>
              <w:t>I</w:t>
            </w:r>
            <w:r w:rsidRPr="00C11E1F">
              <w:rPr>
                <w:rFonts w:ascii="Verdana" w:hAnsi="Verdana"/>
                <w:b/>
                <w:sz w:val="16"/>
                <w:szCs w:val="16"/>
              </w:rPr>
              <w:t>I 2024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E714" w14:textId="77777777" w:rsidR="003609D9" w:rsidRPr="00C11E1F" w:rsidRDefault="003609D9" w:rsidP="003548CF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  <w:lang w:val="en-US"/>
              </w:rPr>
              <w:t>III</w:t>
            </w:r>
            <w:r w:rsidRPr="00C11E1F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93E" w14:textId="77777777" w:rsidR="003609D9" w:rsidRPr="00C11E1F" w:rsidRDefault="003609D9" w:rsidP="003548CF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  <w:lang w:val="en-US"/>
              </w:rPr>
              <w:t>IV</w:t>
            </w:r>
            <w:r w:rsidRPr="00C11E1F"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443D" w14:textId="77777777" w:rsidR="003609D9" w:rsidRPr="00C11E1F" w:rsidRDefault="003609D9" w:rsidP="003548CF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</w:rPr>
              <w:t>I 2024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7AEE" w14:textId="77777777" w:rsidR="003609D9" w:rsidRPr="00C11E1F" w:rsidRDefault="003609D9" w:rsidP="003548CF">
            <w:pPr>
              <w:pStyle w:val="NoSpacing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11E1F">
              <w:rPr>
                <w:rFonts w:ascii="Verdana" w:hAnsi="Verdana"/>
                <w:b/>
                <w:sz w:val="16"/>
                <w:szCs w:val="16"/>
                <w:lang w:val="en-US"/>
              </w:rPr>
              <w:t>II</w:t>
            </w:r>
            <w:r w:rsidRPr="00C11E1F">
              <w:rPr>
                <w:rFonts w:ascii="Verdana" w:hAnsi="Verdana"/>
                <w:b/>
                <w:sz w:val="16"/>
                <w:szCs w:val="16"/>
              </w:rPr>
              <w:t xml:space="preserve"> 2024</w:t>
            </w:r>
          </w:p>
        </w:tc>
      </w:tr>
      <w:tr w:rsidR="003609D9" w:rsidRPr="00242E34" w14:paraId="74CECEB9" w14:textId="77777777" w:rsidTr="003548CF">
        <w:trPr>
          <w:trHeight w:val="49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9493D" w14:textId="77777777" w:rsidR="003609D9" w:rsidRPr="00AE4E5B" w:rsidRDefault="003609D9" w:rsidP="003548C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B7092" w14:textId="77777777" w:rsidR="003609D9" w:rsidRPr="00AE4E5B" w:rsidRDefault="003609D9" w:rsidP="003548C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Брутна добавена стойност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6A487D" w14:textId="77777777" w:rsidR="003609D9" w:rsidRPr="00D36F76" w:rsidRDefault="003609D9" w:rsidP="003548CF">
            <w:pPr>
              <w:pStyle w:val="NoSpacing"/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 w:eastAsia="en-GB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 w:eastAsia="en-GB"/>
              </w:rPr>
              <w:t>0.3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BA6C6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E9B8B9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1.0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604CEC" w14:textId="77777777" w:rsidR="003609D9" w:rsidRPr="00D36F76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73F105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F22D3F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BEC153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2.2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0B5528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1.9</w:t>
            </w:r>
          </w:p>
        </w:tc>
      </w:tr>
      <w:tr w:rsidR="003609D9" w:rsidRPr="00704BC9" w14:paraId="0062B8DF" w14:textId="77777777" w:rsidTr="003548CF">
        <w:trPr>
          <w:trHeight w:val="413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D7E54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41E61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Корективи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E3C1E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1.6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50C50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1.7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227F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-1.3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B615EA" w14:textId="77777777" w:rsidR="003609D9" w:rsidRPr="00F40C80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2.0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37930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8.5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15B4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9.8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908D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545C39" w14:textId="77777777" w:rsidR="003609D9" w:rsidRPr="007C6AED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4.0</w:t>
            </w:r>
          </w:p>
        </w:tc>
      </w:tr>
      <w:tr w:rsidR="003609D9" w:rsidRPr="00242E34" w14:paraId="7121BF24" w14:textId="77777777" w:rsidTr="003548CF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B0565" w14:textId="77777777" w:rsidR="003609D9" w:rsidRPr="00AE4E5B" w:rsidRDefault="003609D9" w:rsidP="003548C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AF159" w14:textId="77777777" w:rsidR="003609D9" w:rsidRPr="00AE4E5B" w:rsidRDefault="003609D9" w:rsidP="003548C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AE4E5B">
              <w:rPr>
                <w:rFonts w:ascii="Verdana" w:hAnsi="Verdana"/>
                <w:b/>
                <w:sz w:val="16"/>
                <w:szCs w:val="16"/>
              </w:rPr>
              <w:t>Брутен вътрешен продукт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39BCA5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6F38F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AB42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8FBFC" w14:textId="77777777" w:rsidR="003609D9" w:rsidRPr="00F40C80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7D9DF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1.8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2C6F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1.7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B71CC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1.9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95FEC" w14:textId="77777777" w:rsidR="003609D9" w:rsidRPr="007C6AED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b/>
                <w:sz w:val="16"/>
                <w:szCs w:val="16"/>
                <w:lang w:val="en-US" w:eastAsia="bg-BG"/>
              </w:rPr>
              <w:t>2.0</w:t>
            </w:r>
          </w:p>
        </w:tc>
      </w:tr>
      <w:tr w:rsidR="003609D9" w:rsidRPr="00704BC9" w14:paraId="4F67F080" w14:textId="77777777" w:rsidTr="003548CF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EC330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2CCB2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По елементи на крайното използване: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F3B4B6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8811B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E497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75165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EA4FAF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FA4B1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1C60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3754E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eastAsia="bg-BG"/>
              </w:rPr>
            </w:pPr>
          </w:p>
        </w:tc>
      </w:tr>
      <w:tr w:rsidR="003609D9" w:rsidRPr="00704BC9" w14:paraId="40D1E2E8" w14:textId="77777777" w:rsidTr="003548CF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D0F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D4B21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Крайно потребление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E8134B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0A13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44EF9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678A6" w14:textId="77777777" w:rsidR="003609D9" w:rsidRPr="00F17CCA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9F8278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4.1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33B3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52867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3.4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3BD11B" w14:textId="77777777" w:rsidR="003609D9" w:rsidRPr="006E7B0E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2.8</w:t>
            </w:r>
          </w:p>
        </w:tc>
      </w:tr>
      <w:tr w:rsidR="003609D9" w:rsidRPr="00704BC9" w14:paraId="26826531" w14:textId="77777777" w:rsidTr="003548CF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ABFEA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1417D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Бруто капиталообразуване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5A04D8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8A14B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9762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C5BFA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14355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118F4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12E5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BCB542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 w:rsidRPr="00AE4E5B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.</w:t>
            </w:r>
          </w:p>
        </w:tc>
      </w:tr>
      <w:tr w:rsidR="003609D9" w:rsidRPr="00704BC9" w14:paraId="0CF82E5D" w14:textId="77777777" w:rsidTr="003548CF">
        <w:trPr>
          <w:trHeight w:val="636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0D5D3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F55D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 xml:space="preserve"> в т.ч. бруто образуване на  основен капитал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1CD868" w14:textId="77777777" w:rsidR="003609D9" w:rsidRPr="00AE4E5B" w:rsidRDefault="005476B3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7.2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71601" w14:textId="77777777" w:rsidR="003609D9" w:rsidRPr="00AE4E5B" w:rsidRDefault="005476B3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-0.9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E088" w14:textId="77777777" w:rsidR="003609D9" w:rsidRPr="00AE4E5B" w:rsidRDefault="005476B3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-0.3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995C6" w14:textId="77777777" w:rsidR="003609D9" w:rsidRPr="00F17CCA" w:rsidRDefault="005476B3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0.0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83BB00" w14:textId="77777777" w:rsidR="003609D9" w:rsidRPr="00AE4E5B" w:rsidRDefault="005476B3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9.5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9C265" w14:textId="77777777" w:rsidR="003609D9" w:rsidRPr="00AE4E5B" w:rsidRDefault="005476B3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 xml:space="preserve">    4.2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7CE7" w14:textId="77777777" w:rsidR="003609D9" w:rsidRPr="00AE4E5B" w:rsidRDefault="005476B3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 xml:space="preserve"> 9.0</w:t>
            </w:r>
            <w:r w:rsidR="003609D9"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 xml:space="preserve"> 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B6616" w14:textId="77777777" w:rsidR="003609D9" w:rsidRPr="003F6A00" w:rsidRDefault="005476B3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6.0</w:t>
            </w:r>
          </w:p>
        </w:tc>
      </w:tr>
      <w:tr w:rsidR="003609D9" w:rsidRPr="00704BC9" w14:paraId="34E15FFA" w14:textId="77777777" w:rsidTr="003548CF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76D7E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04E18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Износ на стоки и услуги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50C7F5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E8A9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1.1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14906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-2.1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B5CC6" w14:textId="77777777" w:rsidR="003609D9" w:rsidRPr="00F17CCA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2.3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2D97E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-3.2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8E23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-2.1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FCCFA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-2.1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775AC1" w14:textId="77777777" w:rsidR="003609D9" w:rsidRPr="000B075E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0.9</w:t>
            </w:r>
          </w:p>
        </w:tc>
      </w:tr>
      <w:tr w:rsidR="003609D9" w:rsidRPr="00704BC9" w14:paraId="4171CA22" w14:textId="77777777" w:rsidTr="003548CF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6B2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271" w14:textId="77777777" w:rsidR="003609D9" w:rsidRPr="00AE4E5B" w:rsidRDefault="003609D9" w:rsidP="003548CF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AE4E5B">
              <w:rPr>
                <w:rFonts w:ascii="Verdana" w:hAnsi="Verdana"/>
                <w:sz w:val="16"/>
                <w:szCs w:val="16"/>
              </w:rPr>
              <w:t>Внос на стоки и услуги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2F27B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D32D3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38FD5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-1.8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1CDA5" w14:textId="77777777" w:rsidR="003609D9" w:rsidRPr="00F17CCA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0.1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B2906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-6.9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1D593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-4.5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B2EC2" w14:textId="77777777" w:rsidR="003609D9" w:rsidRPr="00AE4E5B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-3.8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B7D2" w14:textId="77777777" w:rsidR="003609D9" w:rsidRPr="000B075E" w:rsidRDefault="003609D9" w:rsidP="003548CF">
            <w:pPr>
              <w:pStyle w:val="NoSpacing"/>
              <w:jc w:val="right"/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/>
                <w:sz w:val="16"/>
                <w:szCs w:val="16"/>
                <w:lang w:val="en-US" w:eastAsia="bg-BG"/>
              </w:rPr>
              <w:t>2.5</w:t>
            </w:r>
          </w:p>
        </w:tc>
      </w:tr>
    </w:tbl>
    <w:p w14:paraId="456441D5" w14:textId="77777777" w:rsidR="003609D9" w:rsidRPr="008544B7" w:rsidRDefault="003609D9" w:rsidP="003609D9">
      <w:pPr>
        <w:tabs>
          <w:tab w:val="left" w:pos="2325"/>
        </w:tabs>
        <w:spacing w:before="100" w:beforeAutospacing="1" w:line="360" w:lineRule="auto"/>
        <w:ind w:firstLine="567"/>
        <w:jc w:val="both"/>
        <w:rPr>
          <w:rFonts w:ascii="Verdana" w:eastAsia="Μοντέρνα" w:hAnsi="Verdana" w:cs="Times New Roman"/>
          <w:sz w:val="14"/>
          <w:szCs w:val="14"/>
          <w:lang w:eastAsia="bg-BG"/>
        </w:rPr>
      </w:pPr>
    </w:p>
    <w:p w14:paraId="323E6D29" w14:textId="77777777" w:rsidR="003609D9" w:rsidRPr="008544B7" w:rsidRDefault="003609D9" w:rsidP="003609D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1FEE7D23" w14:textId="77777777" w:rsidR="003609D9" w:rsidRPr="008544B7" w:rsidRDefault="003609D9" w:rsidP="003609D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1B4366E2" w14:textId="77777777" w:rsidR="003609D9" w:rsidRPr="008544B7" w:rsidRDefault="003609D9" w:rsidP="003609D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03CEA44D" w14:textId="77777777" w:rsidR="003609D9" w:rsidRPr="008544B7" w:rsidRDefault="003609D9" w:rsidP="003609D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2981DA4B" w14:textId="77777777" w:rsidR="003609D9" w:rsidRDefault="003609D9" w:rsidP="003609D9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75A02B30" w14:textId="77777777" w:rsidR="003609D9" w:rsidRDefault="003609D9" w:rsidP="003609D9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1CA5B644" w14:textId="77777777" w:rsidR="003609D9" w:rsidRPr="008544B7" w:rsidRDefault="003609D9" w:rsidP="003609D9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1C4E22DA" w14:textId="77777777" w:rsidR="003609D9" w:rsidRPr="008544B7" w:rsidRDefault="003609D9" w:rsidP="003609D9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544B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ab/>
        <w:t>Таблица 2</w:t>
      </w:r>
    </w:p>
    <w:p w14:paraId="7C9BB7FE" w14:textId="77777777" w:rsidR="003609D9" w:rsidRPr="00EB67C6" w:rsidRDefault="003609D9" w:rsidP="003609D9">
      <w:pPr>
        <w:pStyle w:val="NoSpacing"/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EB67C6">
        <w:rPr>
          <w:rFonts w:ascii="Verdana" w:hAnsi="Verdana"/>
          <w:b/>
          <w:sz w:val="20"/>
          <w:szCs w:val="20"/>
          <w:lang w:eastAsia="bg-BG"/>
        </w:rPr>
        <w:t>Бр</w:t>
      </w:r>
      <w:r>
        <w:rPr>
          <w:rFonts w:ascii="Verdana" w:hAnsi="Verdana"/>
          <w:b/>
          <w:sz w:val="20"/>
          <w:szCs w:val="20"/>
          <w:lang w:eastAsia="bg-BG"/>
        </w:rPr>
        <w:t>утен вътрешен продукт за второто</w:t>
      </w:r>
      <w:r w:rsidRPr="00EB67C6">
        <w:rPr>
          <w:rFonts w:ascii="Verdana" w:hAnsi="Verdana"/>
          <w:b/>
          <w:sz w:val="20"/>
          <w:szCs w:val="20"/>
          <w:lang w:eastAsia="bg-BG"/>
        </w:rPr>
        <w:t xml:space="preserve"> тримесечие на 2024 година,</w:t>
      </w:r>
      <w:r>
        <w:rPr>
          <w:rFonts w:ascii="Verdana" w:hAnsi="Verdana"/>
          <w:b/>
          <w:sz w:val="20"/>
          <w:szCs w:val="20"/>
          <w:lang w:eastAsia="bg-BG"/>
        </w:rPr>
        <w:t xml:space="preserve"> </w:t>
      </w:r>
      <w:r w:rsidRPr="00EB67C6">
        <w:rPr>
          <w:rFonts w:ascii="Verdana" w:hAnsi="Verdana"/>
          <w:b/>
          <w:sz w:val="20"/>
          <w:szCs w:val="20"/>
          <w:lang w:eastAsia="bg-BG"/>
        </w:rPr>
        <w:t>сезонно</w:t>
      </w:r>
      <w:r>
        <w:rPr>
          <w:rFonts w:ascii="Verdana" w:hAnsi="Verdana"/>
          <w:b/>
          <w:sz w:val="20"/>
          <w:szCs w:val="20"/>
          <w:lang w:eastAsia="bg-BG"/>
        </w:rPr>
        <w:t> </w:t>
      </w:r>
      <w:r w:rsidRPr="00EB67C6">
        <w:rPr>
          <w:rFonts w:ascii="Verdana" w:hAnsi="Verdana"/>
          <w:b/>
          <w:sz w:val="20"/>
          <w:szCs w:val="20"/>
          <w:lang w:eastAsia="bg-BG"/>
        </w:rPr>
        <w:t>неизгладени данни, експресни оценки</w:t>
      </w:r>
    </w:p>
    <w:p w14:paraId="7CEE9151" w14:textId="77777777" w:rsidR="003609D9" w:rsidRPr="008544B7" w:rsidRDefault="003609D9" w:rsidP="003609D9">
      <w:pPr>
        <w:spacing w:before="100" w:beforeAutospacing="1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W w:w="4733" w:type="pct"/>
        <w:tblInd w:w="4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4154"/>
        <w:gridCol w:w="1841"/>
        <w:gridCol w:w="1613"/>
      </w:tblGrid>
      <w:tr w:rsidR="003609D9" w:rsidRPr="006909B7" w14:paraId="2C069C2D" w14:textId="77777777" w:rsidTr="006909B7">
        <w:trPr>
          <w:trHeight w:val="414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49CEFA" w14:textId="02739C5B" w:rsidR="003609D9" w:rsidRPr="006909B7" w:rsidRDefault="00313EE5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6909B7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№</w:t>
            </w:r>
            <w:r w:rsidR="003609D9" w:rsidRPr="006909B7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964515" w14:textId="65789A9F" w:rsidR="003609D9" w:rsidRPr="006909B7" w:rsidRDefault="00313EE5" w:rsidP="006909B7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6909B7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E4FE8F" w14:textId="77777777" w:rsidR="003609D9" w:rsidRPr="006909B7" w:rsidRDefault="003609D9" w:rsidP="003548CF">
            <w:pPr>
              <w:spacing w:before="100" w:beforeAutospacing="1" w:line="36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6909B7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Второ тримесечие на 2024 година</w:t>
            </w:r>
          </w:p>
        </w:tc>
      </w:tr>
      <w:tr w:rsidR="003609D9" w:rsidRPr="00ED4FEC" w14:paraId="658BBF0C" w14:textId="77777777" w:rsidTr="006909B7">
        <w:trPr>
          <w:trHeight w:val="531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2373A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6D7C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DF77B" w14:textId="77777777" w:rsidR="003609D9" w:rsidRPr="00DE3914" w:rsidRDefault="003609D9" w:rsidP="003548CF">
            <w:pPr>
              <w:tabs>
                <w:tab w:val="left" w:pos="2"/>
              </w:tabs>
              <w:spacing w:before="100" w:beforeAutospacing="1" w:line="360" w:lineRule="auto"/>
              <w:ind w:left="2" w:right="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Стойностен обем в текущи цени, млн.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 </w:t>
            </w: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лв.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DD76" w14:textId="77777777" w:rsidR="003609D9" w:rsidRPr="00DE3914" w:rsidRDefault="003609D9" w:rsidP="003548CF">
            <w:pPr>
              <w:spacing w:before="100" w:beforeAutospacing="1" w:line="360" w:lineRule="auto"/>
              <w:ind w:right="136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Относителен дял в БВП, %</w:t>
            </w:r>
          </w:p>
        </w:tc>
      </w:tr>
      <w:tr w:rsidR="003609D9" w:rsidRPr="00ED4FEC" w14:paraId="205CF1DF" w14:textId="77777777" w:rsidTr="006909B7">
        <w:trPr>
          <w:trHeight w:val="8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2D1EA1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FCD637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2B9A6" w14:textId="77777777" w:rsidR="003609D9" w:rsidRPr="00DE3914" w:rsidRDefault="003609D9" w:rsidP="003548CF">
            <w:pPr>
              <w:tabs>
                <w:tab w:val="left" w:pos="1416"/>
              </w:tabs>
              <w:spacing w:before="100" w:beforeAutospacing="1" w:line="360" w:lineRule="auto"/>
              <w:ind w:right="400"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8DB96" w14:textId="77777777" w:rsidR="003609D9" w:rsidRPr="00DE3914" w:rsidRDefault="003609D9" w:rsidP="003548CF">
            <w:pPr>
              <w:spacing w:before="100" w:beforeAutospacing="1" w:line="360" w:lineRule="auto"/>
              <w:ind w:right="400"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3609D9" w:rsidRPr="00ED4FEC" w14:paraId="00918A8D" w14:textId="77777777" w:rsidTr="006909B7">
        <w:trPr>
          <w:trHeight w:hRule="exact" w:val="423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AC77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00A67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Брутна добавена стойност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DB98" w14:textId="77777777" w:rsidR="003609D9" w:rsidRPr="00735E4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39152.7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4FAD" w14:textId="77777777" w:rsidR="003609D9" w:rsidRPr="00735E4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86.7</w:t>
            </w:r>
          </w:p>
        </w:tc>
      </w:tr>
      <w:tr w:rsidR="003609D9" w:rsidRPr="00ED4FEC" w14:paraId="28FCF43D" w14:textId="77777777" w:rsidTr="006909B7">
        <w:trPr>
          <w:trHeight w:hRule="exact" w:val="423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E982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71976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Корективи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A51F" w14:textId="77777777" w:rsidR="003609D9" w:rsidRPr="00735E4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5997.5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8DA0" w14:textId="77777777" w:rsidR="003609D9" w:rsidRPr="00735E4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13.3</w:t>
            </w:r>
          </w:p>
        </w:tc>
      </w:tr>
      <w:tr w:rsidR="003609D9" w:rsidRPr="00ED4FEC" w14:paraId="4CBA48CC" w14:textId="77777777" w:rsidTr="006909B7">
        <w:trPr>
          <w:trHeight w:hRule="exact" w:val="652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9C16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AACE5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Брутен вътрешен продукт (1+2=4+5+6+9)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89CF" w14:textId="77777777" w:rsidR="003609D9" w:rsidRPr="00735E4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45150.2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A204" w14:textId="77777777" w:rsidR="003609D9" w:rsidRPr="00DE391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100.0</w:t>
            </w:r>
          </w:p>
        </w:tc>
      </w:tr>
      <w:tr w:rsidR="003609D9" w:rsidRPr="00ED4FEC" w14:paraId="529AE90D" w14:textId="77777777" w:rsidTr="006909B7">
        <w:trPr>
          <w:trHeight w:hRule="exact" w:val="423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8FAE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FCA52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По елементи на крайното използване: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89E6" w14:textId="77777777" w:rsidR="003609D9" w:rsidRPr="00DE391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1BCB" w14:textId="77777777" w:rsidR="003609D9" w:rsidRPr="00DE391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3609D9" w:rsidRPr="00ED4FEC" w14:paraId="726E817A" w14:textId="77777777" w:rsidTr="006909B7">
        <w:trPr>
          <w:trHeight w:hRule="exact" w:val="423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7B4F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392D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Крайно потребление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4506" w14:textId="77777777" w:rsidR="003609D9" w:rsidRPr="0043328C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36573.5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AA35" w14:textId="77777777" w:rsidR="003609D9" w:rsidRPr="000329BB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81.0</w:t>
            </w:r>
          </w:p>
        </w:tc>
      </w:tr>
      <w:tr w:rsidR="003609D9" w:rsidRPr="00ED4FEC" w14:paraId="290401EE" w14:textId="77777777" w:rsidTr="006909B7">
        <w:trPr>
          <w:trHeight w:hRule="exact" w:val="423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1770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EFBD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Бруто капиталообразуване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0D82" w14:textId="77777777" w:rsidR="003609D9" w:rsidRPr="00DE391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7818.5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2AFC" w14:textId="77777777" w:rsidR="003609D9" w:rsidRPr="000329BB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17.3</w:t>
            </w:r>
          </w:p>
        </w:tc>
      </w:tr>
      <w:tr w:rsidR="003609D9" w:rsidRPr="00ED4FEC" w14:paraId="066EF388" w14:textId="77777777" w:rsidTr="006909B7">
        <w:trPr>
          <w:trHeight w:hRule="exact" w:val="423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CF05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B834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Външнотърговско салдо (7 - 8)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5E02" w14:textId="77777777" w:rsidR="003609D9" w:rsidRPr="0043328C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758.2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58A2" w14:textId="77777777" w:rsidR="003609D9" w:rsidRPr="000329BB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1.7</w:t>
            </w:r>
          </w:p>
        </w:tc>
      </w:tr>
      <w:tr w:rsidR="003609D9" w:rsidRPr="00ED4FEC" w14:paraId="50077E7A" w14:textId="77777777" w:rsidTr="006909B7">
        <w:trPr>
          <w:trHeight w:hRule="exact" w:val="423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501E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7E94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Износ на стоки и услуги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A8AB" w14:textId="77777777" w:rsidR="003609D9" w:rsidRPr="0043328C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27481.5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64BD" w14:textId="77777777" w:rsidR="003609D9" w:rsidRPr="000329BB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60.9</w:t>
            </w:r>
          </w:p>
        </w:tc>
      </w:tr>
      <w:tr w:rsidR="003609D9" w:rsidRPr="00ED4FEC" w14:paraId="2AE5BCE7" w14:textId="77777777" w:rsidTr="006909B7">
        <w:trPr>
          <w:trHeight w:hRule="exact" w:val="423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E3AA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C653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Внос на стоки и услуги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48A0" w14:textId="77777777" w:rsidR="003609D9" w:rsidRPr="0043328C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26723.3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0050" w14:textId="77777777" w:rsidR="003609D9" w:rsidRPr="000329BB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59.2</w:t>
            </w:r>
          </w:p>
        </w:tc>
      </w:tr>
      <w:tr w:rsidR="003609D9" w:rsidRPr="00ED4FEC" w14:paraId="735ADC53" w14:textId="77777777" w:rsidTr="006909B7">
        <w:trPr>
          <w:trHeight w:hRule="exact" w:val="425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BA77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4B30" w14:textId="77777777" w:rsidR="003609D9" w:rsidRPr="00DE3914" w:rsidRDefault="003609D9" w:rsidP="003548CF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Статистическа разлика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2FC1" w14:textId="77777777" w:rsidR="003609D9" w:rsidRPr="00DE391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0.0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C540" w14:textId="77777777" w:rsidR="003609D9" w:rsidRPr="00DE391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DE391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0.0</w:t>
            </w:r>
          </w:p>
        </w:tc>
      </w:tr>
      <w:tr w:rsidR="003609D9" w:rsidRPr="00ED4FEC" w14:paraId="2C532823" w14:textId="77777777" w:rsidTr="006909B7">
        <w:trPr>
          <w:trHeight w:val="66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3F34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B331" w14:textId="77777777" w:rsidR="003609D9" w:rsidRPr="00DE3914" w:rsidRDefault="003609D9" w:rsidP="003548CF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17AB" w14:textId="77777777" w:rsidR="003609D9" w:rsidRPr="00DE391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F628" w14:textId="77777777" w:rsidR="003609D9" w:rsidRPr="00DE3914" w:rsidRDefault="003609D9" w:rsidP="003548CF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0D3784C2" w14:textId="77777777" w:rsidR="003609D9" w:rsidRPr="00664645" w:rsidRDefault="003609D9" w:rsidP="003609D9">
      <w:pPr>
        <w:rPr>
          <w:rFonts w:ascii="Verdana" w:hAnsi="Verdana"/>
          <w:sz w:val="20"/>
          <w:szCs w:val="20"/>
        </w:rPr>
      </w:pPr>
    </w:p>
    <w:p w14:paraId="20ACB5A3" w14:textId="77777777" w:rsidR="00FD731D" w:rsidRPr="00322A09" w:rsidRDefault="00FD731D" w:rsidP="00B003E2">
      <w:pPr>
        <w:spacing w:before="100" w:beforeAutospacing="1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322A09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1CC0F1CD" w14:textId="77777777" w:rsidR="00171C36" w:rsidRPr="00322A09" w:rsidRDefault="00171C36" w:rsidP="004B5DA5">
      <w:pPr>
        <w:spacing w:before="100" w:beforeAutospacing="1" w:line="360" w:lineRule="auto"/>
        <w:jc w:val="both"/>
        <w:rPr>
          <w:rFonts w:ascii="Verdana" w:hAnsi="Verdana"/>
          <w:sz w:val="20"/>
          <w:szCs w:val="20"/>
        </w:rPr>
      </w:pPr>
    </w:p>
    <w:sectPr w:rsidR="00171C36" w:rsidRPr="00322A09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B6FAF" w14:textId="77777777" w:rsidR="00396396" w:rsidRDefault="00396396" w:rsidP="00214ACA">
      <w:r>
        <w:separator/>
      </w:r>
    </w:p>
  </w:endnote>
  <w:endnote w:type="continuationSeparator" w:id="0">
    <w:p w14:paraId="3CDA767C" w14:textId="77777777" w:rsidR="00396396" w:rsidRDefault="0039639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E545C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0070875" wp14:editId="28DC1944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6D1C2" w14:textId="4DD313BA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2F6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07087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0A6D1C2" w14:textId="4DD313BA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32F6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EC2185A" wp14:editId="172D033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E162F8" wp14:editId="459EA5F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9AF9D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60B30D7" wp14:editId="365D90EE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E8DD8B9" wp14:editId="62BFF803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6FFEF" w14:textId="7AA2E0BE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2F6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DD8B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BE6FFEF" w14:textId="7AA2E0BE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32F6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3C8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842068E" wp14:editId="38023CE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8E7DA36" wp14:editId="01AB377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EC97E" w14:textId="2A4FD426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2F6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E7DA3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11DEC97E" w14:textId="2A4FD426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32F6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207B8EA6" wp14:editId="3F1C358C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7F27025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3AAD" w14:textId="77777777" w:rsidR="00396396" w:rsidRDefault="00396396" w:rsidP="00214ACA">
      <w:r>
        <w:separator/>
      </w:r>
    </w:p>
  </w:footnote>
  <w:footnote w:type="continuationSeparator" w:id="0">
    <w:p w14:paraId="47D6ECEA" w14:textId="77777777" w:rsidR="00396396" w:rsidRDefault="00396396" w:rsidP="00214ACA">
      <w:r>
        <w:continuationSeparator/>
      </w:r>
    </w:p>
  </w:footnote>
  <w:footnote w:id="1">
    <w:p w14:paraId="383F1207" w14:textId="77777777" w:rsidR="003609D9" w:rsidRPr="0046020C" w:rsidRDefault="003609D9" w:rsidP="003609D9">
      <w:pPr>
        <w:pStyle w:val="FootnoteText"/>
        <w:jc w:val="both"/>
        <w:rPr>
          <w:rFonts w:ascii="Verdana" w:hAnsi="Verdana"/>
          <w:sz w:val="16"/>
          <w:szCs w:val="16"/>
          <w:lang w:val="ru-RU"/>
        </w:rPr>
      </w:pPr>
      <w:r w:rsidRPr="00BB5F5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BB5F5A">
        <w:rPr>
          <w:rFonts w:ascii="Verdana" w:hAnsi="Verdana"/>
          <w:sz w:val="16"/>
          <w:szCs w:val="16"/>
          <w:lang w:val="ru-RU"/>
        </w:rPr>
        <w:t xml:space="preserve"> </w:t>
      </w:r>
      <w:r w:rsidRPr="00664645">
        <w:rPr>
          <w:rFonts w:ascii="Verdana" w:hAnsi="Verdana"/>
          <w:sz w:val="16"/>
          <w:szCs w:val="16"/>
          <w:lang w:val="ru-RU"/>
        </w:rPr>
        <w:t>В международната терминология се използва терминът „</w:t>
      </w:r>
      <w:r w:rsidRPr="00664645">
        <w:rPr>
          <w:rFonts w:ascii="Verdana" w:hAnsi="Verdana"/>
          <w:sz w:val="16"/>
          <w:szCs w:val="16"/>
          <w:lang w:val="en-US"/>
        </w:rPr>
        <w:t>flash</w:t>
      </w:r>
      <w:r w:rsidRPr="0046020C">
        <w:rPr>
          <w:rFonts w:ascii="Verdana" w:hAnsi="Verdana"/>
          <w:sz w:val="16"/>
          <w:szCs w:val="16"/>
          <w:lang w:val="ru-RU"/>
        </w:rPr>
        <w:t xml:space="preserve"> </w:t>
      </w:r>
      <w:r w:rsidRPr="0046020C">
        <w:rPr>
          <w:rFonts w:ascii="Verdana" w:hAnsi="Verdana"/>
          <w:sz w:val="16"/>
          <w:szCs w:val="16"/>
          <w:lang w:val="en-US"/>
        </w:rPr>
        <w:t>estimates</w:t>
      </w:r>
      <w:r w:rsidRPr="0046020C">
        <w:rPr>
          <w:rFonts w:ascii="Verdana" w:hAnsi="Verdana"/>
          <w:sz w:val="16"/>
          <w:szCs w:val="16"/>
          <w:lang w:val="ru-RU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E656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4C2751A" wp14:editId="03131594">
              <wp:simplePos x="0" y="0"/>
              <wp:positionH relativeFrom="margin">
                <wp:align>right</wp:align>
              </wp:positionH>
              <wp:positionV relativeFrom="paragraph">
                <wp:posOffset>-370840</wp:posOffset>
              </wp:positionV>
              <wp:extent cx="5972175" cy="31432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478C7" w14:textId="77777777" w:rsidR="00101DE0" w:rsidRPr="00101DE0" w:rsidRDefault="003609D9" w:rsidP="008544B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БВП през второто</w:t>
                          </w:r>
                          <w:r w:rsidR="008544B7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тримесечие на 2024 г. </w:t>
                          </w:r>
                          <w:r w:rsidR="008544B7" w:rsidRPr="008544B7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(ЕКСПРЕСНИ ОЦЕНКИ)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9.05pt;margin-top:-29.2pt;width:470.25pt;height:24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" stroked="f">
              <v:textbox>
                <w:txbxContent>
                  <w:p w:rsidR="00101DE0" w:rsidRPr="00101DE0" w:rsidRDefault="003609D9" w:rsidP="008544B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БВП през второто</w:t>
                    </w:r>
                    <w:r w:rsidR="008544B7">
                      <w:rPr>
                        <w:rFonts w:ascii="Verdana" w:hAnsi="Verdana"/>
                        <w:sz w:val="20"/>
                        <w:szCs w:val="20"/>
                      </w:rPr>
                      <w:t xml:space="preserve"> тримесечие на 2024 г. </w:t>
                    </w:r>
                    <w:r w:rsidR="008544B7" w:rsidRPr="008544B7">
                      <w:rPr>
                        <w:rFonts w:ascii="Verdana" w:hAnsi="Verdana"/>
                        <w:sz w:val="20"/>
                        <w:szCs w:val="20"/>
                      </w:rPr>
                      <w:t>(ЕКСПРЕСНИ ОЦЕНКИ)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E2F8BE9" wp14:editId="51172584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CE0E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2513DA8" wp14:editId="31B742D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E8B8EF6" wp14:editId="2AF86C4E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75FA642" wp14:editId="4B79F51D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3CF29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54F245D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0BD29C9" wp14:editId="13F8CC1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4ABAD13E" wp14:editId="7BFA2285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1AC6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02B9A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71E1515" wp14:editId="081BC137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BD014C0" wp14:editId="68B8E54F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E89EB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6F75"/>
    <w:rsid w:val="00032F62"/>
    <w:rsid w:val="00052676"/>
    <w:rsid w:val="0006051E"/>
    <w:rsid w:val="000607BC"/>
    <w:rsid w:val="00077C97"/>
    <w:rsid w:val="0008649D"/>
    <w:rsid w:val="000B17C2"/>
    <w:rsid w:val="000B2B10"/>
    <w:rsid w:val="000C0D56"/>
    <w:rsid w:val="000D23F3"/>
    <w:rsid w:val="000F0B88"/>
    <w:rsid w:val="000F6E43"/>
    <w:rsid w:val="000F72AE"/>
    <w:rsid w:val="00101DE0"/>
    <w:rsid w:val="0010631E"/>
    <w:rsid w:val="00121CE0"/>
    <w:rsid w:val="00134C82"/>
    <w:rsid w:val="0016267B"/>
    <w:rsid w:val="00171C36"/>
    <w:rsid w:val="001901A0"/>
    <w:rsid w:val="00193B0F"/>
    <w:rsid w:val="00197A82"/>
    <w:rsid w:val="001B03D8"/>
    <w:rsid w:val="001E5BA2"/>
    <w:rsid w:val="001E7AC3"/>
    <w:rsid w:val="0021252E"/>
    <w:rsid w:val="00214ACA"/>
    <w:rsid w:val="002275BA"/>
    <w:rsid w:val="00242E34"/>
    <w:rsid w:val="002437AE"/>
    <w:rsid w:val="002514CE"/>
    <w:rsid w:val="0026226A"/>
    <w:rsid w:val="00262D71"/>
    <w:rsid w:val="002A5FC6"/>
    <w:rsid w:val="002C72D4"/>
    <w:rsid w:val="002E4202"/>
    <w:rsid w:val="00305703"/>
    <w:rsid w:val="00313EE5"/>
    <w:rsid w:val="00321254"/>
    <w:rsid w:val="00322A09"/>
    <w:rsid w:val="00332C88"/>
    <w:rsid w:val="00336556"/>
    <w:rsid w:val="0034131B"/>
    <w:rsid w:val="003470F5"/>
    <w:rsid w:val="003609D9"/>
    <w:rsid w:val="00363E86"/>
    <w:rsid w:val="00364357"/>
    <w:rsid w:val="0038746A"/>
    <w:rsid w:val="00396396"/>
    <w:rsid w:val="003B2503"/>
    <w:rsid w:val="003B3151"/>
    <w:rsid w:val="003B42F8"/>
    <w:rsid w:val="003B46BA"/>
    <w:rsid w:val="003C2111"/>
    <w:rsid w:val="003D4338"/>
    <w:rsid w:val="003D5F6D"/>
    <w:rsid w:val="00414F96"/>
    <w:rsid w:val="00434848"/>
    <w:rsid w:val="004436F4"/>
    <w:rsid w:val="00446CF4"/>
    <w:rsid w:val="00452528"/>
    <w:rsid w:val="00473D5B"/>
    <w:rsid w:val="004760D3"/>
    <w:rsid w:val="00476335"/>
    <w:rsid w:val="004844E6"/>
    <w:rsid w:val="00486232"/>
    <w:rsid w:val="004950FF"/>
    <w:rsid w:val="004A71EB"/>
    <w:rsid w:val="004B5DA5"/>
    <w:rsid w:val="004D5F62"/>
    <w:rsid w:val="004F064E"/>
    <w:rsid w:val="005053AF"/>
    <w:rsid w:val="00517DE6"/>
    <w:rsid w:val="00520539"/>
    <w:rsid w:val="005476B3"/>
    <w:rsid w:val="00592E17"/>
    <w:rsid w:val="005B4023"/>
    <w:rsid w:val="005D54AE"/>
    <w:rsid w:val="005F57E5"/>
    <w:rsid w:val="006120F5"/>
    <w:rsid w:val="00644D53"/>
    <w:rsid w:val="00654814"/>
    <w:rsid w:val="00655C0E"/>
    <w:rsid w:val="0066568B"/>
    <w:rsid w:val="00673B2C"/>
    <w:rsid w:val="00675A1D"/>
    <w:rsid w:val="00680178"/>
    <w:rsid w:val="00687E4F"/>
    <w:rsid w:val="006909B7"/>
    <w:rsid w:val="006A212D"/>
    <w:rsid w:val="006D1BE4"/>
    <w:rsid w:val="006E1600"/>
    <w:rsid w:val="006E6527"/>
    <w:rsid w:val="006F059B"/>
    <w:rsid w:val="00704539"/>
    <w:rsid w:val="00704BC9"/>
    <w:rsid w:val="00726F86"/>
    <w:rsid w:val="0073611D"/>
    <w:rsid w:val="00764226"/>
    <w:rsid w:val="007963BC"/>
    <w:rsid w:val="007A317B"/>
    <w:rsid w:val="007B38ED"/>
    <w:rsid w:val="007B49F7"/>
    <w:rsid w:val="007C61E0"/>
    <w:rsid w:val="007C7A6A"/>
    <w:rsid w:val="007F116A"/>
    <w:rsid w:val="007F17B3"/>
    <w:rsid w:val="00812E43"/>
    <w:rsid w:val="00833E64"/>
    <w:rsid w:val="00846C6F"/>
    <w:rsid w:val="008544B7"/>
    <w:rsid w:val="00870559"/>
    <w:rsid w:val="00871E25"/>
    <w:rsid w:val="008748F1"/>
    <w:rsid w:val="00881B14"/>
    <w:rsid w:val="00883238"/>
    <w:rsid w:val="008A5DF9"/>
    <w:rsid w:val="008C3AA9"/>
    <w:rsid w:val="008D3797"/>
    <w:rsid w:val="008E71E8"/>
    <w:rsid w:val="00904FA9"/>
    <w:rsid w:val="0094060D"/>
    <w:rsid w:val="00947EBF"/>
    <w:rsid w:val="009613A2"/>
    <w:rsid w:val="00997E67"/>
    <w:rsid w:val="009B1790"/>
    <w:rsid w:val="009C5073"/>
    <w:rsid w:val="009E4021"/>
    <w:rsid w:val="009F323A"/>
    <w:rsid w:val="00A14E83"/>
    <w:rsid w:val="00A33CB9"/>
    <w:rsid w:val="00A52160"/>
    <w:rsid w:val="00A7142A"/>
    <w:rsid w:val="00A869E9"/>
    <w:rsid w:val="00AA2D1E"/>
    <w:rsid w:val="00AB46BF"/>
    <w:rsid w:val="00AC3D78"/>
    <w:rsid w:val="00AE4196"/>
    <w:rsid w:val="00AF2D94"/>
    <w:rsid w:val="00AF6A83"/>
    <w:rsid w:val="00B003E2"/>
    <w:rsid w:val="00B0333E"/>
    <w:rsid w:val="00B07D27"/>
    <w:rsid w:val="00B12B69"/>
    <w:rsid w:val="00B30E9A"/>
    <w:rsid w:val="00B52355"/>
    <w:rsid w:val="00B53F8B"/>
    <w:rsid w:val="00B55B11"/>
    <w:rsid w:val="00B5609E"/>
    <w:rsid w:val="00B77149"/>
    <w:rsid w:val="00B77639"/>
    <w:rsid w:val="00BF78D4"/>
    <w:rsid w:val="00C11E1F"/>
    <w:rsid w:val="00C14799"/>
    <w:rsid w:val="00C22E8B"/>
    <w:rsid w:val="00C33A91"/>
    <w:rsid w:val="00C616FD"/>
    <w:rsid w:val="00C93974"/>
    <w:rsid w:val="00CA0766"/>
    <w:rsid w:val="00CA0ADC"/>
    <w:rsid w:val="00CA6206"/>
    <w:rsid w:val="00CC74F1"/>
    <w:rsid w:val="00CE55D5"/>
    <w:rsid w:val="00CF3FA1"/>
    <w:rsid w:val="00D050A4"/>
    <w:rsid w:val="00D06902"/>
    <w:rsid w:val="00D57964"/>
    <w:rsid w:val="00D81555"/>
    <w:rsid w:val="00D82477"/>
    <w:rsid w:val="00DC7662"/>
    <w:rsid w:val="00DD11CB"/>
    <w:rsid w:val="00DD66EC"/>
    <w:rsid w:val="00DE20CA"/>
    <w:rsid w:val="00DE4F56"/>
    <w:rsid w:val="00E04102"/>
    <w:rsid w:val="00E13DB4"/>
    <w:rsid w:val="00E22F78"/>
    <w:rsid w:val="00E42EE7"/>
    <w:rsid w:val="00E501D2"/>
    <w:rsid w:val="00E563C3"/>
    <w:rsid w:val="00E67823"/>
    <w:rsid w:val="00E93D5B"/>
    <w:rsid w:val="00E97E72"/>
    <w:rsid w:val="00EA73A3"/>
    <w:rsid w:val="00EB14FF"/>
    <w:rsid w:val="00EB5089"/>
    <w:rsid w:val="00EB67C6"/>
    <w:rsid w:val="00ED4FEC"/>
    <w:rsid w:val="00F07CBD"/>
    <w:rsid w:val="00F1293C"/>
    <w:rsid w:val="00F133BF"/>
    <w:rsid w:val="00FA00EF"/>
    <w:rsid w:val="00FD731D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14110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NoSpacing">
    <w:name w:val="No Spacing"/>
    <w:uiPriority w:val="1"/>
    <w:qFormat/>
    <w:rsid w:val="000F72AE"/>
  </w:style>
  <w:style w:type="character" w:styleId="CommentReference">
    <w:name w:val="annotation reference"/>
    <w:basedOn w:val="DefaultParagraphFont"/>
    <w:uiPriority w:val="99"/>
    <w:semiHidden/>
    <w:unhideWhenUsed/>
    <w:rsid w:val="00495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delegate/product?code=KS-RA-09-006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Za%20site\&#1055;&#1088;&#1077;&#1089;&#1089;&#1098;&#1086;&#1073;&#1097;&#1077;&#1085;&#1080;&#1103;\Q2.2024\FLASH\rabotni\Press%20Tables+%20(version%20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Sheet2!$C$6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Q3 2023</c:v>
                </c:pt>
                <c:pt idx="1">
                  <c:v>Q4 2023</c:v>
                </c:pt>
                <c:pt idx="2">
                  <c:v>Q1 2024</c:v>
                </c:pt>
                <c:pt idx="3">
                  <c:v>Q2 2024</c:v>
                </c:pt>
              </c:strCache>
            </c:strRef>
          </c:cat>
          <c:val>
            <c:numRef>
              <c:f>Sheet2!$C$7:$C$10</c:f>
              <c:numCache>
                <c:formatCode>0.0</c:formatCode>
                <c:ptCount val="4"/>
                <c:pt idx="0">
                  <c:v>0.88282229159297287</c:v>
                </c:pt>
                <c:pt idx="1">
                  <c:v>0.51676253657899451</c:v>
                </c:pt>
                <c:pt idx="2">
                  <c:v>2.217561584081281</c:v>
                </c:pt>
                <c:pt idx="3">
                  <c:v>1.9135523795096105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59-4417-BDEC-A132E1DBA5B3}"/>
            </c:ext>
          </c:extLst>
        </c:ser>
        <c:ser>
          <c:idx val="1"/>
          <c:order val="1"/>
          <c:tx>
            <c:strRef>
              <c:f>Sheet2!$D$6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Q3 2023</c:v>
                </c:pt>
                <c:pt idx="1">
                  <c:v>Q4 2023</c:v>
                </c:pt>
                <c:pt idx="2">
                  <c:v>Q1 2024</c:v>
                </c:pt>
                <c:pt idx="3">
                  <c:v>Q2 2024</c:v>
                </c:pt>
              </c:strCache>
            </c:strRef>
          </c:cat>
          <c:val>
            <c:numRef>
              <c:f>Sheet2!$D$7:$D$10</c:f>
              <c:numCache>
                <c:formatCode>0.0</c:formatCode>
                <c:ptCount val="4"/>
                <c:pt idx="0">
                  <c:v>1.7893783518480717</c:v>
                </c:pt>
                <c:pt idx="1">
                  <c:v>1.728524947331195</c:v>
                </c:pt>
                <c:pt idx="2">
                  <c:v>1.8866856162135406</c:v>
                </c:pt>
                <c:pt idx="3">
                  <c:v>2.0321141217275169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59-4417-BDEC-A132E1DBA5B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2084975"/>
        <c:axId val="542079983"/>
      </c:barChart>
      <c:catAx>
        <c:axId val="54208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42079983"/>
        <c:crosses val="autoZero"/>
        <c:auto val="1"/>
        <c:lblAlgn val="ctr"/>
        <c:lblOffset val="100"/>
        <c:noMultiLvlLbl val="0"/>
      </c:catAx>
      <c:valAx>
        <c:axId val="542079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4208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2E51-9D17-426D-9EF8-D00ADF13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Boriana Manolova</cp:lastModifiedBy>
  <cp:revision>116</cp:revision>
  <cp:lastPrinted>2024-05-14T10:12:00Z</cp:lastPrinted>
  <dcterms:created xsi:type="dcterms:W3CDTF">2024-04-29T12:18:00Z</dcterms:created>
  <dcterms:modified xsi:type="dcterms:W3CDTF">2024-08-13T13:53:00Z</dcterms:modified>
</cp:coreProperties>
</file>