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5755B138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</w:t>
      </w:r>
      <w:r w:rsidR="00530036">
        <w:rPr>
          <w:rFonts w:ascii="Verdana" w:eastAsia="Times New Roman" w:hAnsi="Verdana" w:cs="Times New Roman"/>
          <w:b/>
          <w:sz w:val="20"/>
          <w:szCs w:val="20"/>
        </w:rPr>
        <w:t>ЮНИ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0" w:name="OLE_LINK1"/>
      <w:bookmarkStart w:id="1" w:name="OLE_LINK2"/>
    </w:p>
    <w:p w14:paraId="627A8731" w14:textId="43A198E2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юни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E83A55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50037"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297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приложението), с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139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стаи и 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314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настаняване се увеличават с 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а броят на леглата в тях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E83A5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1A1566B" w14:textId="0EA527D0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240A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3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4688A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., или с </w:t>
      </w:r>
      <w:r w:rsidR="003743A0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743A0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% по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вече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сравнение с година по-рано. 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Чужди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 граждани са реализирали 2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 млн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 нощувки, а българските</w:t>
      </w:r>
      <w:r w:rsidR="00876E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="0078416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597A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 милиона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582C8807" w14:textId="4092D812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4 и 5 звезди са реализирани 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77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общия брой нощувки на чужди и 4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3C168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2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71417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%.</w:t>
      </w:r>
    </w:p>
    <w:bookmarkEnd w:id="0"/>
    <w:bookmarkEnd w:id="1"/>
    <w:p w14:paraId="13011366" w14:textId="583210B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5726D33F" w:rsidR="003D5F6D" w:rsidRPr="00DD11CB" w:rsidRDefault="00755E59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0D4CD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316.5pt">
            <v:imagedata r:id="rId7" o:title=""/>
          </v:shape>
        </w:pict>
      </w:r>
      <w:hyperlink r:id="rId8" w:history="1"/>
    </w:p>
    <w:p w14:paraId="0791F7C7" w14:textId="01881D33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</w:t>
      </w:r>
      <w:r w:rsidR="008B3760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B3760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месец на 2023 г. и достига 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>0 млн.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C96C19">
        <w:rPr>
          <w:rFonts w:ascii="Verdana" w:eastAsia="Times New Roman" w:hAnsi="Verdana" w:cs="Times New Roman"/>
          <w:sz w:val="20"/>
          <w:szCs w:val="20"/>
          <w:lang w:eastAsia="bg-BG"/>
        </w:rPr>
        <w:t>българските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 </w:t>
      </w:r>
      <w:r w:rsidR="003C16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C96C19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96C19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D94252" w:rsidRPr="005D1B81">
        <w:rPr>
          <w:rFonts w:ascii="Verdana" w:eastAsia="Times New Roman" w:hAnsi="Verdana" w:cs="Times New Roman"/>
          <w:sz w:val="20"/>
          <w:szCs w:val="20"/>
          <w:lang w:val="en-US" w:eastAsia="bg-BG"/>
        </w:rPr>
        <w:t>,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така и при </w:t>
      </w:r>
      <w:r w:rsidR="00C96C19">
        <w:rPr>
          <w:rFonts w:ascii="Verdana" w:eastAsia="Times New Roman" w:hAnsi="Verdana" w:cs="Times New Roman"/>
          <w:sz w:val="20"/>
          <w:szCs w:val="20"/>
          <w:lang w:eastAsia="bg-BG"/>
        </w:rPr>
        <w:t>чуждите</w:t>
      </w:r>
      <w:r w:rsidR="0097080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C96C19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96C19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 Нощ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увалите български граждани са 513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.4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ощувки. Чуждите граждани са 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520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8 хил. със средно по 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нощувки, като 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76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звезди.</w:t>
      </w:r>
    </w:p>
    <w:p w14:paraId="05DB5501" w14:textId="77777777" w:rsidR="00550037" w:rsidRPr="004847D5" w:rsidRDefault="00550037" w:rsidP="001051F2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08316715" w:rsidR="00550037" w:rsidRPr="004847D5" w:rsidRDefault="00550037" w:rsidP="001051F2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3C168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53003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юни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55253C8A" w:rsidR="00550037" w:rsidRPr="004847D5" w:rsidRDefault="00755E59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2291F9B4">
          <v:shape id="_x0000_i1026" type="#_x0000_t75" style="width:469.5pt;height:326.25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255E0FAB" w:rsidR="00550037" w:rsidRPr="004847D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38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като се увеличава с 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50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33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- 21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B11D8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B16FE1A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4E506DF2" w:rsidR="00550037" w:rsidRPr="004847D5" w:rsidRDefault="00014404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00C256C3">
          <v:shape id="_x0000_i1027" type="#_x0000_t75" style="width:447.75pt;height:254.25pt">
            <v:imagedata r:id="rId10" o:title=""/>
          </v:shape>
        </w:pict>
      </w:r>
      <w:bookmarkStart w:id="2" w:name="_GoBack"/>
      <w:bookmarkEnd w:id="2"/>
      <w:r w:rsidR="00755E59">
        <w:fldChar w:fldCharType="begin"/>
      </w:r>
      <w:r w:rsidR="00755E59">
        <w:instrText xml:space="preserve"> HYPERLINK "file:///C:\\Users\\bbonev\\AppData\\Roaming\\Microsoft\\Word\\GRAF_MN_01_2024_bg+en.xls" </w:instrText>
      </w:r>
      <w:r w:rsidR="00755E59">
        <w:fldChar w:fldCharType="separate"/>
      </w:r>
      <w:r w:rsidR="00755E59">
        <w:fldChar w:fldCharType="end"/>
      </w:r>
    </w:p>
    <w:p w14:paraId="022BBA4D" w14:textId="0CCEF6F3" w:rsidR="00550037" w:rsidRPr="008C05F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ите от нощувки се увеличават с 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18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предходната година и достигат 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270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5 млн. лв., като 186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са от </w:t>
      </w:r>
      <w:r w:rsidR="00143544">
        <w:rPr>
          <w:rFonts w:ascii="Verdana" w:eastAsia="Times New Roman" w:hAnsi="Verdana" w:cs="Times New Roman"/>
          <w:sz w:val="20"/>
          <w:szCs w:val="20"/>
          <w:lang w:eastAsia="bg-BG"/>
        </w:rPr>
        <w:t>чужди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83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6789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 - от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български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15591F95" w:rsidR="00550037" w:rsidRPr="004847D5" w:rsidRDefault="00014404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70F8D6E6">
          <v:shape id="_x0000_i1059" type="#_x0000_t75" style="width:450pt;height:253.5pt">
            <v:imagedata r:id="rId11" o:title=""/>
          </v:shape>
        </w:pict>
      </w:r>
      <w:hyperlink r:id="rId12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са обхванати вилни и туристически селища, </w:t>
      </w:r>
      <w:proofErr w:type="spellStart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хостели</w:t>
      </w:r>
      <w:proofErr w:type="spellEnd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proofErr w:type="spellStart"/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>егладенонощия</w:t>
      </w:r>
      <w:proofErr w:type="spellEnd"/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96F417B" w14:textId="77777777" w:rsidR="00550037" w:rsidRPr="004847D5" w:rsidRDefault="00550037" w:rsidP="0095595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7C2FED03" w14:textId="77777777" w:rsidR="00550037" w:rsidRDefault="00550037" w:rsidP="0095595F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266A369E" w14:textId="30AD9D29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</w:t>
      </w:r>
      <w:r w:rsidR="00114AF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местата за настаняване през </w:t>
      </w:r>
      <w:r w:rsidR="00530036">
        <w:rPr>
          <w:rFonts w:ascii="Verdana" w:eastAsia="Times New Roman" w:hAnsi="Verdana" w:cs="Times New Roman"/>
          <w:b/>
          <w:sz w:val="20"/>
          <w:szCs w:val="20"/>
          <w:lang w:eastAsia="bg-BG"/>
        </w:rPr>
        <w:t>юни</w:t>
      </w: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8C05F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0847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134"/>
        <w:gridCol w:w="992"/>
        <w:gridCol w:w="1134"/>
        <w:gridCol w:w="1134"/>
        <w:gridCol w:w="1134"/>
        <w:gridCol w:w="993"/>
        <w:gridCol w:w="992"/>
        <w:gridCol w:w="992"/>
        <w:gridCol w:w="1134"/>
      </w:tblGrid>
      <w:tr w:rsidR="00550037" w:rsidRPr="00940B6D" w14:paraId="3C796D53" w14:textId="77777777" w:rsidTr="004F3B05">
        <w:trPr>
          <w:cantSplit/>
          <w:trHeight w:val="43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0E6" w14:textId="77777777" w:rsidR="00550037" w:rsidRPr="00EF1E0B" w:rsidRDefault="00550037" w:rsidP="007E0E7B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7A119DD" w14:textId="38FBECD8" w:rsidR="00550037" w:rsidRPr="00EF1E0B" w:rsidRDefault="00D80C11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Места за настаня</w:t>
            </w:r>
            <w:r w:rsidR="00A80E7F"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</w:p>
          <w:p w14:paraId="4A69F2C0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ване</w:t>
            </w:r>
            <w:proofErr w:type="spellEnd"/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- бр.</w:t>
            </w:r>
          </w:p>
        </w:tc>
        <w:tc>
          <w:tcPr>
            <w:tcW w:w="992" w:type="dxa"/>
            <w:vMerge w:val="restart"/>
          </w:tcPr>
          <w:p w14:paraId="5D9283D1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 - бр.</w:t>
            </w:r>
          </w:p>
        </w:tc>
        <w:tc>
          <w:tcPr>
            <w:tcW w:w="1134" w:type="dxa"/>
            <w:vMerge w:val="restart"/>
          </w:tcPr>
          <w:p w14:paraId="58D7E17C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Легладе-нонощия</w:t>
            </w:r>
            <w:proofErr w:type="spellEnd"/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- бр.</w:t>
            </w:r>
          </w:p>
        </w:tc>
        <w:tc>
          <w:tcPr>
            <w:tcW w:w="2268" w:type="dxa"/>
            <w:gridSpan w:val="2"/>
          </w:tcPr>
          <w:p w14:paraId="6CF235D9" w14:textId="77777777" w:rsidR="00550037" w:rsidRPr="00EF1E0B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Реализирани </w:t>
            </w:r>
          </w:p>
          <w:p w14:paraId="2308C3F0" w14:textId="77777777" w:rsidR="00550037" w:rsidRPr="00EF1E0B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бр.</w:t>
            </w:r>
          </w:p>
        </w:tc>
        <w:tc>
          <w:tcPr>
            <w:tcW w:w="1985" w:type="dxa"/>
            <w:gridSpan w:val="2"/>
          </w:tcPr>
          <w:p w14:paraId="22519CA4" w14:textId="77777777" w:rsidR="00550037" w:rsidRPr="00EF1E0B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Пренощували </w:t>
            </w:r>
          </w:p>
          <w:p w14:paraId="2FF2F9E0" w14:textId="77777777" w:rsidR="00550037" w:rsidRPr="00EF1E0B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лица - бр.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768C5FE" w14:textId="77777777" w:rsidR="00550037" w:rsidRPr="00EF1E0B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Приходи от </w:t>
            </w:r>
          </w:p>
          <w:p w14:paraId="29805CEB" w14:textId="77777777" w:rsidR="00550037" w:rsidRPr="00EF1E0B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хил. лв.</w:t>
            </w:r>
          </w:p>
        </w:tc>
      </w:tr>
      <w:tr w:rsidR="00A80E7F" w:rsidRPr="00940B6D" w14:paraId="6133F5FD" w14:textId="77777777" w:rsidTr="004F3B05">
        <w:trPr>
          <w:cantSplit/>
          <w:trHeight w:val="453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DB5" w14:textId="77777777" w:rsidR="00550037" w:rsidRPr="00EF1E0B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A30974" w14:textId="77777777" w:rsidR="00550037" w:rsidRPr="00EF1E0B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EAE72AA" w14:textId="77777777" w:rsidR="00550037" w:rsidRPr="00EF1E0B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571E78F" w14:textId="77777777" w:rsidR="00550037" w:rsidRPr="00EF1E0B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CD1FE7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4DE1A4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D6532D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41D643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C5BE47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17FE3" w14:textId="77777777" w:rsidR="00550037" w:rsidRPr="00EF1E0B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F1E0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</w:tr>
      <w:tr w:rsidR="00C13DB7" w:rsidRPr="00940B6D" w14:paraId="7B2FDB3A" w14:textId="77777777" w:rsidTr="004F3B05">
        <w:trPr>
          <w:trHeight w:val="97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D28A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  <w:p w14:paraId="0049B3A1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  <w:t xml:space="preserve">Общо за </w:t>
            </w:r>
          </w:p>
          <w:p w14:paraId="267CE382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b/>
                <w:sz w:val="15"/>
                <w:szCs w:val="15"/>
                <w:lang w:val="en-US" w:eastAsia="bg-BG"/>
              </w:rPr>
            </w:pPr>
            <w:r w:rsidRPr="00BB4C01"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  <w:t>страната</w:t>
            </w:r>
            <w:r w:rsidRPr="00BB4C01">
              <w:rPr>
                <w:rFonts w:ascii="Verdana" w:eastAsia="Μοντέρνα" w:hAnsi="Verdana" w:cs="Times New Roman"/>
                <w:b/>
                <w:sz w:val="15"/>
                <w:szCs w:val="15"/>
                <w:lang w:val="en-US"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F0B6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264838A4" w14:textId="77777777" w:rsidR="00C13DB7" w:rsidRDefault="00C13DB7" w:rsidP="00007599">
            <w:pPr>
              <w:spacing w:line="360" w:lineRule="auto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4E95AF7C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2030B8AA" w14:textId="12CC9C52" w:rsidR="00C13DB7" w:rsidRPr="00F76AB9" w:rsidRDefault="00C13DB7" w:rsidP="00C13DB7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  <w:t>3297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D22E8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0BB90022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1017F4B7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082909BC" w14:textId="61A8497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  <w:t>314406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38A9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5AF2843A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25B32E54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296718B6" w14:textId="6015218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  <w:t>9111540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1C6EA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031279EC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2BA5C906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</w:pPr>
          </w:p>
          <w:p w14:paraId="732BC66C" w14:textId="387640E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color w:val="000000"/>
                <w:sz w:val="15"/>
                <w:szCs w:val="15"/>
              </w:rPr>
              <w:t>3535534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EC9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12A10FD5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341F9F29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716801EF" w14:textId="324FA2A7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sz w:val="15"/>
                <w:szCs w:val="15"/>
              </w:rPr>
              <w:t>2307575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FD6B4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009DF13A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1C8448A6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3E1F32D3" w14:textId="42CF0F2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sz w:val="15"/>
                <w:szCs w:val="15"/>
              </w:rPr>
              <w:t>1033935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2DD53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2CFE18C1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7C0E5720" w14:textId="77777777" w:rsidR="003F1524" w:rsidRDefault="003F1524" w:rsidP="00C13DB7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5"/>
                <w:szCs w:val="15"/>
              </w:rPr>
            </w:pPr>
          </w:p>
          <w:p w14:paraId="4DED8C03" w14:textId="20F542B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76AB9">
              <w:rPr>
                <w:rFonts w:ascii="Verdana" w:hAnsi="Verdana" w:cs="Tahoma"/>
                <w:b/>
                <w:bCs/>
                <w:sz w:val="15"/>
                <w:szCs w:val="15"/>
              </w:rPr>
              <w:t>520816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1343F" w14:textId="643A6E57" w:rsidR="00C13DB7" w:rsidRPr="00695709" w:rsidRDefault="00C13DB7" w:rsidP="00C13DB7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695709">
              <w:rPr>
                <w:rFonts w:ascii="Verdana" w:hAnsi="Verdana" w:cs="Arial"/>
                <w:b/>
                <w:sz w:val="15"/>
                <w:szCs w:val="15"/>
              </w:rPr>
              <w:t>270523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E109A" w14:textId="639AE03D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13DB7">
              <w:rPr>
                <w:rFonts w:ascii="Verdana" w:hAnsi="Verdana" w:cs="Arial"/>
                <w:b/>
                <w:sz w:val="15"/>
                <w:szCs w:val="15"/>
              </w:rPr>
              <w:t>186802</w:t>
            </w:r>
          </w:p>
        </w:tc>
      </w:tr>
      <w:tr w:rsidR="00C13DB7" w:rsidRPr="00940B6D" w14:paraId="73492793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46DD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Благоевград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D83CC" w14:textId="5C88640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F828" w14:textId="77729AE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E0892" w14:textId="02ACECB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467588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B490" w14:textId="3F01812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97117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C4F7" w14:textId="37C4346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18778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30A9A" w14:textId="7D1BE4C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46296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8BBE" w14:textId="3223B1E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8379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FAAAD" w14:textId="30A7FB8A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8926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8098" w14:textId="47996F75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1876</w:t>
            </w:r>
          </w:p>
        </w:tc>
      </w:tr>
      <w:tr w:rsidR="00C13DB7" w:rsidRPr="00940B6D" w14:paraId="3ED27C7C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2DE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Бургас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9137" w14:textId="1E6DCE0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BA67" w14:textId="7584CE5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122461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EFEF" w14:textId="02EC882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3503043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5A0F5" w14:textId="472FB14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1636468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97AB" w14:textId="0BB0053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1215191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34B99" w14:textId="7AC4464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341786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E335" w14:textId="56C9CA7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217996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2BB0" w14:textId="3769A13E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119407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EB0F" w14:textId="6455B989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91853</w:t>
            </w:r>
          </w:p>
        </w:tc>
      </w:tr>
      <w:tr w:rsidR="00C13DB7" w:rsidRPr="00940B6D" w14:paraId="01DBB556" w14:textId="77777777" w:rsidTr="004F3B05">
        <w:trPr>
          <w:trHeight w:val="14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7950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Варна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CADA" w14:textId="166936FC" w:rsidR="00C13DB7" w:rsidRPr="00F76AB9" w:rsidRDefault="00C13DB7" w:rsidP="00C13DB7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2F066" w14:textId="5D6F2FC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57336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65C7" w14:textId="0D888AB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1713368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64C45" w14:textId="4A3D278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746328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8F01F" w14:textId="27232D1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631454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B53E" w14:textId="0B86395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177026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FF84" w14:textId="3752212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130102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82552" w14:textId="6A5BA5A2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60100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A7BC" w14:textId="47BBBB66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51768</w:t>
            </w:r>
          </w:p>
        </w:tc>
      </w:tr>
      <w:tr w:rsidR="00C13DB7" w:rsidRPr="00940B6D" w14:paraId="2856597E" w14:textId="77777777" w:rsidTr="004F3B05">
        <w:trPr>
          <w:trHeight w:val="45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5624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Велико</w:t>
            </w:r>
          </w:p>
          <w:p w14:paraId="749DA23B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Търново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3E6CB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5E65ABA4" w14:textId="4E96400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F0B5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7D76964E" w14:textId="50FD4E2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6A10B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49712579" w14:textId="09B70E27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155216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9BF6A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14B7659B" w14:textId="1125C59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36260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7C54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sz w:val="15"/>
                <w:szCs w:val="15"/>
              </w:rPr>
            </w:pPr>
          </w:p>
          <w:p w14:paraId="5AC1AC32" w14:textId="75FD5F1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9643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2EFBB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sz w:val="15"/>
                <w:szCs w:val="15"/>
              </w:rPr>
            </w:pPr>
          </w:p>
          <w:p w14:paraId="52F7DF8B" w14:textId="27E8AC3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23647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DA2D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sz w:val="15"/>
                <w:szCs w:val="15"/>
              </w:rPr>
            </w:pPr>
          </w:p>
          <w:p w14:paraId="0A47A81F" w14:textId="3154FC1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7125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971D1" w14:textId="58EE1716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066D8" w14:textId="081110D9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727</w:t>
            </w:r>
          </w:p>
        </w:tc>
      </w:tr>
      <w:tr w:rsidR="00C13DB7" w:rsidRPr="00940B6D" w14:paraId="0C5CDB05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F544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Видин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F7E8" w14:textId="38D6162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870C" w14:textId="081DB6D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4DCA8" w14:textId="76FCD42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28399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1F844" w14:textId="5C650D1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8214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E1D5F" w14:textId="2BB48C5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A918" w14:textId="4879B78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C08D" w14:textId="0082BDE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FE253" w14:textId="40F87BA9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A62CC" w14:textId="11C011AD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91</w:t>
            </w:r>
          </w:p>
        </w:tc>
      </w:tr>
      <w:tr w:rsidR="00C13DB7" w:rsidRPr="00940B6D" w14:paraId="33BB8E29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F70D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A7D2" w14:textId="32BB935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6E946" w14:textId="6111583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FEEEE" w14:textId="7171030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39699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0BC2" w14:textId="178D7CE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EF82" w14:textId="29FCA81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1640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24CDB" w14:textId="5CC8765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467F" w14:textId="117072C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C6748" w14:textId="17ACE5FA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2F345" w14:textId="1072E035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78</w:t>
            </w:r>
          </w:p>
        </w:tc>
      </w:tr>
      <w:tr w:rsidR="00C13DB7" w:rsidRPr="00940B6D" w14:paraId="5790F554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8A8B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Габрово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4D38F" w14:textId="21EFCBE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DF5A" w14:textId="076D483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67B3" w14:textId="06771DE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102850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BF5FF" w14:textId="22C3C15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19904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92BC8" w14:textId="4ADC57C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399A" w14:textId="02206A3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11695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874A" w14:textId="3096F88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1E5A9" w14:textId="5EFF6AA8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42FF8" w14:textId="22101A3C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103</w:t>
            </w:r>
          </w:p>
        </w:tc>
      </w:tr>
      <w:tr w:rsidR="00C13DB7" w:rsidRPr="00940B6D" w14:paraId="38F7540B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6A7F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Добрич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27D87" w14:textId="2AC81567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7364" w14:textId="58E9E52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26411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5AAE1" w14:textId="2009407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725257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54C7" w14:textId="1DFA142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274365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245E" w14:textId="1DE3111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212365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0E55" w14:textId="2B13E77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64904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880BB" w14:textId="35A4867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43530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8C6F" w14:textId="07AB89C6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20303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B3399" w14:textId="5ECB467D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15909</w:t>
            </w:r>
          </w:p>
        </w:tc>
      </w:tr>
      <w:tr w:rsidR="00C13DB7" w:rsidRPr="00940B6D" w14:paraId="6525FFC1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FED36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Кърджали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BE179" w14:textId="03C77E3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5A2EB" w14:textId="1740D40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E18C" w14:textId="2D13BDA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74142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478F9" w14:textId="6960969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BC61" w14:textId="397D617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1631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4997F" w14:textId="1A11DB5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7910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1892E" w14:textId="3A17834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1139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8A712" w14:textId="5AD12321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0C98" w14:textId="375C0952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110</w:t>
            </w:r>
          </w:p>
        </w:tc>
      </w:tr>
      <w:tr w:rsidR="00C13DB7" w:rsidRPr="00940B6D" w14:paraId="6E492BA4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7576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Кюстендил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34B7" w14:textId="3313EDE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2C45" w14:textId="1E9A3F6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1A18" w14:textId="1E7E809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93052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126A" w14:textId="761839E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20261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7448D" w14:textId="1A73633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2349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991B" w14:textId="57B0E88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11369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9061" w14:textId="38D45BF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A9E79" w14:textId="243D9DA7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1379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E5B81" w14:textId="60DE5572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217</w:t>
            </w:r>
          </w:p>
        </w:tc>
      </w:tr>
      <w:tr w:rsidR="00C13DB7" w:rsidRPr="00940B6D" w14:paraId="2237D962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333C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Ловеч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633A1" w14:textId="45D8773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76F1E" w14:textId="1C62F93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C49D" w14:textId="1C0054B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129018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99865" w14:textId="53BF4CE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26576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840F9" w14:textId="6CF6BC0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1862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1419C" w14:textId="5098E8A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DD81" w14:textId="152350A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83EB" w14:textId="6AD5E263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90FC" w14:textId="4C80DB44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117</w:t>
            </w:r>
          </w:p>
        </w:tc>
      </w:tr>
      <w:tr w:rsidR="00C13DB7" w:rsidRPr="00940B6D" w14:paraId="3F17BC19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432A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Монтана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C95CD" w14:textId="06D8D5C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B9066" w14:textId="478F04D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5200" w14:textId="54B9B77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47760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5A4" w14:textId="73C0711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10735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43DAC" w14:textId="38BFCB9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D90F" w14:textId="30F2FF8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4612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EBAB" w14:textId="7540DDE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C314" w14:textId="2A5ADE30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CCCD" w14:textId="0668AC47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83</w:t>
            </w:r>
          </w:p>
        </w:tc>
      </w:tr>
      <w:tr w:rsidR="00C13DB7" w:rsidRPr="00940B6D" w14:paraId="3E733EA9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ECF1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Пазарджик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9592" w14:textId="548E42F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C878" w14:textId="70AC837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699E7" w14:textId="253BE50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219733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2BD9" w14:textId="05CE79B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77787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E2A7A" w14:textId="5D1F329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7975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073E5" w14:textId="10E4F35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30953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EF68" w14:textId="3A594A8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1861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531B" w14:textId="7B0A9267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5681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402FC" w14:textId="78A5DAD5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698</w:t>
            </w:r>
          </w:p>
        </w:tc>
      </w:tr>
      <w:tr w:rsidR="00C13DB7" w:rsidRPr="00940B6D" w14:paraId="08236F02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AD50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Перник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C0B1" w14:textId="0E8D97D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E5A0" w14:textId="690677F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DBC1" w14:textId="3835BB77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16470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85C09" w14:textId="0065919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8A0E" w14:textId="538DDFC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0B2E" w14:textId="04CFDF4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1698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EA96" w14:textId="35B51E7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92E2B" w14:textId="5F9F77BF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D11DE" w14:textId="0DC922AE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78</w:t>
            </w:r>
          </w:p>
        </w:tc>
      </w:tr>
      <w:tr w:rsidR="00C13DB7" w:rsidRPr="00940B6D" w14:paraId="7AD39CCE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4EDB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Плевен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0B10" w14:textId="005F01F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1470B" w14:textId="57DA494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4FDB" w14:textId="6C3AE52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44100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75CBF" w14:textId="2A7579F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E0393" w14:textId="77D48AC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DF5E" w14:textId="2FDD389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8257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4DF22" w14:textId="54D1684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0E7DA" w14:textId="03C1BDD2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B817F" w14:textId="78442614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222</w:t>
            </w:r>
          </w:p>
        </w:tc>
      </w:tr>
      <w:tr w:rsidR="00C13DB7" w:rsidRPr="00940B6D" w14:paraId="08204356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8978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Пловдив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732D" w14:textId="0099463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29C3" w14:textId="1327026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70251" w14:textId="5A93BDC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372705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CD84" w14:textId="70E5300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127535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936F6" w14:textId="2370A13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31255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7EDE" w14:textId="32E65E3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62302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DC19" w14:textId="4AB9B25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15444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6F92" w14:textId="3A9BD630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9257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E844" w14:textId="6975C84C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2779</w:t>
            </w:r>
          </w:p>
        </w:tc>
      </w:tr>
      <w:tr w:rsidR="00C13DB7" w:rsidRPr="00940B6D" w14:paraId="7B21D3F4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3EA6B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Разград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50334" w14:textId="50FB49D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8D728" w14:textId="534D54B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D759" w14:textId="58B8AC0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18420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C458E" w14:textId="3FAB77E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125B" w14:textId="3024CFE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E08A0" w14:textId="0F49E1F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D9441" w14:textId="206D6D0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48F3" w14:textId="0774D26C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42C2" w14:textId="6691EF56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52</w:t>
            </w:r>
          </w:p>
        </w:tc>
      </w:tr>
      <w:tr w:rsidR="00C13DB7" w:rsidRPr="00940B6D" w14:paraId="5E48B981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D42C8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Русе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D855" w14:textId="20FDAD1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2160" w14:textId="3EE73B7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3A50" w14:textId="47E1A08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67635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DF21F" w14:textId="35D7E90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18482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E47D6" w14:textId="371496A7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5049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9589" w14:textId="2BE452F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11932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9CD5" w14:textId="714FC6D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47F28" w14:textId="27B92AB0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  <w:lang w:val="en-US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1271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EAF6" w14:textId="0797AD62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428</w:t>
            </w:r>
          </w:p>
        </w:tc>
      </w:tr>
      <w:tr w:rsidR="00C13DB7" w:rsidRPr="00940B6D" w14:paraId="52797C47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7769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Силистра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C00C" w14:textId="1C8B07C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A8273" w14:textId="1CB664F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B3372" w14:textId="1C4D15E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23730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162B3" w14:textId="544D15A7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2F0A" w14:textId="2C449B5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D6D72" w14:textId="5F08DD4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8DF3" w14:textId="721DEA3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E6D75" w14:textId="05A77749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9F49A" w14:textId="60E334BC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57</w:t>
            </w:r>
          </w:p>
        </w:tc>
      </w:tr>
      <w:tr w:rsidR="00C13DB7" w:rsidRPr="00940B6D" w14:paraId="3FAC5549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A2D0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Сливен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FB211" w14:textId="00AF691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F3255" w14:textId="645F963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BFE4" w14:textId="42125CF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49200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85EF" w14:textId="5584B89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288B" w14:textId="5FAA11F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2252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4D1E" w14:textId="1A7FB81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5619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22BAD" w14:textId="30C5831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25308" w14:textId="0497DABA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22CF" w14:textId="076AE99D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216</w:t>
            </w:r>
          </w:p>
        </w:tc>
      </w:tr>
      <w:tr w:rsidR="00C13DB7" w:rsidRPr="00940B6D" w14:paraId="1F493069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58C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Смолян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A882" w14:textId="244339E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453C" w14:textId="4210913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8207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F0FF9" w14:textId="109F6CA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245410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A2FE" w14:textId="4F17362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46161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DB474" w14:textId="4886467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0993C" w14:textId="6249650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22329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7D7F" w14:textId="34B64AD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3DCA" w14:textId="50AED5AE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94141" w14:textId="2B90F34B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136</w:t>
            </w:r>
          </w:p>
        </w:tc>
      </w:tr>
      <w:tr w:rsidR="00C13DB7" w:rsidRPr="00940B6D" w14:paraId="72CBAE72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DECC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София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09DC" w14:textId="5061C68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F6EB" w14:textId="520A6AF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6762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5F79" w14:textId="74B61623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198641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9772" w14:textId="087C3474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38043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ADF3B" w14:textId="1FF503C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5502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CD25" w14:textId="159FE27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20209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83F" w14:textId="31C0710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9F97B" w14:textId="5E485252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4BE0B" w14:textId="72D2541E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586</w:t>
            </w:r>
          </w:p>
        </w:tc>
      </w:tr>
      <w:tr w:rsidR="00C13DB7" w:rsidRPr="00940B6D" w14:paraId="1784DB45" w14:textId="77777777" w:rsidTr="004F3B05">
        <w:trPr>
          <w:trHeight w:val="45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2E66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София</w:t>
            </w:r>
          </w:p>
          <w:p w14:paraId="3B30B095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(столица)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18245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55F32071" w14:textId="41C763E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A3FA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6B30607F" w14:textId="7009147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705F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39F2D2FC" w14:textId="0D93917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451077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FA24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color w:val="000000"/>
                <w:sz w:val="15"/>
                <w:szCs w:val="15"/>
              </w:rPr>
            </w:pPr>
          </w:p>
          <w:p w14:paraId="3394E849" w14:textId="1D53AEC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200303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2DAE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sz w:val="15"/>
                <w:szCs w:val="15"/>
              </w:rPr>
            </w:pPr>
          </w:p>
          <w:p w14:paraId="72A01115" w14:textId="011321A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132612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33CE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sz w:val="15"/>
                <w:szCs w:val="15"/>
              </w:rPr>
            </w:pPr>
          </w:p>
          <w:p w14:paraId="01BC474C" w14:textId="6D1F6D9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108808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DB7F" w14:textId="77777777" w:rsidR="00C13DB7" w:rsidRDefault="00C13DB7" w:rsidP="00C13DB7">
            <w:pPr>
              <w:spacing w:line="360" w:lineRule="auto"/>
              <w:jc w:val="right"/>
              <w:rPr>
                <w:rFonts w:ascii="Verdana" w:hAnsi="Verdana" w:cs="Tahoma"/>
                <w:sz w:val="15"/>
                <w:szCs w:val="15"/>
              </w:rPr>
            </w:pPr>
          </w:p>
          <w:p w14:paraId="2F07DB0B" w14:textId="71DA6EE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71137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B03D2" w14:textId="178AF307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22596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E836E" w14:textId="09F1F4DE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17423</w:t>
            </w:r>
          </w:p>
        </w:tc>
      </w:tr>
      <w:tr w:rsidR="00C13DB7" w:rsidRPr="00940B6D" w14:paraId="54C109A1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A468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Стара Загора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086A" w14:textId="7C25EF7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B428" w14:textId="5660F45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B40B7" w14:textId="608A58F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144014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92B0" w14:textId="3684C24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52321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E141F" w14:textId="1E1D9B2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7194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6CD37" w14:textId="70D6B31C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21649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B9CA9" w14:textId="77A227F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5C59A" w14:textId="489A01D9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8659" w14:textId="224BA6C4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522</w:t>
            </w:r>
          </w:p>
        </w:tc>
      </w:tr>
      <w:tr w:rsidR="00C13DB7" w:rsidRPr="00940B6D" w14:paraId="486D9566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44BA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Търговище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841E0" w14:textId="22E507A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11F4" w14:textId="4762628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A6D6" w14:textId="246BF53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19080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A60D8" w14:textId="5CAA528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2171C" w14:textId="0D2E182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6270" w14:textId="3C61991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57A6" w14:textId="0739CF3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D69F9" w14:textId="5745C569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  <w:lang w:val="en-US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75A3D" w14:textId="4B4976EF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30</w:t>
            </w:r>
          </w:p>
        </w:tc>
      </w:tr>
      <w:tr w:rsidR="00C13DB7" w:rsidRPr="00940B6D" w14:paraId="59279F98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4F95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Хасково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EE5B1" w14:textId="4FCE05C8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E739E" w14:textId="2DC09CF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3428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56B5" w14:textId="5152FC0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91223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1D38" w14:textId="779CB21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C16A" w14:textId="5169637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5689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2D1B5" w14:textId="5318B15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11408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CA31" w14:textId="7558B896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3590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0B7E9" w14:textId="2AB33658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1454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0DBB" w14:textId="5C647E79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522</w:t>
            </w:r>
          </w:p>
        </w:tc>
      </w:tr>
      <w:tr w:rsidR="00C13DB7" w:rsidRPr="00940B6D" w14:paraId="7C009EB9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60D6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Шумен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CAAF" w14:textId="67AE4C1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665B" w14:textId="24AA53CB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6F2D" w14:textId="355D5E20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50580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5DB14" w14:textId="59F0C11F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25DEA" w14:textId="042DB7C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1219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9B712" w14:textId="68EF136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4652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0F7F2" w14:textId="36C7F0F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C08D" w14:textId="3838A8B5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BBF8F" w14:textId="1654C505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78</w:t>
            </w:r>
          </w:p>
        </w:tc>
      </w:tr>
      <w:tr w:rsidR="00C13DB7" w:rsidRPr="00940B6D" w14:paraId="446D811B" w14:textId="77777777" w:rsidTr="004F3B05">
        <w:trPr>
          <w:trHeight w:val="229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0DE0" w14:textId="77777777" w:rsidR="00C13DB7" w:rsidRPr="00BB4C01" w:rsidRDefault="00C13DB7" w:rsidP="00C13DB7">
            <w:pPr>
              <w:spacing w:line="360" w:lineRule="auto"/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</w:pPr>
            <w:r w:rsidRPr="00BB4C01">
              <w:rPr>
                <w:rFonts w:ascii="Verdana" w:eastAsia="Μοντέρνα" w:hAnsi="Verdana" w:cs="Times New Roman"/>
                <w:sz w:val="15"/>
                <w:szCs w:val="15"/>
                <w:lang w:eastAsia="bg-BG"/>
              </w:rPr>
              <w:t>Ямбол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F2F28" w14:textId="2F7332EE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D0C5" w14:textId="7175A515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FB19" w14:textId="494B018D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20130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A65B" w14:textId="5D875FDA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76AB9">
              <w:rPr>
                <w:rFonts w:ascii="Verdana" w:hAnsi="Verdana" w:cs="Tahoma"/>
                <w:color w:val="000000"/>
                <w:sz w:val="15"/>
                <w:szCs w:val="15"/>
              </w:rPr>
              <w:t>4028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0B459" w14:textId="2D752209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7227" w14:textId="01A78612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1916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3F5F" w14:textId="12CF0901" w:rsidR="00C13DB7" w:rsidRPr="00F76AB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F76AB9">
              <w:rPr>
                <w:rFonts w:ascii="Verdana" w:hAnsi="Verdana" w:cs="Tahoma"/>
                <w:sz w:val="15"/>
                <w:szCs w:val="15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F0D6E" w14:textId="70AD0051" w:rsidR="00C13DB7" w:rsidRPr="00695709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695709">
              <w:rPr>
                <w:rFonts w:ascii="Verdana" w:hAnsi="Verdana" w:cs="Arial"/>
                <w:sz w:val="15"/>
                <w:szCs w:val="15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20C9" w14:textId="4D171B38" w:rsidR="00C13DB7" w:rsidRPr="00C13DB7" w:rsidRDefault="00C13DB7" w:rsidP="00C13DB7">
            <w:pPr>
              <w:spacing w:line="360" w:lineRule="auto"/>
              <w:jc w:val="right"/>
              <w:rPr>
                <w:rFonts w:ascii="Verdana" w:hAnsi="Verdana"/>
                <w:sz w:val="15"/>
                <w:szCs w:val="15"/>
              </w:rPr>
            </w:pPr>
            <w:r w:rsidRPr="00C13DB7">
              <w:rPr>
                <w:rFonts w:ascii="Verdana" w:hAnsi="Verdana" w:cs="Arial"/>
                <w:sz w:val="15"/>
                <w:szCs w:val="15"/>
              </w:rPr>
              <w:t>43</w:t>
            </w:r>
          </w:p>
        </w:tc>
      </w:tr>
    </w:tbl>
    <w:p w14:paraId="37FECA97" w14:textId="77777777" w:rsidR="00171C36" w:rsidRPr="00CA0766" w:rsidRDefault="00171C36" w:rsidP="0095595F">
      <w:pPr>
        <w:spacing w:line="360" w:lineRule="auto"/>
        <w:ind w:firstLine="567"/>
      </w:pPr>
    </w:p>
    <w:sectPr w:rsidR="00171C36" w:rsidRPr="00CA0766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A6871" w14:textId="77777777" w:rsidR="00755E59" w:rsidRDefault="00755E59" w:rsidP="00214ACA">
      <w:r>
        <w:separator/>
      </w:r>
    </w:p>
  </w:endnote>
  <w:endnote w:type="continuationSeparator" w:id="0">
    <w:p w14:paraId="6DA917BC" w14:textId="77777777" w:rsidR="00755E59" w:rsidRDefault="00755E5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E0E7B" w:rsidRPr="00A7142A" w:rsidRDefault="007E0E7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7A66C6E4" w:rsidR="007E0E7B" w:rsidRPr="00DD11CB" w:rsidRDefault="007E0E7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440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7A66C6E4" w:rsidR="007E0E7B" w:rsidRPr="00DD11CB" w:rsidRDefault="007E0E7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440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E0E7B" w:rsidRDefault="007E0E7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3D4A0567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798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3D4A0567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798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7E0E7B" w:rsidRPr="00171C36" w:rsidRDefault="007E0E7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0DE4B995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440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0DE4B995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440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7E0E7B" w:rsidRDefault="007E0E7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C05C" w14:textId="77777777" w:rsidR="00755E59" w:rsidRDefault="00755E59" w:rsidP="00214ACA">
      <w:r>
        <w:separator/>
      </w:r>
    </w:p>
  </w:footnote>
  <w:footnote w:type="continuationSeparator" w:id="0">
    <w:p w14:paraId="736B102A" w14:textId="77777777" w:rsidR="00755E59" w:rsidRDefault="00755E59" w:rsidP="00214ACA">
      <w:r>
        <w:continuationSeparator/>
      </w:r>
    </w:p>
  </w:footnote>
  <w:footnote w:id="1">
    <w:p w14:paraId="52428A89" w14:textId="5A5E215F" w:rsidR="007E0E7B" w:rsidRPr="004352FF" w:rsidRDefault="007E0E7B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0AB87879" w14:textId="0A2F35C8" w:rsidR="007E0E7B" w:rsidRPr="008C05F5" w:rsidRDefault="007E0E7B" w:rsidP="00AF4E92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</w:t>
      </w:r>
      <w:r w:rsidRPr="008C05F5">
        <w:rPr>
          <w:rFonts w:ascii="Verdana" w:hAnsi="Verdana"/>
          <w:sz w:val="16"/>
          <w:szCs w:val="16"/>
        </w:rPr>
        <w:t>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E0E7B" w:rsidRPr="00B77149" w:rsidRDefault="007E0E7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1E1CBCC0" w:rsidR="007E0E7B" w:rsidRPr="00101DE0" w:rsidRDefault="007E0E7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530036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ЮНИ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1E1CBCC0" w:rsidR="007E0E7B" w:rsidRPr="00101DE0" w:rsidRDefault="007E0E7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530036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ЮНИ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E0E7B" w:rsidRPr="009E4021" w:rsidRDefault="007E0E7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E0E7B" w:rsidRDefault="007E0E7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E0E7B" w:rsidRPr="00FD731D" w:rsidRDefault="007E0E7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E0E7B" w:rsidRDefault="007E0E7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E0E7B" w:rsidRPr="00FD731D" w:rsidRDefault="007E0E7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48E1917A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17E2" w14:textId="337205FB" w:rsidR="007E0E7B" w:rsidRPr="00101DE0" w:rsidRDefault="007E0E7B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530036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ЮНИ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fQIw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" stroked="f">
              <v:textbox>
                <w:txbxContent>
                  <w:p w14:paraId="7DE717E2" w14:textId="337205FB" w:rsidR="007E0E7B" w:rsidRPr="00101DE0" w:rsidRDefault="007E0E7B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530036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ЮНИ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7599"/>
    <w:rsid w:val="00014404"/>
    <w:rsid w:val="0001546D"/>
    <w:rsid w:val="00024C8E"/>
    <w:rsid w:val="0006051E"/>
    <w:rsid w:val="000607BC"/>
    <w:rsid w:val="00077C97"/>
    <w:rsid w:val="000842A1"/>
    <w:rsid w:val="000A0550"/>
    <w:rsid w:val="000A06F2"/>
    <w:rsid w:val="000A07CC"/>
    <w:rsid w:val="000B17C2"/>
    <w:rsid w:val="000B2B10"/>
    <w:rsid w:val="000C0D56"/>
    <w:rsid w:val="000F0B88"/>
    <w:rsid w:val="00101DE0"/>
    <w:rsid w:val="001051F2"/>
    <w:rsid w:val="00114AFF"/>
    <w:rsid w:val="001379E6"/>
    <w:rsid w:val="00137EBD"/>
    <w:rsid w:val="00143544"/>
    <w:rsid w:val="00161B38"/>
    <w:rsid w:val="00162475"/>
    <w:rsid w:val="00171C36"/>
    <w:rsid w:val="00177B91"/>
    <w:rsid w:val="00180415"/>
    <w:rsid w:val="001861FE"/>
    <w:rsid w:val="001901A0"/>
    <w:rsid w:val="001958FB"/>
    <w:rsid w:val="001B03D8"/>
    <w:rsid w:val="001D4F15"/>
    <w:rsid w:val="001E5BA2"/>
    <w:rsid w:val="001E7AC3"/>
    <w:rsid w:val="00214ACA"/>
    <w:rsid w:val="002332F4"/>
    <w:rsid w:val="00240AEA"/>
    <w:rsid w:val="002571B7"/>
    <w:rsid w:val="00262061"/>
    <w:rsid w:val="00266CEF"/>
    <w:rsid w:val="00267F8F"/>
    <w:rsid w:val="002810EA"/>
    <w:rsid w:val="00297DA0"/>
    <w:rsid w:val="002C2C29"/>
    <w:rsid w:val="002C4494"/>
    <w:rsid w:val="002C5E00"/>
    <w:rsid w:val="002C72D4"/>
    <w:rsid w:val="00305AB6"/>
    <w:rsid w:val="00332C88"/>
    <w:rsid w:val="00336556"/>
    <w:rsid w:val="00343CAC"/>
    <w:rsid w:val="003519E5"/>
    <w:rsid w:val="0035568A"/>
    <w:rsid w:val="00364357"/>
    <w:rsid w:val="00365743"/>
    <w:rsid w:val="00372BB5"/>
    <w:rsid w:val="003743A0"/>
    <w:rsid w:val="003833B6"/>
    <w:rsid w:val="0038746A"/>
    <w:rsid w:val="003A2406"/>
    <w:rsid w:val="003B136F"/>
    <w:rsid w:val="003B2503"/>
    <w:rsid w:val="003B42F8"/>
    <w:rsid w:val="003B46BA"/>
    <w:rsid w:val="003C1685"/>
    <w:rsid w:val="003C2111"/>
    <w:rsid w:val="003C3914"/>
    <w:rsid w:val="003D5F6D"/>
    <w:rsid w:val="003E5811"/>
    <w:rsid w:val="003F1524"/>
    <w:rsid w:val="003F7729"/>
    <w:rsid w:val="00412F1E"/>
    <w:rsid w:val="00432D98"/>
    <w:rsid w:val="004352FF"/>
    <w:rsid w:val="00446CF4"/>
    <w:rsid w:val="00462795"/>
    <w:rsid w:val="004760D3"/>
    <w:rsid w:val="00486232"/>
    <w:rsid w:val="004A2A00"/>
    <w:rsid w:val="004E3C48"/>
    <w:rsid w:val="004F064E"/>
    <w:rsid w:val="004F10D2"/>
    <w:rsid w:val="004F3B05"/>
    <w:rsid w:val="004F4DD1"/>
    <w:rsid w:val="00516F22"/>
    <w:rsid w:val="005202C6"/>
    <w:rsid w:val="00520539"/>
    <w:rsid w:val="00530036"/>
    <w:rsid w:val="005346C2"/>
    <w:rsid w:val="005443DA"/>
    <w:rsid w:val="00550037"/>
    <w:rsid w:val="00575456"/>
    <w:rsid w:val="00576790"/>
    <w:rsid w:val="00577757"/>
    <w:rsid w:val="00585BDF"/>
    <w:rsid w:val="00585CD4"/>
    <w:rsid w:val="00597AF5"/>
    <w:rsid w:val="005B4023"/>
    <w:rsid w:val="005D1B81"/>
    <w:rsid w:val="005D625E"/>
    <w:rsid w:val="005F3E4C"/>
    <w:rsid w:val="006120F5"/>
    <w:rsid w:val="00631B9D"/>
    <w:rsid w:val="00644D53"/>
    <w:rsid w:val="00654814"/>
    <w:rsid w:val="0066153B"/>
    <w:rsid w:val="006822A9"/>
    <w:rsid w:val="00695709"/>
    <w:rsid w:val="006A212D"/>
    <w:rsid w:val="006B56BF"/>
    <w:rsid w:val="006C258C"/>
    <w:rsid w:val="006D1BE4"/>
    <w:rsid w:val="00704539"/>
    <w:rsid w:val="00714174"/>
    <w:rsid w:val="00750E4D"/>
    <w:rsid w:val="00751DC3"/>
    <w:rsid w:val="00755E59"/>
    <w:rsid w:val="00764226"/>
    <w:rsid w:val="0078416F"/>
    <w:rsid w:val="00785ADA"/>
    <w:rsid w:val="00787F28"/>
    <w:rsid w:val="00796C1A"/>
    <w:rsid w:val="00797241"/>
    <w:rsid w:val="007C61E0"/>
    <w:rsid w:val="007C778B"/>
    <w:rsid w:val="007C7A6A"/>
    <w:rsid w:val="007E0E7B"/>
    <w:rsid w:val="007F116A"/>
    <w:rsid w:val="007F17B3"/>
    <w:rsid w:val="00800803"/>
    <w:rsid w:val="00817E04"/>
    <w:rsid w:val="00870559"/>
    <w:rsid w:val="008748F1"/>
    <w:rsid w:val="00876EAA"/>
    <w:rsid w:val="00881B14"/>
    <w:rsid w:val="00883238"/>
    <w:rsid w:val="00891365"/>
    <w:rsid w:val="008B3760"/>
    <w:rsid w:val="008D3797"/>
    <w:rsid w:val="008E2960"/>
    <w:rsid w:val="008E6D59"/>
    <w:rsid w:val="008E71E8"/>
    <w:rsid w:val="008E798F"/>
    <w:rsid w:val="0094060D"/>
    <w:rsid w:val="00947EBF"/>
    <w:rsid w:val="0095595F"/>
    <w:rsid w:val="0096486F"/>
    <w:rsid w:val="0097080A"/>
    <w:rsid w:val="00981EAE"/>
    <w:rsid w:val="00984E5A"/>
    <w:rsid w:val="00986067"/>
    <w:rsid w:val="00993651"/>
    <w:rsid w:val="009A4D81"/>
    <w:rsid w:val="009D2C92"/>
    <w:rsid w:val="009E4021"/>
    <w:rsid w:val="009F732E"/>
    <w:rsid w:val="00A14E83"/>
    <w:rsid w:val="00A4688A"/>
    <w:rsid w:val="00A7142A"/>
    <w:rsid w:val="00A80E7F"/>
    <w:rsid w:val="00A869E9"/>
    <w:rsid w:val="00AC3D78"/>
    <w:rsid w:val="00AE4196"/>
    <w:rsid w:val="00AF2D94"/>
    <w:rsid w:val="00AF4E92"/>
    <w:rsid w:val="00B0178B"/>
    <w:rsid w:val="00B0333E"/>
    <w:rsid w:val="00B07D27"/>
    <w:rsid w:val="00B42570"/>
    <w:rsid w:val="00B55B11"/>
    <w:rsid w:val="00B57212"/>
    <w:rsid w:val="00B77149"/>
    <w:rsid w:val="00B862CE"/>
    <w:rsid w:val="00BB2848"/>
    <w:rsid w:val="00BB4C01"/>
    <w:rsid w:val="00BD23B8"/>
    <w:rsid w:val="00BE1D6B"/>
    <w:rsid w:val="00BF486E"/>
    <w:rsid w:val="00BF67D2"/>
    <w:rsid w:val="00C13DB7"/>
    <w:rsid w:val="00C14799"/>
    <w:rsid w:val="00C22E8B"/>
    <w:rsid w:val="00C25504"/>
    <w:rsid w:val="00C553CB"/>
    <w:rsid w:val="00C616FD"/>
    <w:rsid w:val="00C93974"/>
    <w:rsid w:val="00C94659"/>
    <w:rsid w:val="00C95D9A"/>
    <w:rsid w:val="00C96C19"/>
    <w:rsid w:val="00CA0766"/>
    <w:rsid w:val="00CA653E"/>
    <w:rsid w:val="00CB1313"/>
    <w:rsid w:val="00CC6132"/>
    <w:rsid w:val="00D11685"/>
    <w:rsid w:val="00D2040F"/>
    <w:rsid w:val="00D259A1"/>
    <w:rsid w:val="00D57134"/>
    <w:rsid w:val="00D603E9"/>
    <w:rsid w:val="00D60651"/>
    <w:rsid w:val="00D80C11"/>
    <w:rsid w:val="00D82477"/>
    <w:rsid w:val="00D86362"/>
    <w:rsid w:val="00D916BB"/>
    <w:rsid w:val="00D94252"/>
    <w:rsid w:val="00DB720D"/>
    <w:rsid w:val="00DD11CB"/>
    <w:rsid w:val="00DD684A"/>
    <w:rsid w:val="00DE20CA"/>
    <w:rsid w:val="00DE4F56"/>
    <w:rsid w:val="00DF6789"/>
    <w:rsid w:val="00E06322"/>
    <w:rsid w:val="00E13DB4"/>
    <w:rsid w:val="00E1627C"/>
    <w:rsid w:val="00E169A7"/>
    <w:rsid w:val="00E563C3"/>
    <w:rsid w:val="00E640BD"/>
    <w:rsid w:val="00E67823"/>
    <w:rsid w:val="00E775B4"/>
    <w:rsid w:val="00E83A55"/>
    <w:rsid w:val="00EA6255"/>
    <w:rsid w:val="00EB3A51"/>
    <w:rsid w:val="00EB5089"/>
    <w:rsid w:val="00ED3036"/>
    <w:rsid w:val="00ED356F"/>
    <w:rsid w:val="00EE3A45"/>
    <w:rsid w:val="00EF0775"/>
    <w:rsid w:val="00EF1E0B"/>
    <w:rsid w:val="00F0380B"/>
    <w:rsid w:val="00F633E8"/>
    <w:rsid w:val="00F72BD2"/>
    <w:rsid w:val="00F76AB9"/>
    <w:rsid w:val="00F901B1"/>
    <w:rsid w:val="00FA00EF"/>
    <w:rsid w:val="00FB11D8"/>
    <w:rsid w:val="00FB43FF"/>
    <w:rsid w:val="00FD731D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bbonev\AppData\Roaming\Microsoft\Word\GRAF_MN_01_2024_bg+en.xl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AA22-D28F-41F0-96FC-53990552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Boris Bonev</cp:lastModifiedBy>
  <cp:revision>71</cp:revision>
  <cp:lastPrinted>2024-07-04T10:48:00Z</cp:lastPrinted>
  <dcterms:created xsi:type="dcterms:W3CDTF">2024-06-07T10:14:00Z</dcterms:created>
  <dcterms:modified xsi:type="dcterms:W3CDTF">2024-08-07T13:21:00Z</dcterms:modified>
</cp:coreProperties>
</file>