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1206"/>
        <w:gridCol w:w="3897"/>
        <w:gridCol w:w="4536"/>
      </w:tblGrid>
      <w:tr w:rsidR="00B14CB3" w:rsidRPr="00BE3282" w:rsidTr="00566D79">
        <w:trPr>
          <w:trHeight w:val="1172"/>
        </w:trPr>
        <w:tc>
          <w:tcPr>
            <w:tcW w:w="510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14CB3" w:rsidRPr="00BE3282" w:rsidRDefault="00B14CB3" w:rsidP="00566D79">
            <w:pPr>
              <w:spacing w:after="120" w:line="240" w:lineRule="auto"/>
              <w:rPr>
                <w:rFonts w:cs="Calibri"/>
                <w:b/>
                <w:bCs/>
              </w:rPr>
            </w:pPr>
            <w:r w:rsidRPr="00BE3282">
              <w:rPr>
                <w:rFonts w:cs="Calibri"/>
                <w:b/>
                <w:i/>
              </w:rPr>
              <w:t xml:space="preserve">Изх. № </w:t>
            </w:r>
            <w:r w:rsidR="00566D79" w:rsidRPr="00BE3282">
              <w:rPr>
                <w:rFonts w:cs="Calibri"/>
                <w:b/>
                <w:i/>
              </w:rPr>
              <w:t xml:space="preserve">02-00-58/24.11.2022 </w:t>
            </w:r>
            <w:r w:rsidRPr="00BE3282">
              <w:rPr>
                <w:rFonts w:cs="Calibri"/>
                <w:b/>
                <w:i/>
              </w:rPr>
              <w:t>г</w:t>
            </w:r>
            <w:r w:rsidRPr="00BE3282">
              <w:rPr>
                <w:rFonts w:cs="Calibri"/>
                <w:b/>
              </w:rPr>
              <w:t>.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4CB3" w:rsidRPr="00BE3282" w:rsidRDefault="00B14CB3" w:rsidP="00846D4F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bCs/>
                <w:color w:val="000000"/>
                <w:lang w:eastAsia="bg-BG"/>
              </w:rPr>
            </w:pPr>
            <w:r w:rsidRPr="00BE3282">
              <w:rPr>
                <w:rFonts w:cs="Calibri"/>
                <w:b/>
                <w:bCs/>
                <w:color w:val="000000"/>
                <w:lang w:eastAsia="bg-BG"/>
              </w:rPr>
              <w:t xml:space="preserve">ДО </w:t>
            </w:r>
          </w:p>
          <w:p w:rsidR="0091422C" w:rsidRPr="00BE3282" w:rsidRDefault="0091422C" w:rsidP="00846D4F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  <w:lang w:eastAsia="bg-BG"/>
              </w:rPr>
            </w:pPr>
            <w:r w:rsidRPr="00BE3282">
              <w:rPr>
                <w:rFonts w:cs="Calibri"/>
                <w:b/>
                <w:bCs/>
                <w:color w:val="000000"/>
                <w:lang w:eastAsia="bg-BG"/>
              </w:rPr>
              <w:t>Г-Н ВЕЖДИ РАШИДОВ</w:t>
            </w:r>
            <w:r w:rsidRPr="00BE3282">
              <w:rPr>
                <w:rFonts w:cs="Calibri"/>
                <w:b/>
                <w:bCs/>
                <w:color w:val="000000"/>
                <w:lang w:eastAsia="bg-BG"/>
              </w:rPr>
              <w:br/>
            </w:r>
            <w:r w:rsidRPr="00BE3282">
              <w:rPr>
                <w:rFonts w:cs="Calibri"/>
                <w:bCs/>
                <w:color w:val="000000"/>
                <w:lang w:eastAsia="bg-BG"/>
              </w:rPr>
              <w:t>ПРЕДСЕДАТЕЛ НА 48-ТО НАРОДНО СЪБРАНИЕ</w:t>
            </w:r>
          </w:p>
          <w:p w:rsidR="00B14CB3" w:rsidRPr="00BE3282" w:rsidRDefault="00A54CBA" w:rsidP="00846D4F">
            <w:pPr>
              <w:spacing w:after="120" w:line="240" w:lineRule="auto"/>
              <w:rPr>
                <w:bCs/>
              </w:rPr>
            </w:pPr>
            <w:r w:rsidRPr="00BE3282">
              <w:rPr>
                <w:b/>
                <w:bCs/>
              </w:rPr>
              <w:t>Г-Н ГЪЛЪБ ДОНЕВ</w:t>
            </w:r>
            <w:r w:rsidRPr="00BE3282">
              <w:rPr>
                <w:b/>
                <w:bCs/>
              </w:rPr>
              <w:br/>
            </w:r>
            <w:r w:rsidRPr="00BE3282">
              <w:rPr>
                <w:bCs/>
              </w:rPr>
              <w:t>МИНИСТЪР-ПРЕДСЕДАТЕЛ</w:t>
            </w:r>
            <w:r w:rsidRPr="00BE3282">
              <w:rPr>
                <w:bCs/>
              </w:rPr>
              <w:br/>
              <w:t>НА РЕПУБЛИКА БЪЛГАРИЯ</w:t>
            </w:r>
          </w:p>
        </w:tc>
      </w:tr>
      <w:tr w:rsidR="00AB6246" w:rsidRPr="00BE3282" w:rsidTr="00566D79">
        <w:trPr>
          <w:trHeight w:val="780"/>
        </w:trPr>
        <w:tc>
          <w:tcPr>
            <w:tcW w:w="510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B6246" w:rsidRPr="00BE3282" w:rsidRDefault="00AB6246" w:rsidP="00846D4F">
            <w:pPr>
              <w:spacing w:after="120" w:line="240" w:lineRule="auto"/>
              <w:jc w:val="right"/>
              <w:rPr>
                <w:rFonts w:cs="Calibri"/>
                <w:b/>
              </w:rPr>
            </w:pPr>
            <w:r w:rsidRPr="00BE3282">
              <w:rPr>
                <w:rFonts w:cs="Calibri"/>
                <w:b/>
              </w:rPr>
              <w:t>КОПИЕ: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1422C" w:rsidRPr="00BE3282" w:rsidRDefault="0091422C" w:rsidP="00846D4F">
            <w:pPr>
              <w:spacing w:after="120" w:line="240" w:lineRule="auto"/>
              <w:rPr>
                <w:b/>
                <w:bCs/>
              </w:rPr>
            </w:pPr>
          </w:p>
          <w:p w:rsidR="0091422C" w:rsidRPr="00BE3282" w:rsidRDefault="0091422C" w:rsidP="00846D4F">
            <w:pPr>
              <w:spacing w:after="120" w:line="240" w:lineRule="auto"/>
              <w:rPr>
                <w:bCs/>
              </w:rPr>
            </w:pPr>
            <w:r w:rsidRPr="00BE3282">
              <w:rPr>
                <w:b/>
                <w:bCs/>
              </w:rPr>
              <w:t>Г-Н ДЕЛЯН ДОБРЕВ</w:t>
            </w:r>
            <w:r w:rsidRPr="00BE3282">
              <w:rPr>
                <w:b/>
                <w:bCs/>
              </w:rPr>
              <w:br/>
            </w:r>
            <w:r w:rsidRPr="00BE3282">
              <w:rPr>
                <w:bCs/>
              </w:rPr>
              <w:t>ПРЕДСЕДАТЕЛ НА КОМИСИЯ ПО ЕНЕРГЕТИКА</w:t>
            </w:r>
            <w:r w:rsidRPr="00BE3282">
              <w:rPr>
                <w:bCs/>
              </w:rPr>
              <w:br/>
              <w:t>ПРИ 48-ТО НАРОДНО СЪБРАНИЕ</w:t>
            </w:r>
          </w:p>
          <w:p w:rsidR="0091422C" w:rsidRPr="00BE3282" w:rsidRDefault="0091422C" w:rsidP="00846D4F">
            <w:pPr>
              <w:spacing w:after="120" w:line="240" w:lineRule="auto"/>
              <w:rPr>
                <w:bCs/>
              </w:rPr>
            </w:pPr>
            <w:r w:rsidRPr="00BE3282">
              <w:rPr>
                <w:b/>
                <w:bCs/>
              </w:rPr>
              <w:t>Г-Н ПЕТЪР ЧОБ</w:t>
            </w:r>
            <w:r w:rsidR="007D5159" w:rsidRPr="00BE3282">
              <w:rPr>
                <w:b/>
                <w:bCs/>
              </w:rPr>
              <w:t>А</w:t>
            </w:r>
            <w:r w:rsidRPr="00BE3282">
              <w:rPr>
                <w:b/>
                <w:bCs/>
              </w:rPr>
              <w:t>НОВ</w:t>
            </w:r>
            <w:r w:rsidRPr="00BE3282">
              <w:rPr>
                <w:b/>
                <w:bCs/>
              </w:rPr>
              <w:br/>
            </w:r>
            <w:r w:rsidRPr="00BE3282">
              <w:rPr>
                <w:bCs/>
              </w:rPr>
              <w:t>ПРЕДСЕДАТЕЛ НА КОМИСИЯ ПО БЮДЖЕТ И ФИНАНСИ ПРИ 48-ТО НАРОДНО СЪБРАНИЕ</w:t>
            </w:r>
          </w:p>
          <w:p w:rsidR="0091422C" w:rsidRPr="00BE3282" w:rsidRDefault="0091422C" w:rsidP="00846D4F">
            <w:pPr>
              <w:spacing w:after="120" w:line="240" w:lineRule="auto"/>
              <w:rPr>
                <w:bCs/>
              </w:rPr>
            </w:pPr>
            <w:r w:rsidRPr="00BE3282">
              <w:rPr>
                <w:b/>
                <w:bCs/>
              </w:rPr>
              <w:t>Г-Н МАРТИН ДИМИТРОВ</w:t>
            </w:r>
            <w:r w:rsidRPr="00BE3282">
              <w:rPr>
                <w:bCs/>
              </w:rPr>
              <w:br/>
              <w:t>ПРЕДСЕДАТЕЛ НА КОМИСИЯ ПО ИКОНОМИЧЕСКА ПОЛИТИКА И ИНОВАЦИИ</w:t>
            </w:r>
            <w:r w:rsidRPr="00BE3282">
              <w:rPr>
                <w:bCs/>
              </w:rPr>
              <w:br/>
              <w:t>ПРИ 48-ТО НАРОДНО СЪБРАНИЕ</w:t>
            </w:r>
          </w:p>
          <w:p w:rsidR="00A54CBA" w:rsidRPr="00BE3282" w:rsidRDefault="00A54CBA" w:rsidP="00846D4F">
            <w:pPr>
              <w:spacing w:after="120" w:line="240" w:lineRule="auto"/>
              <w:rPr>
                <w:bCs/>
              </w:rPr>
            </w:pPr>
            <w:r w:rsidRPr="00BE3282">
              <w:rPr>
                <w:b/>
                <w:bCs/>
              </w:rPr>
              <w:t>Г-Н ХРИСТО АЛЕКСИЕВ</w:t>
            </w:r>
            <w:r w:rsidRPr="00BE3282">
              <w:rPr>
                <w:b/>
                <w:bCs/>
              </w:rPr>
              <w:br/>
            </w:r>
            <w:r w:rsidRPr="00BE3282">
              <w:rPr>
                <w:bCs/>
              </w:rPr>
              <w:t>ЗАМЕСТНИК МИНИСТЪР-ПРЕДСЕДАТЕЛ</w:t>
            </w:r>
            <w:r w:rsidRPr="00BE3282">
              <w:rPr>
                <w:bCs/>
              </w:rPr>
              <w:br/>
              <w:t>НА РЕПУБЛИКА БЪЛГАРИЯ И ПРЕДСЕДАТЕЛ НА КРИЗИСНИЯ ЩАБ ПО ЕНЕРГЕТИКАТА</w:t>
            </w:r>
          </w:p>
          <w:p w:rsidR="00F75EBE" w:rsidRPr="00BE3282" w:rsidRDefault="00846D4F" w:rsidP="00846D4F">
            <w:pPr>
              <w:spacing w:after="120" w:line="240" w:lineRule="auto"/>
              <w:rPr>
                <w:b/>
                <w:bCs/>
              </w:rPr>
            </w:pPr>
            <w:r w:rsidRPr="00BE3282">
              <w:rPr>
                <w:b/>
                <w:bCs/>
              </w:rPr>
              <w:t>Г-ЖА РОСИЦА ВЕЛКОВА-ЖЕЛЛЕВА</w:t>
            </w:r>
            <w:r w:rsidRPr="00BE3282">
              <w:rPr>
                <w:bCs/>
              </w:rPr>
              <w:br/>
              <w:t>МИНИСТЪР НА ФИНАНСИТЕ</w:t>
            </w:r>
          </w:p>
          <w:p w:rsidR="00A54CBA" w:rsidRPr="00BE3282" w:rsidRDefault="00A54CBA" w:rsidP="00846D4F">
            <w:pPr>
              <w:spacing w:after="120" w:line="240" w:lineRule="auto"/>
              <w:rPr>
                <w:bCs/>
              </w:rPr>
            </w:pPr>
            <w:r w:rsidRPr="00BE3282">
              <w:rPr>
                <w:b/>
                <w:bCs/>
              </w:rPr>
              <w:t>Г-Н РОСЕН ХРИСТОВ</w:t>
            </w:r>
            <w:r w:rsidRPr="00BE3282">
              <w:rPr>
                <w:b/>
                <w:bCs/>
              </w:rPr>
              <w:br/>
            </w:r>
            <w:r w:rsidRPr="00BE3282">
              <w:rPr>
                <w:bCs/>
              </w:rPr>
              <w:t>МИНИСТЪР НА ЕНЕРГЕТИКАТА</w:t>
            </w:r>
          </w:p>
          <w:p w:rsidR="00AB6246" w:rsidRPr="00BE3282" w:rsidRDefault="00A54CBA" w:rsidP="00846D4F">
            <w:pPr>
              <w:spacing w:after="120" w:line="240" w:lineRule="auto"/>
              <w:rPr>
                <w:bCs/>
              </w:rPr>
            </w:pPr>
            <w:r w:rsidRPr="00BE3282">
              <w:rPr>
                <w:b/>
                <w:bCs/>
              </w:rPr>
              <w:t>Г-ЖА ЛЮБОМИРА ГАНЧЕВА</w:t>
            </w:r>
            <w:r w:rsidRPr="00BE3282">
              <w:rPr>
                <w:b/>
                <w:bCs/>
              </w:rPr>
              <w:br/>
            </w:r>
            <w:r w:rsidRPr="00BE3282">
              <w:rPr>
                <w:bCs/>
              </w:rPr>
              <w:t>СЕКРЕТАР НА КРИЗИСНИЯ ЩАБ ПО ЕНЕРГЕТИКАТА</w:t>
            </w:r>
          </w:p>
          <w:p w:rsidR="00566D79" w:rsidRPr="00BE3282" w:rsidRDefault="00566D79" w:rsidP="00846D4F">
            <w:pPr>
              <w:spacing w:after="120" w:line="240" w:lineRule="auto"/>
              <w:rPr>
                <w:b/>
                <w:bCs/>
                <w:sz w:val="16"/>
              </w:rPr>
            </w:pPr>
          </w:p>
        </w:tc>
      </w:tr>
      <w:tr w:rsidR="00B14CB3" w:rsidRPr="00BE3282">
        <w:tblPrEx>
          <w:tblCellMar>
            <w:left w:w="0" w:type="dxa"/>
            <w:right w:w="0" w:type="dxa"/>
          </w:tblCellMar>
        </w:tblPrEx>
        <w:tc>
          <w:tcPr>
            <w:tcW w:w="1206" w:type="dxa"/>
          </w:tcPr>
          <w:p w:rsidR="00B14CB3" w:rsidRPr="00BE3282" w:rsidRDefault="00B14CB3" w:rsidP="00846D4F">
            <w:pPr>
              <w:spacing w:after="120" w:line="240" w:lineRule="auto"/>
              <w:jc w:val="both"/>
              <w:rPr>
                <w:rFonts w:cs="Calibri"/>
                <w:b/>
              </w:rPr>
            </w:pPr>
            <w:r w:rsidRPr="00BE3282">
              <w:rPr>
                <w:rFonts w:cs="Calibri"/>
                <w:b/>
              </w:rPr>
              <w:t>ОТНОСНО:</w:t>
            </w:r>
          </w:p>
        </w:tc>
        <w:tc>
          <w:tcPr>
            <w:tcW w:w="8433" w:type="dxa"/>
            <w:gridSpan w:val="2"/>
          </w:tcPr>
          <w:p w:rsidR="00B14CB3" w:rsidRPr="00BE3282" w:rsidRDefault="00A54CBA" w:rsidP="00E4243C">
            <w:pPr>
              <w:spacing w:after="120" w:line="240" w:lineRule="auto"/>
              <w:jc w:val="both"/>
              <w:rPr>
                <w:rFonts w:cs="Calibri"/>
              </w:rPr>
            </w:pPr>
            <w:r w:rsidRPr="00BE3282">
              <w:rPr>
                <w:b/>
                <w:bCs/>
              </w:rPr>
              <w:t>Проект на Постановление на Министерския съвет за мерки по прилагане на Регламент (ЕС) 2022/1854 на Съвета от 6 октомври 2022 г. относно спешна намеса за справяне с високите цени на енергията</w:t>
            </w:r>
            <w:r w:rsidR="00E4243C" w:rsidRPr="00BE3282">
              <w:rPr>
                <w:b/>
                <w:bCs/>
              </w:rPr>
              <w:t xml:space="preserve"> и внесени предложения за нови преходни и заключителни разпоредби в Закона за корпоративното подоходно облагане със сигнатура 48-254-04-33 от 23.11.2022 г.</w:t>
            </w:r>
          </w:p>
        </w:tc>
      </w:tr>
    </w:tbl>
    <w:p w:rsidR="00B14CB3" w:rsidRPr="00BE3282" w:rsidRDefault="00B14CB3" w:rsidP="00846D4F">
      <w:pPr>
        <w:spacing w:after="120" w:line="240" w:lineRule="auto"/>
        <w:jc w:val="both"/>
        <w:rPr>
          <w:rFonts w:cs="Calibri"/>
          <w:b/>
        </w:rPr>
      </w:pPr>
      <w:r w:rsidRPr="00BE3282">
        <w:rPr>
          <w:rFonts w:cs="Calibri"/>
          <w:b/>
        </w:rPr>
        <w:t xml:space="preserve">        </w:t>
      </w:r>
    </w:p>
    <w:p w:rsidR="0091422C" w:rsidRPr="00BE3282" w:rsidRDefault="0091422C" w:rsidP="00846D4F">
      <w:pPr>
        <w:spacing w:after="120" w:line="240" w:lineRule="auto"/>
        <w:ind w:firstLine="567"/>
        <w:jc w:val="both"/>
        <w:rPr>
          <w:rFonts w:cs="Calibri"/>
          <w:b/>
        </w:rPr>
      </w:pPr>
      <w:r w:rsidRPr="00BE3282">
        <w:rPr>
          <w:rFonts w:cs="Calibri"/>
          <w:b/>
        </w:rPr>
        <w:t>УВАЖАЕМИ ГОСПОДИН ПРЕДСЕДАТЕЛ НА НАРОДНОТО СЪБРАНИЕ,</w:t>
      </w:r>
    </w:p>
    <w:p w:rsidR="00B14CB3" w:rsidRPr="00BE3282" w:rsidRDefault="00B14CB3" w:rsidP="00846D4F">
      <w:pPr>
        <w:spacing w:after="120" w:line="240" w:lineRule="auto"/>
        <w:ind w:firstLine="567"/>
        <w:jc w:val="both"/>
        <w:rPr>
          <w:rFonts w:cs="Calibri"/>
          <w:b/>
        </w:rPr>
      </w:pPr>
      <w:r w:rsidRPr="00BE3282">
        <w:rPr>
          <w:rFonts w:cs="Calibri"/>
          <w:b/>
        </w:rPr>
        <w:t>УВАЖАЕМИ</w:t>
      </w:r>
      <w:r w:rsidR="00A54CBA" w:rsidRPr="00BE3282">
        <w:rPr>
          <w:rFonts w:cs="Calibri"/>
          <w:b/>
        </w:rPr>
        <w:t xml:space="preserve"> ГОСПОДИН </w:t>
      </w:r>
      <w:r w:rsidR="00A54CBA" w:rsidRPr="00BE3282">
        <w:rPr>
          <w:b/>
          <w:bCs/>
        </w:rPr>
        <w:t>МИНИСТЪР-ПРЕДСЕДАТЕЛ,</w:t>
      </w:r>
    </w:p>
    <w:p w:rsidR="00A54CBA" w:rsidRPr="00BE3282" w:rsidRDefault="00A54CBA" w:rsidP="00846D4F">
      <w:pPr>
        <w:spacing w:after="120" w:line="240" w:lineRule="auto"/>
        <w:ind w:firstLine="567"/>
        <w:jc w:val="both"/>
        <w:rPr>
          <w:bCs/>
        </w:rPr>
      </w:pPr>
      <w:r w:rsidRPr="00BE3282">
        <w:rPr>
          <w:bCs/>
        </w:rPr>
        <w:t>На 21 ноември 2022 г. за обществено обсъждане е публикуван Проект на Постановление на Министерския съвет за мерки по прилагане на Регламент (ЕС) 2022/1854 на Съвета от 6 октомври 2022 г. относно спешна намеса за справяне с високите цени на енергията (Регламентът). С него се определят таваните на приходите на производителите на електрическа енергия.</w:t>
      </w:r>
    </w:p>
    <w:p w:rsidR="00575BD7" w:rsidRPr="00BE3282" w:rsidRDefault="00575BD7" w:rsidP="00846D4F">
      <w:pPr>
        <w:spacing w:after="120" w:line="240" w:lineRule="auto"/>
        <w:ind w:firstLine="567"/>
        <w:jc w:val="both"/>
        <w:rPr>
          <w:bCs/>
        </w:rPr>
      </w:pPr>
      <w:r w:rsidRPr="00BE3282">
        <w:rPr>
          <w:bCs/>
        </w:rPr>
        <w:lastRenderedPageBreak/>
        <w:t>Подобни текстове са предложени и от група народни представители във вид на предложения за нов параграф в Преходните и заключителните разпоредби на Закона за корпоративното подоходно облагане. Текстовете са със сигнатура 48-254-04-33 и са внесени между първо и второ четене на 23.11.2022 г.</w:t>
      </w:r>
    </w:p>
    <w:p w:rsidR="00A54CBA" w:rsidRPr="00BE3282" w:rsidRDefault="00A54CBA" w:rsidP="00846D4F">
      <w:pPr>
        <w:spacing w:after="120" w:line="240" w:lineRule="auto"/>
        <w:ind w:firstLine="567"/>
        <w:jc w:val="both"/>
        <w:rPr>
          <w:b/>
          <w:bCs/>
        </w:rPr>
      </w:pPr>
      <w:r w:rsidRPr="00BE3282">
        <w:rPr>
          <w:b/>
          <w:bCs/>
        </w:rPr>
        <w:t>Изразяваме енергичния си протест срещу така определените стойности!</w:t>
      </w:r>
    </w:p>
    <w:p w:rsidR="00A54CBA" w:rsidRPr="00BE3282" w:rsidRDefault="00A54CBA" w:rsidP="00846D4F">
      <w:pPr>
        <w:spacing w:after="120" w:line="240" w:lineRule="auto"/>
        <w:ind w:firstLine="567"/>
        <w:jc w:val="both"/>
        <w:rPr>
          <w:bCs/>
        </w:rPr>
      </w:pPr>
      <w:r w:rsidRPr="00BE3282">
        <w:rPr>
          <w:bCs/>
        </w:rPr>
        <w:t>На първо място, за пореден път не е представен анализ по какъв начин са определени тези тавани, какъв ресурс ще се генерира при изземването на неочакваните приходи от производителите, както и дали тези средства ще са достатъчни за осигуряването на бюджета на програмата за компенсиране на крайните небитови клиенти на електрическа енергия.</w:t>
      </w:r>
    </w:p>
    <w:p w:rsidR="00A54CBA" w:rsidRPr="00BE3282" w:rsidRDefault="00A54CBA" w:rsidP="00846D4F">
      <w:pPr>
        <w:spacing w:after="120" w:line="240" w:lineRule="auto"/>
        <w:ind w:firstLine="567"/>
        <w:jc w:val="both"/>
        <w:rPr>
          <w:bCs/>
        </w:rPr>
      </w:pPr>
      <w:r w:rsidRPr="00BE3282">
        <w:rPr>
          <w:bCs/>
        </w:rPr>
        <w:t xml:space="preserve">Отново се прилага обратна логика. Вместо да се оцени бюджетът на програмата за компенсиране и на тази база да се приложи Регламент (ЕС) 2022/1854, се залагат тавани на приходите, а бюджетът за компенсациите ще се сметне въз основа на каквото се събере. Отбелязваме, че съгласно чл. 8, пар. 1, б. а) от регламента, страните-членки могат допълнително да ограничат приходите на производителите по чл. 7, пар. 1. </w:t>
      </w:r>
      <w:r w:rsidRPr="00BE3282">
        <w:rPr>
          <w:b/>
          <w:bCs/>
        </w:rPr>
        <w:t xml:space="preserve">Считаме, че настоящите тавани са </w:t>
      </w:r>
      <w:r w:rsidR="00F75EBE" w:rsidRPr="00BE3282">
        <w:rPr>
          <w:b/>
          <w:bCs/>
        </w:rPr>
        <w:t xml:space="preserve">далече и подозрително щедро </w:t>
      </w:r>
      <w:r w:rsidRPr="00BE3282">
        <w:rPr>
          <w:b/>
          <w:bCs/>
        </w:rPr>
        <w:t>над равнищата, които гарантират нормална възвръщаемост на производителите и н</w:t>
      </w:r>
      <w:r w:rsidR="00F75EBE" w:rsidRPr="00BE3282">
        <w:rPr>
          <w:b/>
          <w:bCs/>
        </w:rPr>
        <w:t>астояваме те да бъдат променени, в някои случаи – в пъти</w:t>
      </w:r>
      <w:r w:rsidRPr="00BE3282">
        <w:rPr>
          <w:b/>
          <w:bCs/>
        </w:rPr>
        <w:t>!</w:t>
      </w:r>
    </w:p>
    <w:p w:rsidR="00A54CBA" w:rsidRPr="00BE3282" w:rsidRDefault="00A54CBA" w:rsidP="00846D4F">
      <w:pPr>
        <w:spacing w:after="120" w:line="240" w:lineRule="auto"/>
        <w:ind w:firstLine="567"/>
        <w:jc w:val="both"/>
        <w:rPr>
          <w:b/>
        </w:rPr>
      </w:pPr>
      <w:r w:rsidRPr="00BE3282">
        <w:rPr>
          <w:bCs/>
        </w:rPr>
        <w:t>На второ място, с писмо на АОБР с и</w:t>
      </w:r>
      <w:r w:rsidRPr="00BE3282">
        <w:rPr>
          <w:iCs/>
        </w:rPr>
        <w:t>зх. № 03-00-30/25.10.2022 г</w:t>
      </w:r>
      <w:r w:rsidRPr="00BE3282">
        <w:t xml:space="preserve">., адресирано до заместник министър-председателя по икономическите политики и председател на кризисния щаб по енергетиката г-н Христо Алексиев, изразихме протеста на бизнеса относно таваните на приходите, които бяха разисквани и в рамките на заседания на щаба и на срещи в Министерството на енергетиката. </w:t>
      </w:r>
      <w:r w:rsidRPr="00BE3282">
        <w:rPr>
          <w:b/>
        </w:rPr>
        <w:t>Нашите аргументи на практика не са взети под внимание.</w:t>
      </w:r>
    </w:p>
    <w:p w:rsidR="00846D4F" w:rsidRPr="00BE3282" w:rsidRDefault="00846D4F" w:rsidP="00846D4F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Cs/>
        </w:rPr>
      </w:pPr>
      <w:r w:rsidRPr="00BE3282">
        <w:rPr>
          <w:bCs/>
        </w:rPr>
        <w:t xml:space="preserve">По отношение на </w:t>
      </w:r>
      <w:r w:rsidRPr="00BE3282">
        <w:rPr>
          <w:b/>
          <w:bCs/>
          <w:u w:val="single"/>
        </w:rPr>
        <w:t>атомната електрическа централа</w:t>
      </w:r>
      <w:r w:rsidRPr="00BE3282">
        <w:rPr>
          <w:bCs/>
        </w:rPr>
        <w:t>, предложения таван на приходите в размер на 180 ,00 лв./</w:t>
      </w:r>
      <w:r w:rsidRPr="00BE3282">
        <w:rPr>
          <w:bCs/>
          <w:lang w:val="en-US"/>
        </w:rPr>
        <w:t>MWh</w:t>
      </w:r>
      <w:r w:rsidRPr="00BE3282">
        <w:rPr>
          <w:bCs/>
        </w:rPr>
        <w:t xml:space="preserve"> е три пъти по-висок от определената от КЕВР цена за регулирания пазар, в която освен гарантирана възвръщаемост, са включени както разходите за гориво, така и всички останали разходи. Поради това, намираме, че действителният таван на приходите на ядрената централа следва да се намали над 2 пъти.</w:t>
      </w:r>
    </w:p>
    <w:p w:rsidR="00846D4F" w:rsidRPr="00BE3282" w:rsidRDefault="00846D4F" w:rsidP="00846D4F">
      <w:pPr>
        <w:spacing w:after="120" w:line="240" w:lineRule="auto"/>
        <w:jc w:val="both"/>
        <w:rPr>
          <w:bCs/>
        </w:rPr>
      </w:pPr>
      <w:r w:rsidRPr="00BE3282">
        <w:rPr>
          <w:rFonts w:ascii="Times New Roman" w:hAnsi="Times New Roman"/>
          <w:b/>
          <w:sz w:val="24"/>
          <w:szCs w:val="24"/>
          <w:u w:val="single"/>
        </w:rPr>
        <w:t>82,09лв/MWh е рационален праг за АЕЦ Козлодуй ЕАД (Приложение 1)</w:t>
      </w:r>
    </w:p>
    <w:p w:rsidR="00846D4F" w:rsidRPr="00BE3282" w:rsidRDefault="00846D4F" w:rsidP="00846D4F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Cs/>
        </w:rPr>
      </w:pPr>
      <w:r w:rsidRPr="00BE3282">
        <w:rPr>
          <w:bCs/>
        </w:rPr>
        <w:t xml:space="preserve">Противопоставяме се на практическото изключване на големите </w:t>
      </w:r>
      <w:r w:rsidRPr="00BE3282">
        <w:rPr>
          <w:b/>
          <w:bCs/>
          <w:u w:val="single"/>
        </w:rPr>
        <w:t>ВЕЦ на НЕК</w:t>
      </w:r>
      <w:r w:rsidRPr="00BE3282">
        <w:rPr>
          <w:bCs/>
        </w:rPr>
        <w:t xml:space="preserve"> с предвиденото изваждане на всички ВЕЦ с изравнител от механизма за прилагане на таван на приходите. Чл. 8, пар. 1, б. д) на Регламента дава възможност за включването им в механизма за налагане на таван на приходите. Изключването на най-големия производител на енергия от ВЕЦ в страната и един от крупните електропроизводители по принцип</w:t>
      </w:r>
      <w:r w:rsidRPr="00BE3282">
        <w:rPr>
          <w:rStyle w:val="FootnoteReference"/>
          <w:bCs/>
        </w:rPr>
        <w:footnoteReference w:id="1"/>
      </w:r>
      <w:r w:rsidRPr="00BE3282">
        <w:rPr>
          <w:bCs/>
        </w:rPr>
        <w:t xml:space="preserve"> е необосновано и създава допълнителни изкривявания в предложения с проекта на ПМС подход.</w:t>
      </w:r>
    </w:p>
    <w:p w:rsidR="00846D4F" w:rsidRPr="00BE3282" w:rsidRDefault="00846D4F" w:rsidP="00846D4F">
      <w:pPr>
        <w:spacing w:after="120" w:line="240" w:lineRule="auto"/>
        <w:jc w:val="both"/>
        <w:rPr>
          <w:bCs/>
        </w:rPr>
      </w:pPr>
      <w:r w:rsidRPr="00BE3282">
        <w:rPr>
          <w:rFonts w:ascii="Times New Roman" w:hAnsi="Times New Roman"/>
          <w:b/>
          <w:sz w:val="24"/>
          <w:szCs w:val="24"/>
          <w:u w:val="single"/>
        </w:rPr>
        <w:t>96,08 лв/MWh е рационален праг за водноелектрическите централи на НЕК е цена от (Приложение 1).</w:t>
      </w:r>
    </w:p>
    <w:p w:rsidR="00A54CBA" w:rsidRPr="00BE3282" w:rsidRDefault="00A54CBA" w:rsidP="00846D4F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Cs/>
        </w:rPr>
      </w:pPr>
      <w:r w:rsidRPr="00BE3282">
        <w:t xml:space="preserve">За пореден път възразяваме </w:t>
      </w:r>
      <w:r w:rsidRPr="00BE3282">
        <w:rPr>
          <w:bCs/>
        </w:rPr>
        <w:t xml:space="preserve">срещу завишаването на тавана на </w:t>
      </w:r>
      <w:r w:rsidRPr="00BE3282">
        <w:rPr>
          <w:b/>
          <w:bCs/>
          <w:u w:val="single"/>
        </w:rPr>
        <w:t>кондензационните въглищни централи</w:t>
      </w:r>
      <w:r w:rsidRPr="00BE3282">
        <w:rPr>
          <w:bCs/>
        </w:rPr>
        <w:t xml:space="preserve"> от</w:t>
      </w:r>
      <w:r w:rsidR="00F75EBE" w:rsidRPr="00BE3282">
        <w:rPr>
          <w:bCs/>
        </w:rPr>
        <w:t xml:space="preserve"> и без това високият </w:t>
      </w:r>
      <w:r w:rsidRPr="00BE3282">
        <w:rPr>
          <w:bCs/>
        </w:rPr>
        <w:t xml:space="preserve"> 180 лв./MWh + разходите за емисии на 350 лв./MWh + разходите за емисии. Благодарение на пазарната конюнктура тези централи реализират производствени рекорди, съответно – пазарна реализация и произтичащите оттам завишени приходи</w:t>
      </w:r>
      <w:r w:rsidR="00F75EBE" w:rsidRPr="00BE3282">
        <w:rPr>
          <w:bCs/>
        </w:rPr>
        <w:t xml:space="preserve"> и свръх печалби</w:t>
      </w:r>
      <w:r w:rsidRPr="00BE3282">
        <w:rPr>
          <w:bCs/>
        </w:rPr>
        <w:t>, които не се дължат на повишена технологична или финансово-икономическа ефективност.</w:t>
      </w:r>
    </w:p>
    <w:p w:rsidR="00A54CBA" w:rsidRPr="00BE3282" w:rsidRDefault="00A54CBA" w:rsidP="00846D4F">
      <w:pPr>
        <w:spacing w:after="120" w:line="240" w:lineRule="auto"/>
        <w:ind w:firstLine="567"/>
        <w:jc w:val="both"/>
        <w:rPr>
          <w:bCs/>
        </w:rPr>
      </w:pPr>
      <w:r w:rsidRPr="00BE3282">
        <w:rPr>
          <w:bCs/>
        </w:rPr>
        <w:t xml:space="preserve">Припомняме, че работата на тези централи дълго време беше подпомагана от бизнеса и цялото общество през цена „задължения към обществото“ с около </w:t>
      </w:r>
      <w:r w:rsidR="00F75EBE" w:rsidRPr="00BE3282">
        <w:rPr>
          <w:bCs/>
        </w:rPr>
        <w:t>750 млн.</w:t>
      </w:r>
      <w:r w:rsidRPr="00BE3282">
        <w:rPr>
          <w:bCs/>
        </w:rPr>
        <w:t xml:space="preserve"> лв. годишно, тъй като не можеха да работят на пазарен принцип. Считаме, че е справедливо в настоящата ситуация кондензационните централи да подкрепят потребителите на електроенергия, възстановявайки част от платените от тях средства, получени единствено поради наличието на пазарен дефект.</w:t>
      </w:r>
    </w:p>
    <w:p w:rsidR="00F75EBE" w:rsidRPr="00BE3282" w:rsidRDefault="004A4D94" w:rsidP="00846D4F">
      <w:pPr>
        <w:spacing w:after="120" w:line="240" w:lineRule="auto"/>
        <w:jc w:val="both"/>
        <w:rPr>
          <w:bCs/>
        </w:rPr>
      </w:pPr>
      <w:r w:rsidRPr="00BE3282">
        <w:rPr>
          <w:rFonts w:ascii="Times New Roman" w:hAnsi="Times New Roman"/>
          <w:b/>
          <w:sz w:val="24"/>
          <w:szCs w:val="24"/>
          <w:u w:val="single"/>
        </w:rPr>
        <w:t>125 лв/MWh</w:t>
      </w:r>
      <w:r w:rsidRPr="00BE328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3282">
        <w:rPr>
          <w:rFonts w:ascii="Times New Roman" w:hAnsi="Times New Roman"/>
          <w:b/>
          <w:sz w:val="24"/>
          <w:szCs w:val="24"/>
          <w:u w:val="single"/>
        </w:rPr>
        <w:t>+ разходите за СО2 квоти е обоснования праг за тези производители (вж. разчетите в Приложение 1).</w:t>
      </w:r>
    </w:p>
    <w:p w:rsidR="00137D1F" w:rsidRPr="00BE3282" w:rsidRDefault="00137D1F" w:rsidP="00137D1F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Cs/>
        </w:rPr>
      </w:pPr>
      <w:r w:rsidRPr="00BE3282">
        <w:rPr>
          <w:bCs/>
        </w:rPr>
        <w:lastRenderedPageBreak/>
        <w:t xml:space="preserve">Намираме определянето на таван на приходите от 350 лв./MWh на </w:t>
      </w:r>
      <w:r w:rsidRPr="00BE3282">
        <w:rPr>
          <w:b/>
          <w:bCs/>
          <w:u w:val="single"/>
        </w:rPr>
        <w:t>ВЕИ производителите</w:t>
      </w:r>
      <w:r w:rsidRPr="00BE3282">
        <w:rPr>
          <w:bCs/>
        </w:rPr>
        <w:t xml:space="preserve"> без договори за премии за необосновано. Предлаганата сега стойност е дори по-висока от предлаганите по-рано 320 лв./MWh. Това са производители с ниски производствени разходи, при които не се заплащат гориво (с изключение на биомасата, която е с малка инсталирана мощност) и емисии. Самото равнище на пазарните цени е обусловено от високите цени на изкопаемите горива и цените на емисиите. Следователно, и тези ВЕИ производители реализират неочакван приход, който не се дължи на повишената им технологична и икономическа ефективност. Смятаме, че този таван за ВЕИ без премии може да бъде свален поне 2 пъти.</w:t>
      </w:r>
    </w:p>
    <w:p w:rsidR="00137D1F" w:rsidRPr="00BE3282" w:rsidRDefault="00137D1F" w:rsidP="00137D1F">
      <w:pPr>
        <w:spacing w:after="120" w:line="240" w:lineRule="auto"/>
        <w:jc w:val="both"/>
        <w:rPr>
          <w:bCs/>
        </w:rPr>
      </w:pPr>
      <w:r w:rsidRPr="00BE3282">
        <w:rPr>
          <w:rFonts w:ascii="Times New Roman" w:hAnsi="Times New Roman"/>
          <w:b/>
          <w:sz w:val="24"/>
          <w:szCs w:val="24"/>
          <w:u w:val="single"/>
        </w:rPr>
        <w:t xml:space="preserve">160 лв/MWh е обоснованият праг за производителите на електрическа енергия от ВИ без договор за компенсиране с премии (Приложение 1). </w:t>
      </w:r>
    </w:p>
    <w:p w:rsidR="00137D1F" w:rsidRPr="00BE3282" w:rsidRDefault="00137D1F" w:rsidP="00137D1F">
      <w:pPr>
        <w:spacing w:after="120" w:line="240" w:lineRule="auto"/>
        <w:ind w:firstLine="567"/>
        <w:jc w:val="both"/>
        <w:rPr>
          <w:bCs/>
        </w:rPr>
      </w:pPr>
      <w:r w:rsidRPr="00BE3282">
        <w:rPr>
          <w:bCs/>
        </w:rPr>
        <w:t>Нещо повече, основната част от ВЕИ производителите (тези с право на договори с премии) също дълго време са подпомагани пряко или непряко от потребителите с около 750 млн. лв. годишно. Освен това, този тип производители бяха изключени от механизма за финансиране на компенсациите за небитовите крайни клиенти, а някои от тях получиха двоен приход от премия и от високата пазарна цена.</w:t>
      </w:r>
    </w:p>
    <w:p w:rsidR="00A54CBA" w:rsidRPr="00BE3282" w:rsidRDefault="00A54CBA" w:rsidP="00137D1F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Cs/>
        </w:rPr>
      </w:pPr>
      <w:r w:rsidRPr="00BE3282">
        <w:rPr>
          <w:bCs/>
        </w:rPr>
        <w:t>Не намираме основания и за изключването на „</w:t>
      </w:r>
      <w:r w:rsidRPr="00BE3282">
        <w:rPr>
          <w:b/>
          <w:bCs/>
          <w:u w:val="single"/>
        </w:rPr>
        <w:t>Мини Марица-изток</w:t>
      </w:r>
      <w:r w:rsidRPr="00BE3282">
        <w:rPr>
          <w:bCs/>
        </w:rPr>
        <w:t>“ от вноските в солидарния фонд. Наистина, цената на въглищата се определя със заповед на Министъра на енергетиката, а предприятието дълго време имаше незадоволителни финансови резултати. Припомняме, обаче, че дружеството понастоящем изнася въглища. Износът на източномаришки въглища никога не е бил предвиждан, което според нас е основание за облагането минимум на приходите от износ на въглища.</w:t>
      </w:r>
    </w:p>
    <w:p w:rsidR="00A54CBA" w:rsidRDefault="00A54CBA" w:rsidP="00846D4F">
      <w:pPr>
        <w:spacing w:after="120" w:line="240" w:lineRule="auto"/>
        <w:ind w:firstLine="567"/>
        <w:jc w:val="both"/>
        <w:rPr>
          <w:bCs/>
        </w:rPr>
      </w:pPr>
      <w:r w:rsidRPr="00BE3282">
        <w:rPr>
          <w:bCs/>
        </w:rPr>
        <w:t xml:space="preserve">От гореизложеното се вижда, че не се максимизират възможностите за осигуряване на приходите, необходими за компенсиране на небитовите потребители на електроенергия, което е крайната цел на Регламент (ЕС) 2022/1854. Регламентът цели подпомагане на икономиката в кризисна ситуация, а не осигуряване на </w:t>
      </w:r>
      <w:r w:rsidR="00394D2D" w:rsidRPr="00BE3282">
        <w:rPr>
          <w:bCs/>
        </w:rPr>
        <w:t xml:space="preserve">разточително </w:t>
      </w:r>
      <w:r w:rsidR="004A0A04" w:rsidRPr="00BE3282">
        <w:rPr>
          <w:bCs/>
        </w:rPr>
        <w:t xml:space="preserve">охолство </w:t>
      </w:r>
      <w:r w:rsidR="00394D2D" w:rsidRPr="00BE3282">
        <w:rPr>
          <w:bCs/>
        </w:rPr>
        <w:t>и комфорт</w:t>
      </w:r>
      <w:r w:rsidRPr="00BE3282">
        <w:rPr>
          <w:bCs/>
        </w:rPr>
        <w:t xml:space="preserve"> на енергетиката </w:t>
      </w:r>
      <w:r w:rsidR="00394D2D" w:rsidRPr="00BE3282">
        <w:rPr>
          <w:bCs/>
        </w:rPr>
        <w:t xml:space="preserve">за сметка на </w:t>
      </w:r>
      <w:r w:rsidRPr="00BE3282">
        <w:rPr>
          <w:bCs/>
        </w:rPr>
        <w:t xml:space="preserve"> съсипване на икономиката!</w:t>
      </w:r>
    </w:p>
    <w:p w:rsidR="007F0075" w:rsidRDefault="007F0075" w:rsidP="00846D4F">
      <w:pPr>
        <w:spacing w:after="120" w:line="240" w:lineRule="auto"/>
        <w:ind w:firstLine="567"/>
        <w:jc w:val="both"/>
        <w:rPr>
          <w:bCs/>
        </w:rPr>
      </w:pPr>
    </w:p>
    <w:p w:rsidR="007F0075" w:rsidRDefault="007F0075" w:rsidP="00846D4F">
      <w:pPr>
        <w:spacing w:after="120" w:line="240" w:lineRule="auto"/>
        <w:ind w:firstLine="567"/>
        <w:jc w:val="both"/>
        <w:rPr>
          <w:bCs/>
        </w:rPr>
      </w:pPr>
      <w:r w:rsidRPr="007F0075">
        <w:rPr>
          <w:bCs/>
          <w:i/>
          <w:u w:val="single"/>
        </w:rPr>
        <w:t>Приложение</w:t>
      </w:r>
      <w:r>
        <w:rPr>
          <w:bCs/>
        </w:rPr>
        <w:t>: Съгласно текста – Приложение1 „Аргументация на таваните на приходите по типове производители за определяне размера на целевите вноски“</w:t>
      </w:r>
    </w:p>
    <w:p w:rsidR="007F0075" w:rsidRPr="00BE3282" w:rsidRDefault="007F0075" w:rsidP="00846D4F">
      <w:pPr>
        <w:spacing w:after="120" w:line="240" w:lineRule="auto"/>
        <w:ind w:firstLine="567"/>
        <w:jc w:val="both"/>
        <w:rPr>
          <w:bCs/>
        </w:rPr>
      </w:pPr>
    </w:p>
    <w:p w:rsidR="00A54CBA" w:rsidRPr="00BE3282" w:rsidRDefault="00A54CBA" w:rsidP="00846D4F">
      <w:pPr>
        <w:spacing w:after="120" w:line="240" w:lineRule="auto"/>
        <w:jc w:val="both"/>
        <w:rPr>
          <w:bCs/>
        </w:rPr>
      </w:pPr>
    </w:p>
    <w:p w:rsidR="00B14CB3" w:rsidRDefault="00BB32C6" w:rsidP="00846D4F">
      <w:pPr>
        <w:spacing w:after="120" w:line="240" w:lineRule="auto"/>
        <w:ind w:left="5103"/>
        <w:rPr>
          <w:rFonts w:eastAsia="Times New Roman" w:cs="Calibri"/>
          <w:i/>
          <w:lang w:eastAsia="bg-BG"/>
        </w:rPr>
      </w:pPr>
      <w:r>
        <w:rPr>
          <w:rFonts w:eastAsia="Times New Roman" w:cs="Calibri"/>
          <w:b/>
          <w:lang w:eastAsia="bg-BG"/>
        </w:rPr>
        <w:t xml:space="preserve">АСОЦИАЦИЯ НА ОРГАНИЗАЦИИТЕ НА БЪЛГАРСКИТЕ РАБОТОДАТЕЛИ </w:t>
      </w:r>
      <w:r>
        <w:rPr>
          <w:rFonts w:eastAsia="Times New Roman" w:cs="Calibri"/>
          <w:b/>
          <w:lang w:eastAsia="bg-BG"/>
        </w:rPr>
        <w:br/>
        <w:t>(АИКБ, БСК, БТПП, КРИБ)</w:t>
      </w:r>
      <w:bookmarkStart w:id="0" w:name="_GoBack"/>
      <w:bookmarkEnd w:id="0"/>
    </w:p>
    <w:p w:rsidR="00B14CB3" w:rsidRDefault="00B14CB3" w:rsidP="00846D4F">
      <w:pPr>
        <w:spacing w:after="120" w:line="240" w:lineRule="auto"/>
        <w:ind w:left="4678"/>
        <w:rPr>
          <w:rFonts w:cs="Calibri"/>
          <w:i/>
        </w:rPr>
      </w:pPr>
    </w:p>
    <w:sectPr w:rsidR="00B14CB3">
      <w:footerReference w:type="default" r:id="rId7"/>
      <w:headerReference w:type="first" r:id="rId8"/>
      <w:footerReference w:type="first" r:id="rId9"/>
      <w:pgSz w:w="11906" w:h="16838"/>
      <w:pgMar w:top="993" w:right="1133" w:bottom="567" w:left="1134" w:header="624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06" w:rsidRDefault="000F0306">
      <w:pPr>
        <w:spacing w:after="0" w:line="240" w:lineRule="auto"/>
      </w:pPr>
      <w:r>
        <w:separator/>
      </w:r>
    </w:p>
  </w:endnote>
  <w:endnote w:type="continuationSeparator" w:id="0">
    <w:p w:rsidR="000F0306" w:rsidRDefault="000F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B3" w:rsidRDefault="00B14CB3">
    <w:pPr>
      <w:pStyle w:val="Footer"/>
      <w:pBdr>
        <w:top w:val="single" w:sz="4" w:space="1" w:color="1F4E79"/>
      </w:pBdr>
      <w:rPr>
        <w:rFonts w:ascii="Tahoma" w:hAnsi="Tahoma" w:cs="Tahoma"/>
        <w:sz w:val="18"/>
        <w:szCs w:val="18"/>
      </w:rPr>
    </w:pPr>
    <w:r>
      <w:t xml:space="preserve">Стр.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B32C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B32C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rFonts w:ascii="Tahoma" w:hAnsi="Tahoma" w:cs="Tahoma"/>
        <w:sz w:val="18"/>
        <w:szCs w:val="18"/>
      </w:rPr>
      <w:t xml:space="preserve">|    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TIME \@ "dd MMMM yyyy 'г.'" </w:instrText>
    </w:r>
    <w:r>
      <w:rPr>
        <w:rFonts w:ascii="Tahoma" w:hAnsi="Tahoma" w:cs="Tahoma"/>
        <w:sz w:val="18"/>
        <w:szCs w:val="18"/>
      </w:rPr>
      <w:fldChar w:fldCharType="separate"/>
    </w:r>
    <w:r w:rsidR="00BB32C6">
      <w:rPr>
        <w:rFonts w:ascii="Tahoma" w:hAnsi="Tahoma" w:cs="Tahoma"/>
        <w:noProof/>
        <w:sz w:val="18"/>
        <w:szCs w:val="18"/>
      </w:rPr>
      <w:t>24 ноември 2022 г.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, Асоциация на организациите на българските работодатели - </w:t>
    </w:r>
    <w:r w:rsidR="00212B0E">
      <w:fldChar w:fldCharType="begin"/>
    </w:r>
    <w:r w:rsidR="00212B0E">
      <w:instrText xml:space="preserve"> HYPERLINK "http://www.aobe.bg" </w:instrText>
    </w:r>
    <w:r w:rsidR="00212B0E">
      <w:fldChar w:fldCharType="separate"/>
    </w:r>
    <w:r>
      <w:rPr>
        <w:rStyle w:val="Hyperlink"/>
        <w:rFonts w:ascii="Tahoma" w:hAnsi="Tahoma" w:cs="Tahoma"/>
        <w:sz w:val="18"/>
        <w:szCs w:val="18"/>
        <w:lang w:val="en-US"/>
      </w:rPr>
      <w:t>www</w:t>
    </w:r>
    <w:r>
      <w:rPr>
        <w:rStyle w:val="Hyperlink"/>
        <w:rFonts w:ascii="Tahoma" w:hAnsi="Tahoma" w:cs="Tahoma"/>
        <w:sz w:val="18"/>
        <w:szCs w:val="18"/>
        <w:lang w:val="ru-RU"/>
      </w:rPr>
      <w:t>.</w:t>
    </w:r>
    <w:proofErr w:type="spellStart"/>
    <w:r>
      <w:rPr>
        <w:rStyle w:val="Hyperlink"/>
        <w:rFonts w:ascii="Tahoma" w:hAnsi="Tahoma" w:cs="Tahoma"/>
        <w:sz w:val="18"/>
        <w:szCs w:val="18"/>
        <w:lang w:val="en-US"/>
      </w:rPr>
      <w:t>aobe</w:t>
    </w:r>
    <w:proofErr w:type="spellEnd"/>
    <w:r>
      <w:rPr>
        <w:rStyle w:val="Hyperlink"/>
        <w:rFonts w:ascii="Tahoma" w:hAnsi="Tahoma" w:cs="Tahoma"/>
        <w:sz w:val="18"/>
        <w:szCs w:val="18"/>
        <w:lang w:val="ru-RU"/>
      </w:rPr>
      <w:t>.</w:t>
    </w:r>
    <w:proofErr w:type="spellStart"/>
    <w:r>
      <w:rPr>
        <w:rStyle w:val="Hyperlink"/>
        <w:rFonts w:ascii="Tahoma" w:hAnsi="Tahoma" w:cs="Tahoma"/>
        <w:sz w:val="18"/>
        <w:szCs w:val="18"/>
        <w:lang w:val="en-US"/>
      </w:rPr>
      <w:t>bg</w:t>
    </w:r>
    <w:proofErr w:type="spellEnd"/>
    <w:r w:rsidR="00212B0E">
      <w:rPr>
        <w:rStyle w:val="Hyperlink"/>
        <w:rFonts w:ascii="Tahoma" w:hAnsi="Tahoma" w:cs="Tahoma"/>
        <w:sz w:val="18"/>
        <w:szCs w:val="18"/>
        <w:lang w:val="en-US"/>
      </w:rPr>
      <w:fldChar w:fldCharType="end"/>
    </w:r>
    <w:r>
      <w:rPr>
        <w:rStyle w:val="Hyperlink"/>
        <w:rFonts w:ascii="Tahoma" w:hAnsi="Tahoma" w:cs="Tahoma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B3" w:rsidRDefault="00B14CB3">
    <w:pPr>
      <w:pStyle w:val="Footer"/>
      <w:pBdr>
        <w:top w:val="single" w:sz="4" w:space="1" w:color="1F4E79"/>
      </w:pBdr>
      <w:rPr>
        <w:rFonts w:ascii="Tahoma" w:hAnsi="Tahoma" w:cs="Tahoma"/>
        <w:sz w:val="18"/>
        <w:szCs w:val="18"/>
      </w:rPr>
    </w:pPr>
    <w:r>
      <w:t xml:space="preserve">Стр.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B32C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B32C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rFonts w:ascii="Tahoma" w:hAnsi="Tahoma" w:cs="Tahoma"/>
        <w:sz w:val="18"/>
        <w:szCs w:val="18"/>
      </w:rPr>
      <w:t xml:space="preserve">|  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TIME \@ "dd MMMM yyyy 'г.'" </w:instrText>
    </w:r>
    <w:r>
      <w:rPr>
        <w:rFonts w:ascii="Tahoma" w:hAnsi="Tahoma" w:cs="Tahoma"/>
        <w:sz w:val="18"/>
        <w:szCs w:val="18"/>
      </w:rPr>
      <w:fldChar w:fldCharType="separate"/>
    </w:r>
    <w:r w:rsidR="00BB32C6">
      <w:rPr>
        <w:rFonts w:ascii="Tahoma" w:hAnsi="Tahoma" w:cs="Tahoma"/>
        <w:noProof/>
        <w:sz w:val="18"/>
        <w:szCs w:val="18"/>
      </w:rPr>
      <w:t>24 ноември 2022 г.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, Асоциация на организациите на българските работодатели – </w:t>
    </w:r>
    <w:r w:rsidR="00212B0E">
      <w:fldChar w:fldCharType="begin"/>
    </w:r>
    <w:r w:rsidR="00212B0E">
      <w:instrText xml:space="preserve"> HYPERLINK "http://www.aobe.bg" </w:instrText>
    </w:r>
    <w:r w:rsidR="00212B0E">
      <w:fldChar w:fldCharType="separate"/>
    </w:r>
    <w:r>
      <w:rPr>
        <w:rStyle w:val="Hyperlink"/>
        <w:rFonts w:ascii="Tahoma" w:hAnsi="Tahoma" w:cs="Tahoma"/>
        <w:sz w:val="18"/>
        <w:szCs w:val="18"/>
        <w:lang w:val="en-US"/>
      </w:rPr>
      <w:t>www</w:t>
    </w:r>
    <w:r>
      <w:rPr>
        <w:rStyle w:val="Hyperlink"/>
        <w:rFonts w:ascii="Tahoma" w:hAnsi="Tahoma" w:cs="Tahoma"/>
        <w:sz w:val="18"/>
        <w:szCs w:val="18"/>
        <w:lang w:val="ru-RU"/>
      </w:rPr>
      <w:t>.</w:t>
    </w:r>
    <w:proofErr w:type="spellStart"/>
    <w:r>
      <w:rPr>
        <w:rStyle w:val="Hyperlink"/>
        <w:rFonts w:ascii="Tahoma" w:hAnsi="Tahoma" w:cs="Tahoma"/>
        <w:sz w:val="18"/>
        <w:szCs w:val="18"/>
        <w:lang w:val="en-US"/>
      </w:rPr>
      <w:t>aobe</w:t>
    </w:r>
    <w:proofErr w:type="spellEnd"/>
    <w:r>
      <w:rPr>
        <w:rStyle w:val="Hyperlink"/>
        <w:rFonts w:ascii="Tahoma" w:hAnsi="Tahoma" w:cs="Tahoma"/>
        <w:sz w:val="18"/>
        <w:szCs w:val="18"/>
        <w:lang w:val="ru-RU"/>
      </w:rPr>
      <w:t>.</w:t>
    </w:r>
    <w:proofErr w:type="spellStart"/>
    <w:r>
      <w:rPr>
        <w:rStyle w:val="Hyperlink"/>
        <w:rFonts w:ascii="Tahoma" w:hAnsi="Tahoma" w:cs="Tahoma"/>
        <w:sz w:val="18"/>
        <w:szCs w:val="18"/>
        <w:lang w:val="en-US"/>
      </w:rPr>
      <w:t>bg</w:t>
    </w:r>
    <w:proofErr w:type="spellEnd"/>
    <w:r w:rsidR="00212B0E">
      <w:rPr>
        <w:rStyle w:val="Hyperlink"/>
        <w:rFonts w:ascii="Tahoma" w:hAnsi="Tahoma" w:cs="Tahoma"/>
        <w:sz w:val="18"/>
        <w:szCs w:val="18"/>
        <w:lang w:val="en-US"/>
      </w:rPr>
      <w:fldChar w:fldCharType="end"/>
    </w:r>
    <w:r>
      <w:rPr>
        <w:rFonts w:ascii="Tahoma" w:hAnsi="Tahoma" w:cs="Tahoma"/>
        <w:sz w:val="18"/>
        <w:szCs w:val="18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06" w:rsidRDefault="000F0306">
      <w:pPr>
        <w:spacing w:after="0" w:line="240" w:lineRule="auto"/>
      </w:pPr>
      <w:r>
        <w:separator/>
      </w:r>
    </w:p>
  </w:footnote>
  <w:footnote w:type="continuationSeparator" w:id="0">
    <w:p w:rsidR="000F0306" w:rsidRDefault="000F0306">
      <w:pPr>
        <w:spacing w:after="0" w:line="240" w:lineRule="auto"/>
      </w:pPr>
      <w:r>
        <w:continuationSeparator/>
      </w:r>
    </w:p>
  </w:footnote>
  <w:footnote w:id="1">
    <w:p w:rsidR="00846D4F" w:rsidRDefault="00846D4F" w:rsidP="00846D4F">
      <w:pPr>
        <w:pStyle w:val="FootnoteText"/>
      </w:pPr>
      <w:r>
        <w:rPr>
          <w:rStyle w:val="FootnoteReference"/>
        </w:rPr>
        <w:footnoteRef/>
      </w:r>
      <w:r>
        <w:t xml:space="preserve"> ВЕЦ на НЕК са произвели 8% от електроенергията в страната през 2021 г., Доклад за Европейската комисия на КЕВР за 2021 г., стр. 28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B3" w:rsidRDefault="00B14CB3">
    <w:pPr>
      <w:pStyle w:val="Header"/>
    </w:pPr>
  </w:p>
  <w:tbl>
    <w:tblPr>
      <w:tblW w:w="9781" w:type="dxa"/>
      <w:tblLook w:val="04A0" w:firstRow="1" w:lastRow="0" w:firstColumn="1" w:lastColumn="0" w:noHBand="0" w:noVBand="1"/>
    </w:tblPr>
    <w:tblGrid>
      <w:gridCol w:w="5211"/>
      <w:gridCol w:w="4570"/>
    </w:tblGrid>
    <w:tr w:rsidR="00B14CB3">
      <w:tc>
        <w:tcPr>
          <w:tcW w:w="5211" w:type="dxa"/>
          <w:shd w:val="clear" w:color="auto" w:fill="auto"/>
          <w:vAlign w:val="center"/>
        </w:tcPr>
        <w:p w:rsidR="00B14CB3" w:rsidRDefault="00A54CBA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706880" cy="1051560"/>
                <wp:effectExtent l="0" t="0" r="0" b="0"/>
                <wp:docPr id="1" name="Picture 1" descr="AOB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OB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0" w:type="dxa"/>
          <w:shd w:val="clear" w:color="auto" w:fill="auto"/>
          <w:tcMar>
            <w:left w:w="57" w:type="dxa"/>
            <w:right w:w="28" w:type="dxa"/>
          </w:tcMar>
          <w:vAlign w:val="center"/>
        </w:tcPr>
        <w:p w:rsidR="00B14CB3" w:rsidRDefault="00B14CB3">
          <w:pPr>
            <w:tabs>
              <w:tab w:val="center" w:pos="4536"/>
              <w:tab w:val="right" w:pos="9072"/>
            </w:tabs>
            <w:jc w:val="both"/>
            <w:rPr>
              <w:sz w:val="20"/>
              <w:lang w:val="ru-RU"/>
            </w:rPr>
          </w:pPr>
          <w:r>
            <w:rPr>
              <w:sz w:val="20"/>
              <w:lang w:val="en-US"/>
            </w:rPr>
            <w:t>Web</w:t>
          </w:r>
          <w:r>
            <w:rPr>
              <w:sz w:val="20"/>
              <w:lang w:val="ru-RU"/>
            </w:rPr>
            <w:t xml:space="preserve">: </w:t>
          </w:r>
          <w:r w:rsidR="00212B0E">
            <w:fldChar w:fldCharType="begin"/>
          </w:r>
          <w:r w:rsidR="00212B0E">
            <w:instrText xml:space="preserve"> HYPERLINK "http://www.aobe.bg" </w:instrText>
          </w:r>
          <w:r w:rsidR="00212B0E">
            <w:fldChar w:fldCharType="separate"/>
          </w:r>
          <w:r>
            <w:rPr>
              <w:rStyle w:val="Hyperlink"/>
              <w:sz w:val="20"/>
              <w:lang w:val="en-US"/>
            </w:rPr>
            <w:t>www</w:t>
          </w:r>
          <w:r>
            <w:rPr>
              <w:rStyle w:val="Hyperlink"/>
              <w:sz w:val="20"/>
              <w:lang w:val="ru-RU"/>
            </w:rPr>
            <w:t>.</w:t>
          </w:r>
          <w:proofErr w:type="spellStart"/>
          <w:r>
            <w:rPr>
              <w:rStyle w:val="Hyperlink"/>
              <w:sz w:val="20"/>
              <w:lang w:val="en-US"/>
            </w:rPr>
            <w:t>aobe</w:t>
          </w:r>
          <w:proofErr w:type="spellEnd"/>
          <w:r>
            <w:rPr>
              <w:rStyle w:val="Hyperlink"/>
              <w:sz w:val="20"/>
              <w:lang w:val="ru-RU"/>
            </w:rPr>
            <w:t>.</w:t>
          </w:r>
          <w:proofErr w:type="spellStart"/>
          <w:r>
            <w:rPr>
              <w:rStyle w:val="Hyperlink"/>
              <w:sz w:val="20"/>
              <w:lang w:val="en-US"/>
            </w:rPr>
            <w:t>bg</w:t>
          </w:r>
          <w:proofErr w:type="spellEnd"/>
          <w:r w:rsidR="00212B0E">
            <w:rPr>
              <w:rStyle w:val="Hyperlink"/>
              <w:sz w:val="20"/>
              <w:lang w:val="en-US"/>
            </w:rPr>
            <w:fldChar w:fldCharType="end"/>
          </w:r>
          <w:r>
            <w:rPr>
              <w:sz w:val="20"/>
              <w:lang w:val="ru-RU"/>
            </w:rPr>
            <w:t xml:space="preserve"> </w:t>
          </w:r>
        </w:p>
        <w:p w:rsidR="00B14CB3" w:rsidRDefault="00E2176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>
            <w:rPr>
              <w:sz w:val="20"/>
            </w:rPr>
            <w:t>БСК</w:t>
          </w:r>
          <w:r w:rsidR="00B14CB3">
            <w:rPr>
              <w:sz w:val="20"/>
            </w:rPr>
            <w:t xml:space="preserve"> е ротационен председател на АОБР за 20</w:t>
          </w:r>
          <w:r w:rsidR="00CF4751">
            <w:rPr>
              <w:sz w:val="20"/>
            </w:rPr>
            <w:t>2</w:t>
          </w:r>
          <w:r>
            <w:rPr>
              <w:sz w:val="20"/>
            </w:rPr>
            <w:t>2</w:t>
          </w:r>
          <w:r w:rsidR="00B14CB3">
            <w:rPr>
              <w:sz w:val="20"/>
            </w:rPr>
            <w:t xml:space="preserve"> г.</w:t>
          </w:r>
        </w:p>
        <w:p w:rsidR="00CF4751" w:rsidRPr="00CF4751" w:rsidRDefault="00CF4751" w:rsidP="00CF475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 w:rsidRPr="00CF4751">
            <w:rPr>
              <w:sz w:val="20"/>
            </w:rPr>
            <w:t xml:space="preserve">Адрес: гр. София </w:t>
          </w:r>
          <w:r w:rsidR="0043436E">
            <w:rPr>
              <w:sz w:val="20"/>
            </w:rPr>
            <w:t xml:space="preserve">1527, </w:t>
          </w:r>
          <w:r w:rsidR="0043436E" w:rsidRPr="0043436E">
            <w:rPr>
              <w:sz w:val="20"/>
            </w:rPr>
            <w:t>ул. „</w:t>
          </w:r>
          <w:r w:rsidR="00E21763">
            <w:rPr>
              <w:sz w:val="20"/>
            </w:rPr>
            <w:t>Чаталджа</w:t>
          </w:r>
          <w:r w:rsidR="0043436E" w:rsidRPr="0043436E">
            <w:rPr>
              <w:sz w:val="20"/>
            </w:rPr>
            <w:t xml:space="preserve">“ </w:t>
          </w:r>
          <w:r w:rsidR="00E21763">
            <w:rPr>
              <w:sz w:val="20"/>
            </w:rPr>
            <w:t>76</w:t>
          </w:r>
        </w:p>
        <w:p w:rsidR="00CF4751" w:rsidRPr="00E21763" w:rsidRDefault="00CF4751" w:rsidP="00CF475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 w:rsidRPr="00CF4751">
            <w:rPr>
              <w:sz w:val="20"/>
            </w:rPr>
            <w:t xml:space="preserve">Телефон: </w:t>
          </w:r>
          <w:r w:rsidR="0043436E">
            <w:rPr>
              <w:sz w:val="20"/>
            </w:rPr>
            <w:t>+359</w:t>
          </w:r>
          <w:r w:rsidR="0043436E" w:rsidRPr="0043436E">
            <w:rPr>
              <w:sz w:val="20"/>
            </w:rPr>
            <w:t xml:space="preserve">2 </w:t>
          </w:r>
          <w:r w:rsidR="00E21763">
            <w:rPr>
              <w:sz w:val="20"/>
            </w:rPr>
            <w:t>932 09 11</w:t>
          </w:r>
          <w:r w:rsidR="00E21763" w:rsidRPr="007D5159">
            <w:rPr>
              <w:sz w:val="20"/>
              <w:lang w:val="fr-FR"/>
            </w:rPr>
            <w:t xml:space="preserve">, </w:t>
          </w:r>
          <w:r w:rsidR="00E21763">
            <w:rPr>
              <w:sz w:val="20"/>
            </w:rPr>
            <w:t>+359</w:t>
          </w:r>
          <w:r w:rsidR="00E21763" w:rsidRPr="0043436E">
            <w:rPr>
              <w:sz w:val="20"/>
            </w:rPr>
            <w:t>2</w:t>
          </w:r>
          <w:r w:rsidR="00E21763">
            <w:rPr>
              <w:sz w:val="20"/>
            </w:rPr>
            <w:t xml:space="preserve"> 932 09 14</w:t>
          </w:r>
        </w:p>
        <w:p w:rsidR="00B14CB3" w:rsidRDefault="00CF4751" w:rsidP="00E2176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 w:rsidRPr="00CF4751">
            <w:rPr>
              <w:sz w:val="20"/>
            </w:rPr>
            <w:t>E-mail:</w:t>
          </w:r>
          <w:r w:rsidR="00E21763" w:rsidRPr="007D5159">
            <w:rPr>
              <w:sz w:val="20"/>
              <w:lang w:val="fr-FR"/>
            </w:rPr>
            <w:t xml:space="preserve"> </w:t>
          </w:r>
          <w:hyperlink r:id="rId2" w:history="1">
            <w:r w:rsidR="00E21763" w:rsidRPr="007D5159">
              <w:rPr>
                <w:rStyle w:val="Hyperlink"/>
                <w:sz w:val="20"/>
                <w:lang w:val="fr-FR"/>
              </w:rPr>
              <w:t>office@bia-bg.com</w:t>
            </w:r>
          </w:hyperlink>
          <w:r w:rsidR="00E21763" w:rsidRPr="007D5159">
            <w:rPr>
              <w:sz w:val="20"/>
              <w:lang w:val="fr-FR"/>
            </w:rPr>
            <w:t xml:space="preserve"> </w:t>
          </w:r>
          <w:r w:rsidR="0043436E">
            <w:rPr>
              <w:sz w:val="20"/>
            </w:rPr>
            <w:t xml:space="preserve"> </w:t>
          </w:r>
          <w:r>
            <w:rPr>
              <w:sz w:val="20"/>
            </w:rPr>
            <w:t xml:space="preserve"> </w:t>
          </w:r>
        </w:p>
      </w:tc>
    </w:tr>
    <w:tr w:rsidR="00B14CB3">
      <w:tc>
        <w:tcPr>
          <w:tcW w:w="5211" w:type="dxa"/>
          <w:tcBorders>
            <w:bottom w:val="single" w:sz="12" w:space="0" w:color="002060"/>
          </w:tcBorders>
          <w:shd w:val="clear" w:color="auto" w:fill="auto"/>
          <w:vAlign w:val="center"/>
        </w:tcPr>
        <w:p w:rsidR="00B14CB3" w:rsidRDefault="00B14CB3">
          <w:pPr>
            <w:pStyle w:val="Header"/>
            <w:rPr>
              <w:sz w:val="10"/>
            </w:rPr>
          </w:pPr>
        </w:p>
      </w:tc>
      <w:tc>
        <w:tcPr>
          <w:tcW w:w="4570" w:type="dxa"/>
          <w:tcBorders>
            <w:bottom w:val="single" w:sz="12" w:space="0" w:color="002060"/>
          </w:tcBorders>
          <w:shd w:val="clear" w:color="auto" w:fill="auto"/>
          <w:vAlign w:val="center"/>
        </w:tcPr>
        <w:p w:rsidR="00B14CB3" w:rsidRDefault="00B14CB3">
          <w:pPr>
            <w:pStyle w:val="Header"/>
            <w:rPr>
              <w:sz w:val="10"/>
            </w:rPr>
          </w:pPr>
        </w:p>
      </w:tc>
    </w:tr>
  </w:tbl>
  <w:p w:rsidR="00B14CB3" w:rsidRDefault="00B14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B27"/>
    <w:multiLevelType w:val="hybridMultilevel"/>
    <w:tmpl w:val="F5E608C0"/>
    <w:lvl w:ilvl="0" w:tplc="4014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031D52"/>
    <w:multiLevelType w:val="hybridMultilevel"/>
    <w:tmpl w:val="910C1488"/>
    <w:lvl w:ilvl="0" w:tplc="986CD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EC38C0"/>
    <w:multiLevelType w:val="hybridMultilevel"/>
    <w:tmpl w:val="BABEC36C"/>
    <w:lvl w:ilvl="0" w:tplc="8BDCE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BA"/>
    <w:rsid w:val="00004541"/>
    <w:rsid w:val="000F0306"/>
    <w:rsid w:val="000F1AF7"/>
    <w:rsid w:val="0010074C"/>
    <w:rsid w:val="00137D1F"/>
    <w:rsid w:val="001B346C"/>
    <w:rsid w:val="001D04A1"/>
    <w:rsid w:val="00212B0E"/>
    <w:rsid w:val="00313BCD"/>
    <w:rsid w:val="00385182"/>
    <w:rsid w:val="00394D2D"/>
    <w:rsid w:val="0043436E"/>
    <w:rsid w:val="00446B81"/>
    <w:rsid w:val="004928E5"/>
    <w:rsid w:val="004A0A04"/>
    <w:rsid w:val="004A4D94"/>
    <w:rsid w:val="004C3FEF"/>
    <w:rsid w:val="00526959"/>
    <w:rsid w:val="00566D79"/>
    <w:rsid w:val="00575BD7"/>
    <w:rsid w:val="005B2FFC"/>
    <w:rsid w:val="00620949"/>
    <w:rsid w:val="007D5159"/>
    <w:rsid w:val="007F0075"/>
    <w:rsid w:val="00846D4F"/>
    <w:rsid w:val="00883B2D"/>
    <w:rsid w:val="0091422C"/>
    <w:rsid w:val="009F306B"/>
    <w:rsid w:val="00A54CBA"/>
    <w:rsid w:val="00AB6246"/>
    <w:rsid w:val="00AF7717"/>
    <w:rsid w:val="00B14CB3"/>
    <w:rsid w:val="00BB32C6"/>
    <w:rsid w:val="00BE3282"/>
    <w:rsid w:val="00C00844"/>
    <w:rsid w:val="00C031D9"/>
    <w:rsid w:val="00CF4751"/>
    <w:rsid w:val="00D872F0"/>
    <w:rsid w:val="00E21763"/>
    <w:rsid w:val="00E4243C"/>
    <w:rsid w:val="00F7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1EB60"/>
  <w15:docId w15:val="{8EB901A3-106B-4CD5-9162-FBC74C9F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2">
    <w:name w:val="Body Text 2"/>
    <w:basedOn w:val="Normal"/>
    <w:link w:val="BodyText2Char"/>
    <w:semiHidden/>
    <w:pPr>
      <w:spacing w:after="0" w:line="240" w:lineRule="auto"/>
    </w:pPr>
    <w:rPr>
      <w:rFonts w:ascii="Times New Roman" w:eastAsia="Times New Roman" w:hAnsi="Times New Roman"/>
      <w:sz w:val="28"/>
      <w:szCs w:val="20"/>
      <w:lang w:eastAsia="bg-BG"/>
    </w:rPr>
  </w:style>
  <w:style w:type="character" w:customStyle="1" w:styleId="BodyText2Char">
    <w:name w:val="Body Text 2 Char"/>
    <w:link w:val="BodyText2"/>
    <w:semiHidden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cs="Calibri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C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C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ia-bg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oudBIA\AOBR\2022%20&#1041;&#1057;&#1050;\Blanka_AOBR-20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Blanka_AOBR-2022.dot</Template>
  <TotalTime>36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Links>
    <vt:vector size="24" baseType="variant">
      <vt:variant>
        <vt:i4>6357048</vt:i4>
      </vt:variant>
      <vt:variant>
        <vt:i4>27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  <vt:variant>
        <vt:i4>6619136</vt:i4>
      </vt:variant>
      <vt:variant>
        <vt:i4>15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  <vt:variant>
        <vt:i4>6357048</vt:i4>
      </vt:variant>
      <vt:variant>
        <vt:i4>12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  <vt:variant>
        <vt:i4>6357048</vt:i4>
      </vt:variant>
      <vt:variant>
        <vt:i4>9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2015-03-12T11:47:00Z</cp:lastPrinted>
  <dcterms:created xsi:type="dcterms:W3CDTF">2022-11-24T09:48:00Z</dcterms:created>
  <dcterms:modified xsi:type="dcterms:W3CDTF">2022-11-24T14:10:00Z</dcterms:modified>
</cp:coreProperties>
</file>