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6DD" w14:textId="77777777" w:rsidR="004A1F84" w:rsidRPr="000B1D31" w:rsidRDefault="004A1F84" w:rsidP="000B1D31">
      <w:pPr>
        <w:spacing w:after="120" w:line="240" w:lineRule="auto"/>
        <w:jc w:val="both"/>
        <w:rPr>
          <w:rFonts w:ascii="Tahoma" w:hAnsi="Tahoma" w:cs="Tahoma"/>
          <w:sz w:val="28"/>
        </w:rPr>
      </w:pPr>
    </w:p>
    <w:p w14:paraId="07BF9977" w14:textId="77777777" w:rsidR="000B1D31" w:rsidRDefault="000B1D31" w:rsidP="000B1D31">
      <w:pPr>
        <w:spacing w:after="120" w:line="240" w:lineRule="auto"/>
        <w:jc w:val="both"/>
        <w:rPr>
          <w:rFonts w:ascii="Tahoma" w:hAnsi="Tahoma" w:cs="Tahoma"/>
          <w:sz w:val="20"/>
        </w:rPr>
      </w:pPr>
    </w:p>
    <w:p w14:paraId="5C6F2127" w14:textId="77777777" w:rsidR="000B1D31" w:rsidRPr="000B1D31" w:rsidRDefault="00906083" w:rsidP="00906083">
      <w:pPr>
        <w:spacing w:after="120" w:line="240" w:lineRule="auto"/>
        <w:ind w:firstLine="6379"/>
        <w:jc w:val="right"/>
        <w:rPr>
          <w:rFonts w:ascii="Tahoma" w:hAnsi="Tahoma" w:cs="Tahoma"/>
          <w:color w:val="1F4E79" w:themeColor="accent1" w:themeShade="80"/>
          <w:sz w:val="20"/>
        </w:rPr>
      </w:pPr>
      <w:r>
        <w:rPr>
          <w:rFonts w:ascii="Tahoma" w:hAnsi="Tahoma" w:cs="Tahoma"/>
          <w:color w:val="1F4E79" w:themeColor="accent1" w:themeShade="80"/>
          <w:sz w:val="20"/>
        </w:rPr>
        <w:t xml:space="preserve">    </w:t>
      </w:r>
      <w:r w:rsidR="000B1D31" w:rsidRPr="000B1D31">
        <w:rPr>
          <w:rFonts w:ascii="Tahoma" w:hAnsi="Tahoma" w:cs="Tahoma"/>
          <w:color w:val="1F4E79" w:themeColor="accent1" w:themeShade="80"/>
          <w:sz w:val="20"/>
        </w:rPr>
        <w:fldChar w:fldCharType="begin"/>
      </w:r>
      <w:r w:rsidR="000B1D31" w:rsidRPr="000B1D31">
        <w:rPr>
          <w:rFonts w:ascii="Tahoma" w:hAnsi="Tahoma" w:cs="Tahoma"/>
          <w:color w:val="1F4E79" w:themeColor="accent1" w:themeShade="80"/>
          <w:sz w:val="20"/>
        </w:rPr>
        <w:instrText xml:space="preserve"> TIME \@ "d MMMM yyyy 'г.'" </w:instrText>
      </w:r>
      <w:r w:rsidR="000B1D31" w:rsidRPr="000B1D31">
        <w:rPr>
          <w:rFonts w:ascii="Tahoma" w:hAnsi="Tahoma" w:cs="Tahoma"/>
          <w:color w:val="1F4E79" w:themeColor="accent1" w:themeShade="80"/>
          <w:sz w:val="20"/>
        </w:rPr>
        <w:fldChar w:fldCharType="separate"/>
      </w:r>
      <w:r w:rsidR="00D70931">
        <w:rPr>
          <w:rFonts w:ascii="Tahoma" w:hAnsi="Tahoma" w:cs="Tahoma"/>
          <w:noProof/>
          <w:color w:val="1F4E79" w:themeColor="accent1" w:themeShade="80"/>
          <w:sz w:val="20"/>
        </w:rPr>
        <w:t>28 юни 2024 г.</w:t>
      </w:r>
      <w:r w:rsidR="000B1D31" w:rsidRPr="000B1D31">
        <w:rPr>
          <w:rFonts w:ascii="Tahoma" w:hAnsi="Tahoma" w:cs="Tahoma"/>
          <w:color w:val="1F4E79" w:themeColor="accent1" w:themeShade="80"/>
          <w:sz w:val="20"/>
        </w:rPr>
        <w:fldChar w:fldCharType="end"/>
      </w:r>
    </w:p>
    <w:p w14:paraId="2E57B47A" w14:textId="77777777" w:rsidR="000B1D31" w:rsidRDefault="000B1D31" w:rsidP="000B1D31">
      <w:pPr>
        <w:spacing w:after="120" w:line="240" w:lineRule="auto"/>
        <w:jc w:val="both"/>
        <w:rPr>
          <w:rFonts w:ascii="Tahoma" w:hAnsi="Tahoma" w:cs="Tahoma"/>
          <w:sz w:val="20"/>
        </w:rPr>
      </w:pPr>
    </w:p>
    <w:p w14:paraId="0373A177" w14:textId="6B1D7812" w:rsidR="006A0423" w:rsidRPr="00D70931" w:rsidRDefault="00D70931" w:rsidP="006A0423">
      <w:pPr>
        <w:pBdr>
          <w:top w:val="single" w:sz="12" w:space="1" w:color="1F3864" w:themeColor="accent5" w:themeShade="80"/>
          <w:bottom w:val="single" w:sz="12" w:space="1" w:color="1F3864" w:themeColor="accent5" w:themeShade="80"/>
        </w:pBdr>
        <w:spacing w:after="120" w:line="240" w:lineRule="auto"/>
        <w:jc w:val="center"/>
        <w:rPr>
          <w:rFonts w:ascii="Tahoma" w:hAnsi="Tahoma" w:cs="Tahoma"/>
          <w:b/>
          <w:i/>
          <w:sz w:val="24"/>
          <w:szCs w:val="28"/>
        </w:rPr>
      </w:pPr>
      <w:r w:rsidRPr="00D70931">
        <w:rPr>
          <w:rFonts w:ascii="Tahoma" w:hAnsi="Tahoma" w:cs="Tahoma"/>
          <w:b/>
          <w:sz w:val="24"/>
          <w:szCs w:val="28"/>
        </w:rPr>
        <w:t>Способността на България да устоява на глобалните рискове: стабилна изходна база, но намаляваща устойчивост на обществото</w:t>
      </w:r>
    </w:p>
    <w:p w14:paraId="06061598" w14:textId="77777777" w:rsidR="006A0423" w:rsidRDefault="006A0423" w:rsidP="000B1D31">
      <w:pPr>
        <w:spacing w:after="120" w:line="240" w:lineRule="auto"/>
        <w:jc w:val="both"/>
        <w:rPr>
          <w:rFonts w:ascii="Tahoma" w:hAnsi="Tahoma" w:cs="Tahoma"/>
          <w:sz w:val="20"/>
        </w:rPr>
      </w:pPr>
    </w:p>
    <w:p w14:paraId="74942D07" w14:textId="77777777" w:rsidR="00D70931" w:rsidRDefault="00D70931" w:rsidP="00D70931">
      <w:pPr>
        <w:jc w:val="both"/>
      </w:pPr>
      <w:r>
        <w:t xml:space="preserve">Светът преминава през една от най-мащабните трансформации в историята на човечеството. Предизвикателствата пред икономиката, здравето, работата, отношенията са неизбежни и придобиването на умения за възстановяване от големи кризи е най-важният аспект на личностното развитие. Способността на хората, общностите, обществата и организациите да посрещат несигурността и да управляват промените се превръща в ключ към бъдещето. </w:t>
      </w:r>
    </w:p>
    <w:p w14:paraId="73905BDA" w14:textId="77777777" w:rsidR="00D70931" w:rsidRPr="00261EE1" w:rsidRDefault="00D70931" w:rsidP="00D70931">
      <w:pPr>
        <w:jc w:val="both"/>
      </w:pPr>
      <w:r>
        <w:t xml:space="preserve">Но устойчивостта е не просто способност за бързо възстановяване. В бизнеса устойчивостта е свързана със справянето с шокове, кризи и предизвикателства, като в същото време е и непрекъснато адаптиране за постигане на растеж. Истински устойчивите организации и бизнеси не просто устояват на кризи и промени и излизат от тях по-добри. Те </w:t>
      </w:r>
      <w:r w:rsidRPr="00F844A9">
        <w:rPr>
          <w:b/>
          <w:bCs/>
        </w:rPr>
        <w:t>процъфтяват във враждебна среда</w:t>
      </w:r>
      <w:r>
        <w:t xml:space="preserve">, представят се много по-добре от конкурентите си и постигат ускорен напредък в новата реалност, оставяйки всички останали назад. </w:t>
      </w:r>
    </w:p>
    <w:p w14:paraId="0420B335" w14:textId="77777777" w:rsidR="00D70931" w:rsidRDefault="00D70931" w:rsidP="00D70931">
      <w:pPr>
        <w:jc w:val="both"/>
      </w:pPr>
      <w:hyperlink r:id="rId8" w:history="1">
        <w:r w:rsidRPr="00BE15DB">
          <w:rPr>
            <w:rStyle w:val="Hyperlink"/>
          </w:rPr>
          <w:t xml:space="preserve">Проучване на </w:t>
        </w:r>
        <w:r w:rsidRPr="00BE15DB">
          <w:rPr>
            <w:rStyle w:val="Hyperlink"/>
            <w:lang w:val="en-US"/>
          </w:rPr>
          <w:t>McKinsey</w:t>
        </w:r>
      </w:hyperlink>
      <w:r w:rsidRPr="00BE15DB">
        <w:t xml:space="preserve"> </w:t>
      </w:r>
      <w:r>
        <w:t xml:space="preserve">от 2022 г. сред мениджъри на компании показва, че способността за отговор на кризи не е достатъчна и много от компаниите са ориентирани към цялостна стратегия за устойчивост, включваща всички аспекти като организация и вериги на доставки, изграждане на култура на сигурност, технологии, финанси, човешки ресурси. Те изграждат и надграждат своята </w:t>
      </w:r>
      <w:hyperlink r:id="rId9" w:history="1">
        <w:r w:rsidRPr="001D008A">
          <w:rPr>
            <w:rStyle w:val="Hyperlink"/>
          </w:rPr>
          <w:t>грамотност за бъдещето</w:t>
        </w:r>
      </w:hyperlink>
      <w:r>
        <w:t xml:space="preserve">. </w:t>
      </w:r>
    </w:p>
    <w:p w14:paraId="7587B937" w14:textId="77777777" w:rsidR="00D70931" w:rsidRPr="000460A2" w:rsidRDefault="00D70931" w:rsidP="00D70931">
      <w:pPr>
        <w:jc w:val="both"/>
        <w:rPr>
          <w:b/>
          <w:bCs/>
          <w:sz w:val="28"/>
          <w:szCs w:val="28"/>
        </w:rPr>
      </w:pPr>
      <w:r w:rsidRPr="000460A2">
        <w:rPr>
          <w:b/>
          <w:bCs/>
          <w:sz w:val="28"/>
          <w:szCs w:val="28"/>
        </w:rPr>
        <w:t>Макро и физическа устойчивост на България</w:t>
      </w:r>
    </w:p>
    <w:p w14:paraId="72D95F53" w14:textId="77777777" w:rsidR="00D70931" w:rsidRDefault="00D70931" w:rsidP="00D70931">
      <w:pPr>
        <w:jc w:val="both"/>
      </w:pPr>
      <w:r>
        <w:t xml:space="preserve">За 2024-та година България заема 49-то място в </w:t>
      </w:r>
      <w:hyperlink r:id="rId10" w:history="1">
        <w:r w:rsidRPr="000460A2">
          <w:rPr>
            <w:rStyle w:val="Hyperlink"/>
            <w:lang w:val="en-US"/>
          </w:rPr>
          <w:t>FM</w:t>
        </w:r>
        <w:r w:rsidRPr="000460A2">
          <w:rPr>
            <w:rStyle w:val="Hyperlink"/>
          </w:rPr>
          <w:t xml:space="preserve"> </w:t>
        </w:r>
        <w:r w:rsidRPr="000460A2">
          <w:rPr>
            <w:rStyle w:val="Hyperlink"/>
            <w:lang w:val="en-US"/>
          </w:rPr>
          <w:t>Global</w:t>
        </w:r>
        <w:r w:rsidRPr="000460A2">
          <w:rPr>
            <w:rStyle w:val="Hyperlink"/>
          </w:rPr>
          <w:t xml:space="preserve"> </w:t>
        </w:r>
        <w:r w:rsidRPr="000460A2">
          <w:rPr>
            <w:rStyle w:val="Hyperlink"/>
            <w:lang w:val="en-US"/>
          </w:rPr>
          <w:t>Resilience</w:t>
        </w:r>
        <w:r w:rsidRPr="000460A2">
          <w:rPr>
            <w:rStyle w:val="Hyperlink"/>
          </w:rPr>
          <w:t xml:space="preserve"> </w:t>
        </w:r>
        <w:r w:rsidRPr="000460A2">
          <w:rPr>
            <w:rStyle w:val="Hyperlink"/>
            <w:lang w:val="en-US"/>
          </w:rPr>
          <w:t>Index</w:t>
        </w:r>
      </w:hyperlink>
      <w:r w:rsidRPr="000460A2">
        <w:t>.</w:t>
      </w:r>
      <w:r>
        <w:t xml:space="preserve"> Индексът</w:t>
      </w:r>
      <w:r w:rsidRPr="007C59B9">
        <w:t xml:space="preserve"> </w:t>
      </w:r>
      <w:r>
        <w:t xml:space="preserve">измерва устойчивостта на 130 страни, като разглежда две основни категории фактори – макро и физически. </w:t>
      </w:r>
    </w:p>
    <w:p w14:paraId="182AE62C" w14:textId="77777777" w:rsidR="00D70931" w:rsidRDefault="00D70931" w:rsidP="00D70931">
      <w:pPr>
        <w:jc w:val="both"/>
      </w:pPr>
      <w:r>
        <w:t xml:space="preserve">Макро факторите, включени в индекса, са: </w:t>
      </w:r>
    </w:p>
    <w:p w14:paraId="40CCD291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Продуктивност</w:t>
      </w:r>
    </w:p>
    <w:p w14:paraId="0CB6E171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Разходи за здравеопазване</w:t>
      </w:r>
    </w:p>
    <w:p w14:paraId="5EF35A94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Образование</w:t>
      </w:r>
    </w:p>
    <w:p w14:paraId="38E6D840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Инфлация</w:t>
      </w:r>
    </w:p>
    <w:p w14:paraId="0B02EC17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Политически риск</w:t>
      </w:r>
    </w:p>
    <w:p w14:paraId="0A27E3DC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Корупция</w:t>
      </w:r>
    </w:p>
    <w:p w14:paraId="375D168F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 xml:space="preserve">Енергиен интензитет </w:t>
      </w:r>
    </w:p>
    <w:p w14:paraId="0937492A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Отделяне на парникови газове</w:t>
      </w:r>
    </w:p>
    <w:p w14:paraId="28FE823D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Воден стрес</w:t>
      </w:r>
    </w:p>
    <w:p w14:paraId="46D7178E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Ниво на урбанизация</w:t>
      </w:r>
    </w:p>
    <w:p w14:paraId="44AF81AC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 xml:space="preserve">Логистика </w:t>
      </w:r>
    </w:p>
    <w:p w14:paraId="1C0E6A38" w14:textId="77777777" w:rsidR="00D70931" w:rsidRDefault="00D70931" w:rsidP="00D70931">
      <w:pPr>
        <w:pStyle w:val="ListParagraph"/>
        <w:numPr>
          <w:ilvl w:val="0"/>
          <w:numId w:val="19"/>
        </w:numPr>
        <w:jc w:val="both"/>
      </w:pPr>
      <w:r>
        <w:t>Интернет потребление</w:t>
      </w:r>
    </w:p>
    <w:p w14:paraId="700DABCD" w14:textId="77777777" w:rsidR="00D70931" w:rsidRDefault="00D70931" w:rsidP="00D70931">
      <w:pPr>
        <w:jc w:val="both"/>
      </w:pPr>
      <w:r>
        <w:t xml:space="preserve">Физическите факторите от своя страна са: </w:t>
      </w:r>
    </w:p>
    <w:p w14:paraId="5784BFEC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proofErr w:type="spellStart"/>
      <w:r>
        <w:t>Изложеност</w:t>
      </w:r>
      <w:proofErr w:type="spellEnd"/>
      <w:r>
        <w:t xml:space="preserve"> на риск от климатични промени</w:t>
      </w:r>
    </w:p>
    <w:p w14:paraId="1AC3A2AB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proofErr w:type="spellStart"/>
      <w:r>
        <w:t>Изложеност</w:t>
      </w:r>
      <w:proofErr w:type="spellEnd"/>
      <w:r>
        <w:t xml:space="preserve"> на климатични рискове</w:t>
      </w:r>
    </w:p>
    <w:p w14:paraId="5E443D1B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r>
        <w:t xml:space="preserve">Качество на инфраструктурните подобрения свързани с климата </w:t>
      </w:r>
    </w:p>
    <w:p w14:paraId="7AE91D7B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proofErr w:type="spellStart"/>
      <w:r>
        <w:t>Изложеност</w:t>
      </w:r>
      <w:proofErr w:type="spellEnd"/>
      <w:r>
        <w:t xml:space="preserve"> на риск от земетресения </w:t>
      </w:r>
    </w:p>
    <w:p w14:paraId="5C1CEE5E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r>
        <w:t>Качество на инфраструктурните подобрения свързани с риска от пожари</w:t>
      </w:r>
    </w:p>
    <w:p w14:paraId="5CF1818F" w14:textId="77777777" w:rsidR="00D70931" w:rsidRDefault="00D70931" w:rsidP="00D70931">
      <w:pPr>
        <w:pStyle w:val="ListParagraph"/>
        <w:numPr>
          <w:ilvl w:val="0"/>
          <w:numId w:val="20"/>
        </w:numPr>
        <w:jc w:val="both"/>
      </w:pPr>
      <w:r>
        <w:t>Киберсигурност</w:t>
      </w:r>
    </w:p>
    <w:p w14:paraId="38043CFE" w14:textId="77777777" w:rsidR="00D70931" w:rsidRDefault="00D70931" w:rsidP="00D70931">
      <w:pPr>
        <w:jc w:val="both"/>
      </w:pPr>
      <w:r>
        <w:t xml:space="preserve">В класацията България е не само последната държава в ЕС по показатели с обща оценка 65.7, но е на 6 места по-назад от Гърция (43-то място), която е предпоследната страна членка в класацията. Изпреварват ни Саудитска Арабия, ОАЕ и Уругвай. В Топ 5 на най-устойчивите страни в света влизат Дания, която се изкачва на 1-во място в сравнение с 2020 г. с максимален резултат (100.0). Люксембург губи позиция и се нарежда на 2-ро място (99.9). Сингапур отбелязва значителен напредък за последните четири години и се изкачва до 3-та позиция. Топ 5 се допълва от Швейцария и Германия. </w:t>
      </w:r>
    </w:p>
    <w:p w14:paraId="15A4A149" w14:textId="77777777" w:rsidR="00D70931" w:rsidRDefault="00D70931" w:rsidP="00D70931">
      <w:pPr>
        <w:jc w:val="both"/>
      </w:pPr>
      <w:r>
        <w:t>По отношение на макро факторите България се представя добре в областите на: Разходи за здравеопазване (изчислено по паритет на покупателна способност (</w:t>
      </w:r>
      <w:proofErr w:type="spellStart"/>
      <w:r>
        <w:rPr>
          <w:lang w:val="en-US"/>
        </w:rPr>
        <w:t>ppp</w:t>
      </w:r>
      <w:proofErr w:type="spellEnd"/>
      <w:r w:rsidRPr="000460A2">
        <w:t>)</w:t>
      </w:r>
      <w:r>
        <w:t>, прекарано време в образователната система, инфлация,  където не се отбелязва голяма промяна в нивото на инфлация в сравнение с предходната година, интернет потребление, ниво на урбанизация, воден стрес (отбелязва наличността на водни ресурси, като страната има достатъчно), и също ниско ниво на отделяне на вредни емисии, като процент от БВП, както и енергиен интензитет (енергийна консумация на единица производителност).</w:t>
      </w:r>
    </w:p>
    <w:p w14:paraId="67CC2C28" w14:textId="77777777" w:rsidR="00D70931" w:rsidRDefault="00D70931" w:rsidP="00D70931">
      <w:pPr>
        <w:jc w:val="both"/>
      </w:pPr>
      <w:r>
        <w:t>Страната се представя значително по-зле в категориите:</w:t>
      </w:r>
    </w:p>
    <w:p w14:paraId="1EC6F50B" w14:textId="77777777" w:rsidR="00D70931" w:rsidRDefault="00D70931" w:rsidP="00D70931">
      <w:pPr>
        <w:pStyle w:val="ListParagraph"/>
        <w:numPr>
          <w:ilvl w:val="0"/>
          <w:numId w:val="21"/>
        </w:numPr>
        <w:jc w:val="both"/>
      </w:pPr>
      <w:r w:rsidRPr="000F493E">
        <w:rPr>
          <w:b/>
          <w:bCs/>
        </w:rPr>
        <w:t xml:space="preserve">Продуктивност </w:t>
      </w:r>
      <w:r>
        <w:t xml:space="preserve">(БВП по </w:t>
      </w:r>
      <w:proofErr w:type="spellStart"/>
      <w:r>
        <w:rPr>
          <w:rFonts w:hint="eastAsia"/>
        </w:rPr>
        <w:t>ppp</w:t>
      </w:r>
      <w:proofErr w:type="spellEnd"/>
      <w:r>
        <w:t xml:space="preserve"> на глава от населението</w:t>
      </w:r>
      <w:r>
        <w:rPr>
          <w:rFonts w:hint="eastAsia"/>
        </w:rPr>
        <w:t xml:space="preserve">), </w:t>
      </w:r>
      <w:r>
        <w:t>където страната заема 55-то място с едва 22.7 пункта</w:t>
      </w:r>
      <w:r w:rsidRPr="000460A2">
        <w:t>.</w:t>
      </w:r>
    </w:p>
    <w:p w14:paraId="51B359CC" w14:textId="77777777" w:rsidR="00D70931" w:rsidRDefault="00D70931" w:rsidP="00D70931">
      <w:pPr>
        <w:pStyle w:val="ListParagraph"/>
        <w:numPr>
          <w:ilvl w:val="0"/>
          <w:numId w:val="21"/>
        </w:numPr>
        <w:jc w:val="both"/>
      </w:pPr>
      <w:r w:rsidRPr="000F493E">
        <w:rPr>
          <w:b/>
          <w:bCs/>
        </w:rPr>
        <w:t>Политически риск</w:t>
      </w:r>
      <w:r>
        <w:t xml:space="preserve"> - изчислява вероятността правителството да бъде дестабилизирано или свалено с неконституционни средства, включително политически мотивирано насилие и тероризъм. България заема 54-то място по този показател.</w:t>
      </w:r>
    </w:p>
    <w:p w14:paraId="6888C6CA" w14:textId="77777777" w:rsidR="00D70931" w:rsidRDefault="00D70931" w:rsidP="00D70931">
      <w:pPr>
        <w:pStyle w:val="ListParagraph"/>
        <w:numPr>
          <w:ilvl w:val="0"/>
          <w:numId w:val="21"/>
        </w:numPr>
        <w:jc w:val="both"/>
      </w:pPr>
      <w:r w:rsidRPr="00DB4FE2">
        <w:rPr>
          <w:b/>
          <w:bCs/>
        </w:rPr>
        <w:t xml:space="preserve">Контрол на корупцията </w:t>
      </w:r>
      <w:r>
        <w:t xml:space="preserve">– изчислява степента, до която обществената власт се използва за лично облагодетелстване, включително завладяване на държавата от елитарни и частни интереси. В тази категория с 36.8 пункта </w:t>
      </w:r>
      <w:r w:rsidRPr="00AA2C23">
        <w:rPr>
          <w:b/>
          <w:bCs/>
        </w:rPr>
        <w:t>България заема още по-ниска позиция – 70-та и е последна сред страните членки на ЕС</w:t>
      </w:r>
      <w:r>
        <w:t xml:space="preserve">, където средното ниво е 63.3, което пък </w:t>
      </w:r>
      <w:r w:rsidRPr="00E634ED">
        <w:t>от своя страна е занижено поради високите нива на корупция в страните-членки от Източна Европа.</w:t>
      </w:r>
    </w:p>
    <w:p w14:paraId="623F31DC" w14:textId="77777777" w:rsidR="00D70931" w:rsidRDefault="00D70931" w:rsidP="00D70931">
      <w:pPr>
        <w:pStyle w:val="ListParagraph"/>
        <w:ind w:left="765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3BBCCB" wp14:editId="3BC684B3">
            <wp:simplePos x="0" y="0"/>
            <wp:positionH relativeFrom="column">
              <wp:posOffset>662305</wp:posOffset>
            </wp:positionH>
            <wp:positionV relativeFrom="paragraph">
              <wp:posOffset>156845</wp:posOffset>
            </wp:positionV>
            <wp:extent cx="4810125" cy="3606800"/>
            <wp:effectExtent l="0" t="0" r="9525" b="0"/>
            <wp:wrapTight wrapText="bothSides">
              <wp:wrapPolygon edited="0">
                <wp:start x="0" y="0"/>
                <wp:lineTo x="0" y="21448"/>
                <wp:lineTo x="21557" y="21448"/>
                <wp:lineTo x="21557" y="0"/>
                <wp:lineTo x="0" y="0"/>
              </wp:wrapPolygon>
            </wp:wrapTight>
            <wp:docPr id="110579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8B624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2520482A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27D38DD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78FB6CAB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084DC06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3F9AE6A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7CA50959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2648A4D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461A8643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029D8D76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7148A887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0B7639E3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519760CD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3769802D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56700CF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3B96E376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26A0ECAD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06A47547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6E33E2C2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578F0EA2" w14:textId="77777777" w:rsidR="00D70931" w:rsidRDefault="00D70931" w:rsidP="00D70931">
      <w:pPr>
        <w:pStyle w:val="ListParagraph"/>
        <w:ind w:left="765"/>
        <w:jc w:val="both"/>
        <w:rPr>
          <w:noProof/>
        </w:rPr>
      </w:pPr>
    </w:p>
    <w:p w14:paraId="263134E5" w14:textId="77777777" w:rsidR="00D70931" w:rsidRDefault="00D70931" w:rsidP="00D70931">
      <w:pPr>
        <w:pStyle w:val="ListParagraph"/>
        <w:ind w:left="765"/>
        <w:jc w:val="both"/>
        <w:rPr>
          <w:noProof/>
        </w:rPr>
      </w:pPr>
      <w:r w:rsidRPr="00DC7678">
        <w:rPr>
          <w:i/>
          <w:iCs/>
          <w:sz w:val="20"/>
          <w:szCs w:val="20"/>
        </w:rPr>
        <w:t xml:space="preserve">Данни: </w:t>
      </w:r>
      <w:r>
        <w:rPr>
          <w:i/>
          <w:iCs/>
          <w:sz w:val="20"/>
          <w:szCs w:val="20"/>
          <w:lang w:val="en-US"/>
        </w:rPr>
        <w:t>FM</w:t>
      </w:r>
      <w:r w:rsidRPr="00E634E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Global</w:t>
      </w:r>
      <w:r w:rsidRPr="00E634E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Resilience</w:t>
      </w:r>
      <w:r w:rsidRPr="00E634E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Index</w:t>
      </w:r>
      <w:r w:rsidRPr="00E634ED">
        <w:rPr>
          <w:i/>
          <w:iCs/>
          <w:sz w:val="20"/>
          <w:szCs w:val="20"/>
        </w:rPr>
        <w:t xml:space="preserve"> </w:t>
      </w:r>
      <w:r w:rsidRPr="00DC7678">
        <w:rPr>
          <w:i/>
          <w:iCs/>
          <w:sz w:val="20"/>
          <w:szCs w:val="20"/>
        </w:rPr>
        <w:t>2024; Анализ и графика: БСК</w:t>
      </w:r>
    </w:p>
    <w:p w14:paraId="48C6F914" w14:textId="77777777" w:rsidR="00D70931" w:rsidRDefault="00D70931" w:rsidP="00D70931">
      <w:pPr>
        <w:pStyle w:val="ListParagraph"/>
        <w:ind w:left="765"/>
        <w:jc w:val="both"/>
      </w:pPr>
    </w:p>
    <w:p w14:paraId="144E3D79" w14:textId="77777777" w:rsidR="00D70931" w:rsidRDefault="00D70931" w:rsidP="00D70931">
      <w:pPr>
        <w:pStyle w:val="ListParagraph"/>
        <w:numPr>
          <w:ilvl w:val="0"/>
          <w:numId w:val="21"/>
        </w:numPr>
        <w:jc w:val="both"/>
      </w:pPr>
      <w:r w:rsidRPr="00CB7161">
        <w:rPr>
          <w:b/>
          <w:bCs/>
        </w:rPr>
        <w:t xml:space="preserve"> Логистика</w:t>
      </w:r>
      <w:r>
        <w:t xml:space="preserve"> – оценява колко лесно протича износа от България, като се взема предвид инфраструктурата, наличност на логистични услуги и препятствията, които произтичат от публичния сектор. По отношение на този фактор България е извън топ 50 и заема 58-ма позиция.</w:t>
      </w:r>
    </w:p>
    <w:p w14:paraId="18991032" w14:textId="77777777" w:rsidR="00D70931" w:rsidRPr="000460A2" w:rsidRDefault="00D70931" w:rsidP="00D70931">
      <w:pPr>
        <w:jc w:val="both"/>
        <w:rPr>
          <w:b/>
          <w:bCs/>
          <w:sz w:val="28"/>
          <w:szCs w:val="28"/>
        </w:rPr>
      </w:pPr>
      <w:r w:rsidRPr="000460A2">
        <w:rPr>
          <w:b/>
          <w:bCs/>
          <w:sz w:val="28"/>
          <w:szCs w:val="28"/>
        </w:rPr>
        <w:t xml:space="preserve">Устойчиво ли е българското общество? </w:t>
      </w:r>
    </w:p>
    <w:p w14:paraId="430EFB59" w14:textId="77777777" w:rsidR="00D70931" w:rsidRDefault="00D70931" w:rsidP="00D70931">
      <w:pPr>
        <w:jc w:val="both"/>
      </w:pPr>
      <w:r>
        <w:t xml:space="preserve">Според </w:t>
      </w:r>
      <w:hyperlink r:id="rId12" w:history="1">
        <w:r w:rsidRPr="00931097">
          <w:rPr>
            <w:rStyle w:val="Hyperlink"/>
            <w:lang w:val="en-US"/>
          </w:rPr>
          <w:t>World</w:t>
        </w:r>
        <w:r w:rsidRPr="00931097">
          <w:rPr>
            <w:rStyle w:val="Hyperlink"/>
          </w:rPr>
          <w:t xml:space="preserve"> </w:t>
        </w:r>
        <w:r w:rsidRPr="00931097">
          <w:rPr>
            <w:rStyle w:val="Hyperlink"/>
            <w:lang w:val="en-US"/>
          </w:rPr>
          <w:t>Risk</w:t>
        </w:r>
        <w:r w:rsidRPr="00931097">
          <w:rPr>
            <w:rStyle w:val="Hyperlink"/>
          </w:rPr>
          <w:t xml:space="preserve"> </w:t>
        </w:r>
        <w:r w:rsidRPr="00931097">
          <w:rPr>
            <w:rStyle w:val="Hyperlink"/>
            <w:lang w:val="en-US"/>
          </w:rPr>
          <w:t>Poll</w:t>
        </w:r>
        <w:r w:rsidRPr="00931097">
          <w:rPr>
            <w:rStyle w:val="Hyperlink"/>
          </w:rPr>
          <w:t xml:space="preserve"> </w:t>
        </w:r>
        <w:r w:rsidRPr="00931097">
          <w:rPr>
            <w:rStyle w:val="Hyperlink"/>
            <w:lang w:val="en-US"/>
          </w:rPr>
          <w:t>Resilience</w:t>
        </w:r>
        <w:r w:rsidRPr="00931097">
          <w:rPr>
            <w:rStyle w:val="Hyperlink"/>
          </w:rPr>
          <w:t xml:space="preserve"> </w:t>
        </w:r>
        <w:r w:rsidRPr="00931097">
          <w:rPr>
            <w:rStyle w:val="Hyperlink"/>
            <w:lang w:val="en-US"/>
          </w:rPr>
          <w:t>Index</w:t>
        </w:r>
        <w:r w:rsidRPr="00931097">
          <w:rPr>
            <w:rStyle w:val="Hyperlink"/>
          </w:rPr>
          <w:t xml:space="preserve"> 2024</w:t>
        </w:r>
      </w:hyperlink>
      <w:r w:rsidRPr="00931097">
        <w:t xml:space="preserve"> </w:t>
      </w:r>
      <w:r>
        <w:t xml:space="preserve">на </w:t>
      </w:r>
      <w:r>
        <w:rPr>
          <w:lang w:val="en-US"/>
        </w:rPr>
        <w:t>Lloyd</w:t>
      </w:r>
      <w:r w:rsidRPr="00931097">
        <w:t>’</w:t>
      </w:r>
      <w:r>
        <w:rPr>
          <w:lang w:val="en-US"/>
        </w:rPr>
        <w:t>s</w:t>
      </w:r>
      <w:r w:rsidRPr="00931097">
        <w:t xml:space="preserve"> </w:t>
      </w:r>
      <w:r>
        <w:rPr>
          <w:lang w:val="en-US"/>
        </w:rPr>
        <w:t>Register</w:t>
      </w:r>
      <w:r w:rsidRPr="00931097">
        <w:t xml:space="preserve"> </w:t>
      </w:r>
      <w:r>
        <w:rPr>
          <w:lang w:val="en-US"/>
        </w:rPr>
        <w:t>Foundation</w:t>
      </w:r>
      <w:r w:rsidRPr="00931097">
        <w:t xml:space="preserve"> </w:t>
      </w:r>
      <w:r>
        <w:t xml:space="preserve">България заема 105-та позиция от 141 държави. В сравнение с 2021-ва година България пропада надолу с цели 28 позиции. Челната позиция е за Кувейт, следван от Виетнам, Норвегия, Сингапур, Швеция и Швейцария. Непосредствено след България остават Камерун, Гана, Либерия, Северна Македония и Колумбия. Северна Македония е и единствената европейска държава с по-нисък индекс на устойчивост от България. Последната позиция е за Афганистан, а предпоследната – за Йемен. </w:t>
      </w:r>
    </w:p>
    <w:p w14:paraId="30CD4D1D" w14:textId="77777777" w:rsidR="00D70931" w:rsidRDefault="00D70931" w:rsidP="00D70931">
      <w:pPr>
        <w:jc w:val="both"/>
      </w:pPr>
      <w:r>
        <w:t xml:space="preserve">Индексът измерва устойчивостта на нива индивид, домакинство, общност и общество, като се изследват ниво на образование, собствена ефективност за справяне с неочаквани събития и промени, лични финансови активи, достъп до комуникации, планиране и подготовка, ниво на взаимопомощ в общността, достъп до инфраструктура, ниво на дискриминация, мрежи за безопасност и защита на населението при бедствия и аварии, степен на доверие в институциите (военни и полиция, съдебна система, правителство, честност на изборните процеси). </w:t>
      </w:r>
    </w:p>
    <w:p w14:paraId="4F142BD3" w14:textId="77777777" w:rsidR="00D70931" w:rsidRDefault="00D70931" w:rsidP="00D70931">
      <w:pPr>
        <w:jc w:val="both"/>
      </w:pPr>
      <w:r w:rsidRPr="00AA2C23">
        <w:rPr>
          <w:b/>
          <w:bCs/>
        </w:rPr>
        <w:t>България е начело на класацията за групата държави, регистрирали най-голям спад в индекса за обща устойчивост</w:t>
      </w:r>
      <w:r>
        <w:t xml:space="preserve"> с минус 10 пункта спрямо 202</w:t>
      </w:r>
      <w:r w:rsidRPr="00D95313">
        <w:t>0</w:t>
      </w:r>
      <w:r>
        <w:t xml:space="preserve"> година и оставя далеч след себе си Еквадор, който се нарежда на второ място на страните с най-голям спад в индекса на устойчивост с -7 пункта спад спрямо 2020. Групата се допълва от Хърватска, Мароко, Северна Македония, Лаос, Полша, Египет, Сърбия и Словакия. Въпреки спада в устойчивостта при тези държави трябва да се отбележи, че изходните позиции на повечето от тях са по-високи и остават по-напред в общия </w:t>
      </w:r>
      <w:proofErr w:type="spellStart"/>
      <w:r>
        <w:t>ранкинг</w:t>
      </w:r>
      <w:proofErr w:type="spellEnd"/>
      <w:r>
        <w:t xml:space="preserve"> от България. </w:t>
      </w:r>
    </w:p>
    <w:p w14:paraId="53E212C5" w14:textId="77777777" w:rsidR="00D70931" w:rsidRDefault="00D70931" w:rsidP="00D70931">
      <w:pPr>
        <w:jc w:val="both"/>
      </w:pPr>
    </w:p>
    <w:p w14:paraId="22F6F698" w14:textId="77777777" w:rsidR="00D70931" w:rsidRPr="00DC7678" w:rsidRDefault="00D70931" w:rsidP="00D70931">
      <w:pPr>
        <w:jc w:val="both"/>
        <w:rPr>
          <w:i/>
          <w:iCs/>
          <w:sz w:val="20"/>
          <w:szCs w:val="20"/>
        </w:rPr>
      </w:pPr>
      <w:r w:rsidRPr="00DC7678">
        <w:rPr>
          <w:i/>
          <w:iCs/>
          <w:sz w:val="20"/>
          <w:szCs w:val="20"/>
        </w:rPr>
        <w:t xml:space="preserve">Данни: World </w:t>
      </w:r>
      <w:proofErr w:type="spellStart"/>
      <w:r w:rsidRPr="00DC7678">
        <w:rPr>
          <w:i/>
          <w:iCs/>
          <w:sz w:val="20"/>
          <w:szCs w:val="20"/>
        </w:rPr>
        <w:t>Risk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Poll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Index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Reports</w:t>
      </w:r>
      <w:proofErr w:type="spellEnd"/>
      <w:r w:rsidRPr="00DC7678">
        <w:rPr>
          <w:i/>
          <w:iCs/>
          <w:sz w:val="20"/>
          <w:szCs w:val="20"/>
        </w:rPr>
        <w:t xml:space="preserve"> 2021-2024. </w:t>
      </w:r>
      <w:proofErr w:type="spellStart"/>
      <w:r w:rsidRPr="00DC7678">
        <w:rPr>
          <w:i/>
          <w:iCs/>
          <w:sz w:val="20"/>
          <w:szCs w:val="20"/>
        </w:rPr>
        <w:t>Lloyd’s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Register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Foundation</w:t>
      </w:r>
      <w:proofErr w:type="spellEnd"/>
      <w:r w:rsidRPr="00DC7678">
        <w:rPr>
          <w:i/>
          <w:iCs/>
          <w:sz w:val="20"/>
          <w:szCs w:val="20"/>
        </w:rPr>
        <w:t xml:space="preserve"> ; Анализ и графика: БСК</w:t>
      </w:r>
      <w:r w:rsidRPr="00DC7678">
        <w:rPr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49DDA669" wp14:editId="5745ECC0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5514975" cy="3121025"/>
            <wp:effectExtent l="0" t="0" r="9525" b="3175"/>
            <wp:wrapTight wrapText="bothSides">
              <wp:wrapPolygon edited="0">
                <wp:start x="0" y="0"/>
                <wp:lineTo x="0" y="21490"/>
                <wp:lineTo x="21563" y="21490"/>
                <wp:lineTo x="21563" y="0"/>
                <wp:lineTo x="0" y="0"/>
              </wp:wrapPolygon>
            </wp:wrapTight>
            <wp:docPr id="2057690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9042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EF5B0" w14:textId="77777777" w:rsidR="00D70931" w:rsidRPr="00F81EB3" w:rsidRDefault="00D70931" w:rsidP="00D70931">
      <w:pPr>
        <w:jc w:val="both"/>
      </w:pPr>
      <w:r>
        <w:t xml:space="preserve">Графиката показва позицията на България за отделните четири нива. От нея се вижда пропадането на устойчивостта на ниво отделен индивид, на ниво общност и на ниво общество. Това на практика означава, че </w:t>
      </w:r>
      <w:r w:rsidRPr="0046265D">
        <w:rPr>
          <w:b/>
          <w:bCs/>
        </w:rPr>
        <w:t>българското общество не е подготвено да се справи с големи кризи и да излезе от такива по-силно и с по-добри позиции</w:t>
      </w:r>
      <w:r>
        <w:t>. Всъщност индексът отразява станалия популярен израз „всеки сам си преценя“, което се изразява в ниските нива на взаимопомощ и все по-ниското доверие в институциите. Единственият показател, който бележи ръст е устойчивостта на домакинствата, което е обяснимо, тъй като при тях се измерва ръста на доходите на домакинство, активите на домакинство като собствено жилище, земя и ресурси, както и достъпа до комуникации.</w:t>
      </w:r>
    </w:p>
    <w:p w14:paraId="1104644A" w14:textId="77777777" w:rsidR="00D70931" w:rsidRPr="00AA2C23" w:rsidRDefault="00D70931" w:rsidP="00D70931">
      <w:pPr>
        <w:jc w:val="both"/>
      </w:pPr>
      <w:r w:rsidRPr="00AA2C23">
        <w:rPr>
          <w:rStyle w:val="oypena"/>
        </w:rPr>
        <w:t xml:space="preserve">Според </w:t>
      </w:r>
      <w:hyperlink r:id="rId14" w:history="1">
        <w:r w:rsidRPr="00AA2C23">
          <w:rPr>
            <w:rStyle w:val="Hyperlink"/>
            <w:color w:val="5B9BD5" w:themeColor="accent1"/>
            <w:lang w:val="en-US"/>
          </w:rPr>
          <w:t>World</w:t>
        </w:r>
        <w:r w:rsidRPr="00AA2C23">
          <w:rPr>
            <w:rStyle w:val="Hyperlink"/>
            <w:color w:val="5B9BD5" w:themeColor="accent1"/>
          </w:rPr>
          <w:t xml:space="preserve"> </w:t>
        </w:r>
        <w:r w:rsidRPr="00AA2C23">
          <w:rPr>
            <w:rStyle w:val="Hyperlink"/>
            <w:color w:val="5B9BD5" w:themeColor="accent1"/>
            <w:lang w:val="en-US"/>
          </w:rPr>
          <w:t>Risk</w:t>
        </w:r>
        <w:r w:rsidRPr="00AA2C23">
          <w:rPr>
            <w:rStyle w:val="Hyperlink"/>
            <w:color w:val="5B9BD5" w:themeColor="accent1"/>
          </w:rPr>
          <w:t xml:space="preserve"> </w:t>
        </w:r>
        <w:r w:rsidRPr="00AA2C23">
          <w:rPr>
            <w:rStyle w:val="Hyperlink"/>
            <w:color w:val="5B9BD5" w:themeColor="accent1"/>
            <w:lang w:val="en-US"/>
          </w:rPr>
          <w:t>Report</w:t>
        </w:r>
        <w:r w:rsidRPr="00AA2C23">
          <w:rPr>
            <w:rStyle w:val="Hyperlink"/>
            <w:color w:val="5B9BD5" w:themeColor="accent1"/>
          </w:rPr>
          <w:t xml:space="preserve"> 2023</w:t>
        </w:r>
      </w:hyperlink>
      <w:r w:rsidRPr="00AA2C23">
        <w:rPr>
          <w:rStyle w:val="oypena"/>
        </w:rPr>
        <w:t xml:space="preserve"> България не е изложена на екстремни рискове, но </w:t>
      </w:r>
      <w:r w:rsidRPr="00AA2C23">
        <w:rPr>
          <w:rStyle w:val="oypena"/>
          <w:b/>
          <w:bCs/>
        </w:rPr>
        <w:t>липсата на способности за адаптация представлява сериозен риск за дългосрочната устойчивост на страната</w:t>
      </w:r>
      <w:r w:rsidRPr="00AA2C23">
        <w:rPr>
          <w:rStyle w:val="oypena"/>
        </w:rPr>
        <w:t xml:space="preserve">. Способностите за адаптация съгласно индекса включват показатели, свързани с </w:t>
      </w:r>
      <w:r w:rsidRPr="00AA2C23">
        <w:rPr>
          <w:rStyle w:val="oypena"/>
          <w:b/>
          <w:bCs/>
        </w:rPr>
        <w:t>инвестиции, качество на образованието и потенциал за иновации</w:t>
      </w:r>
      <w:r w:rsidRPr="00AA2C23">
        <w:rPr>
          <w:rStyle w:val="oypena"/>
        </w:rPr>
        <w:t xml:space="preserve">. В същото време уязвимостта намалява силите за устойчивост на българското общество. Уязвимостта се измерва като съвкупност от трите индикатора </w:t>
      </w:r>
      <w:r w:rsidRPr="00AA2C23">
        <w:rPr>
          <w:rStyle w:val="oypena"/>
          <w:b/>
          <w:bCs/>
        </w:rPr>
        <w:t>податливост, липса на способност за справяне и липса на способност за адаптация</w:t>
      </w:r>
      <w:r w:rsidRPr="00AA2C23">
        <w:rPr>
          <w:rStyle w:val="oypena"/>
        </w:rPr>
        <w:t xml:space="preserve">. От графиката по-долу ясно се вижда, че растящата податливост и липса на способност за адаптация пряко влияят на повишената уязвимост към рискове. Този анализ кореспондира и с позицията на България в индекса на </w:t>
      </w:r>
      <w:proofErr w:type="spellStart"/>
      <w:r w:rsidRPr="00AA2C23">
        <w:rPr>
          <w:rStyle w:val="oypena"/>
        </w:rPr>
        <w:t>Lloyd’s</w:t>
      </w:r>
      <w:proofErr w:type="spellEnd"/>
      <w:r w:rsidRPr="00AA2C23">
        <w:rPr>
          <w:rStyle w:val="oypena"/>
        </w:rPr>
        <w:t xml:space="preserve"> </w:t>
      </w:r>
      <w:proofErr w:type="spellStart"/>
      <w:r w:rsidRPr="00AA2C23">
        <w:rPr>
          <w:rStyle w:val="oypena"/>
        </w:rPr>
        <w:t>Register</w:t>
      </w:r>
      <w:proofErr w:type="spellEnd"/>
      <w:r w:rsidRPr="00AA2C23">
        <w:rPr>
          <w:rStyle w:val="oypena"/>
        </w:rPr>
        <w:t xml:space="preserve"> </w:t>
      </w:r>
      <w:proofErr w:type="spellStart"/>
      <w:r w:rsidRPr="00AA2C23">
        <w:rPr>
          <w:rStyle w:val="oypena"/>
        </w:rPr>
        <w:t>Foundation</w:t>
      </w:r>
      <w:proofErr w:type="spellEnd"/>
      <w:r w:rsidRPr="00AA2C23">
        <w:rPr>
          <w:rStyle w:val="oypena"/>
        </w:rPr>
        <w:t xml:space="preserve">, обяснена по-горе, свързана със способността на индивида и общността за отговор и справяне с предизвикателствата. </w:t>
      </w:r>
    </w:p>
    <w:p w14:paraId="70882E64" w14:textId="77777777" w:rsidR="00D70931" w:rsidRPr="00CF582B" w:rsidRDefault="00D70931" w:rsidP="00D70931">
      <w:pPr>
        <w:jc w:val="both"/>
      </w:pPr>
      <w:r w:rsidRPr="00CF582B">
        <w:rPr>
          <w:noProof/>
        </w:rPr>
        <w:drawing>
          <wp:inline distT="0" distB="0" distL="0" distR="0" wp14:anchorId="30985D17" wp14:editId="6037FEF0">
            <wp:extent cx="5760720" cy="3253105"/>
            <wp:effectExtent l="0" t="0" r="0" b="4445"/>
            <wp:docPr id="423917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739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A56B" w14:textId="77777777" w:rsidR="00D70931" w:rsidRPr="00DC7678" w:rsidRDefault="00D70931" w:rsidP="00D70931">
      <w:pPr>
        <w:jc w:val="both"/>
        <w:rPr>
          <w:i/>
          <w:iCs/>
          <w:sz w:val="20"/>
          <w:szCs w:val="20"/>
        </w:rPr>
      </w:pPr>
      <w:r w:rsidRPr="00DC7678">
        <w:rPr>
          <w:i/>
          <w:iCs/>
          <w:sz w:val="20"/>
          <w:szCs w:val="20"/>
        </w:rPr>
        <w:t xml:space="preserve">Данни: World </w:t>
      </w:r>
      <w:proofErr w:type="spellStart"/>
      <w:r w:rsidRPr="00DC7678">
        <w:rPr>
          <w:i/>
          <w:iCs/>
          <w:sz w:val="20"/>
          <w:szCs w:val="20"/>
        </w:rPr>
        <w:t>Risk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Reports</w:t>
      </w:r>
      <w:proofErr w:type="spellEnd"/>
      <w:r w:rsidRPr="00DC7678">
        <w:rPr>
          <w:i/>
          <w:iCs/>
          <w:sz w:val="20"/>
          <w:szCs w:val="20"/>
        </w:rPr>
        <w:t xml:space="preserve"> 2022-2023. </w:t>
      </w:r>
      <w:proofErr w:type="spellStart"/>
      <w:r w:rsidRPr="00DC7678">
        <w:rPr>
          <w:i/>
          <w:iCs/>
          <w:sz w:val="20"/>
          <w:szCs w:val="20"/>
        </w:rPr>
        <w:t>Bündnis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Entwicklung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Hilft</w:t>
      </w:r>
      <w:proofErr w:type="spellEnd"/>
      <w:r w:rsidRPr="00DC7678">
        <w:rPr>
          <w:i/>
          <w:iCs/>
          <w:sz w:val="20"/>
          <w:szCs w:val="20"/>
        </w:rPr>
        <w:t xml:space="preserve">, </w:t>
      </w:r>
      <w:proofErr w:type="spellStart"/>
      <w:r w:rsidRPr="00DC7678">
        <w:rPr>
          <w:i/>
          <w:iCs/>
          <w:sz w:val="20"/>
          <w:szCs w:val="20"/>
        </w:rPr>
        <w:t>Ruhr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University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Bochum</w:t>
      </w:r>
      <w:proofErr w:type="spellEnd"/>
      <w:r w:rsidRPr="00DC7678">
        <w:rPr>
          <w:i/>
          <w:iCs/>
          <w:sz w:val="20"/>
          <w:szCs w:val="20"/>
        </w:rPr>
        <w:t xml:space="preserve"> – Institute </w:t>
      </w:r>
      <w:proofErr w:type="spellStart"/>
      <w:r w:rsidRPr="00DC7678">
        <w:rPr>
          <w:i/>
          <w:iCs/>
          <w:sz w:val="20"/>
          <w:szCs w:val="20"/>
        </w:rPr>
        <w:t>for</w:t>
      </w:r>
      <w:proofErr w:type="spellEnd"/>
      <w:r w:rsidRPr="00DC7678">
        <w:rPr>
          <w:i/>
          <w:iCs/>
          <w:sz w:val="20"/>
          <w:szCs w:val="20"/>
        </w:rPr>
        <w:t xml:space="preserve"> International </w:t>
      </w:r>
      <w:proofErr w:type="spellStart"/>
      <w:r w:rsidRPr="00DC7678">
        <w:rPr>
          <w:i/>
          <w:iCs/>
          <w:sz w:val="20"/>
          <w:szCs w:val="20"/>
        </w:rPr>
        <w:t>Law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of</w:t>
      </w:r>
      <w:proofErr w:type="spellEnd"/>
      <w:r w:rsidRPr="00DC7678">
        <w:rPr>
          <w:i/>
          <w:iCs/>
          <w:sz w:val="20"/>
          <w:szCs w:val="20"/>
        </w:rPr>
        <w:t xml:space="preserve"> </w:t>
      </w:r>
      <w:proofErr w:type="spellStart"/>
      <w:r w:rsidRPr="00DC7678">
        <w:rPr>
          <w:i/>
          <w:iCs/>
          <w:sz w:val="20"/>
          <w:szCs w:val="20"/>
        </w:rPr>
        <w:t>Peace</w:t>
      </w:r>
      <w:proofErr w:type="spellEnd"/>
      <w:r w:rsidRPr="00DC7678">
        <w:rPr>
          <w:i/>
          <w:iCs/>
          <w:sz w:val="20"/>
          <w:szCs w:val="20"/>
        </w:rPr>
        <w:t xml:space="preserve"> and </w:t>
      </w:r>
      <w:proofErr w:type="spellStart"/>
      <w:r w:rsidRPr="00DC7678">
        <w:rPr>
          <w:i/>
          <w:iCs/>
          <w:sz w:val="20"/>
          <w:szCs w:val="20"/>
        </w:rPr>
        <w:t>Conflict</w:t>
      </w:r>
      <w:proofErr w:type="spellEnd"/>
      <w:r w:rsidRPr="00DC7678">
        <w:rPr>
          <w:i/>
          <w:iCs/>
          <w:sz w:val="20"/>
          <w:szCs w:val="20"/>
        </w:rPr>
        <w:t>; Анализ и графика: БСК</w:t>
      </w:r>
    </w:p>
    <w:p w14:paraId="509ED3B6" w14:textId="77777777" w:rsidR="00D70931" w:rsidRPr="002E575C" w:rsidRDefault="00D70931" w:rsidP="00D70931">
      <w:pPr>
        <w:jc w:val="both"/>
        <w:rPr>
          <w:b/>
          <w:bCs/>
        </w:rPr>
      </w:pPr>
      <w:r w:rsidRPr="002E575C">
        <w:rPr>
          <w:b/>
          <w:bCs/>
        </w:rPr>
        <w:t xml:space="preserve">Какво означава това за бизнеса? </w:t>
      </w:r>
    </w:p>
    <w:p w14:paraId="782CBEC9" w14:textId="77777777" w:rsidR="00D70931" w:rsidRPr="00971C24" w:rsidRDefault="00D70931" w:rsidP="00D70931">
      <w:pPr>
        <w:jc w:val="both"/>
      </w:pPr>
      <w:r>
        <w:t xml:space="preserve">Анализът сочи, че по отношение на чисто физически фактори, свързани с устойчивостта, като достъп до природни ресурси, чиста вода, храна, енергийни мощности, България има изходна база да се справи с рисковете, пред които е изправена. Не така стои въпросът, обаче, с човешките ресурси. Различните индекси, измерващи глобалната устойчивост и включващи в себе си човешкия фактор, неизбежно отразяват </w:t>
      </w:r>
      <w:r w:rsidRPr="00AA2C23">
        <w:rPr>
          <w:b/>
          <w:bCs/>
        </w:rPr>
        <w:t>все по-силно намаляващата способност на българското общество да бъде устойчиво на несигурност и да капитализира възможностите</w:t>
      </w:r>
      <w:r>
        <w:t xml:space="preserve">, произтичащи от промените. Докато динамиката в световен мащаб прави обществата на отделните страни по-сплотени и силни, в българското общество е налице и ясно видима обратната тенденция. </w:t>
      </w:r>
    </w:p>
    <w:p w14:paraId="67A024C5" w14:textId="77777777" w:rsidR="00D70931" w:rsidRPr="00971C24" w:rsidRDefault="00D70931" w:rsidP="00D70931">
      <w:pPr>
        <w:jc w:val="both"/>
      </w:pPr>
      <w:r>
        <w:t xml:space="preserve">Бизнесът се прави от хора. Ето защо индивидуалните умения, свързани с грамотността за бъдещето и устойчивостта на обществото при справяне с несигурността и управлението на промени са ключови не само за успеха на отделния индивид, но и за успеха на компаниите. Непредставително проучване на БСК от 2020-та година сред български компании дали са готови за бъдещето показва, че повечето от тях са идентифицирали несигурността и рисковете за своя бизнес, но нямат планове за справяне с промените и изчакват да видят посоката на развитие и добре оформени тенденции, за да предприемат стъпки. Такава предпазливост от една страна е разумна и логична, но от друга означава изпускане на добри възможности за растеж и вечна позиция на догонващ. </w:t>
      </w:r>
      <w:r w:rsidRPr="00AA2C23">
        <w:t xml:space="preserve">Умението да се </w:t>
      </w:r>
      <w:proofErr w:type="spellStart"/>
      <w:r w:rsidRPr="00AA2C23">
        <w:t>навигира</w:t>
      </w:r>
      <w:proofErr w:type="spellEnd"/>
      <w:r w:rsidRPr="00AA2C23">
        <w:t xml:space="preserve"> несигурността и да се прегърне промяната е залог за пазарно лидерство и високо позициониране в следващите години. </w:t>
      </w:r>
      <w:r w:rsidRPr="0073085B">
        <w:rPr>
          <w:b/>
          <w:bCs/>
        </w:rPr>
        <w:t xml:space="preserve">Без сериозни инвестиции в човешкия потенциал, като се започне от възпитаване на ценности и висока степен на образование, включително установяване на </w:t>
      </w:r>
      <w:proofErr w:type="spellStart"/>
      <w:r w:rsidRPr="0073085B">
        <w:rPr>
          <w:b/>
          <w:bCs/>
        </w:rPr>
        <w:t>меритокрация</w:t>
      </w:r>
      <w:proofErr w:type="spellEnd"/>
      <w:r w:rsidRPr="0073085B">
        <w:rPr>
          <w:b/>
          <w:bCs/>
        </w:rPr>
        <w:t>, способността на обществото да се справя с предизвикателствата ще продължава да намалява.</w:t>
      </w:r>
      <w:r>
        <w:t xml:space="preserve"> Липсата на подготвени кадри и необходимостта от реформи на образователната система са най-належащото за решаване предизвикателство пред България, а инвестициите в засилване на връзката наука-бизнес и възпитаването на култура за предприемачество и иновации във всички сектори на икономиката, съчетани със съответната ценностна система са ключови за устойчивостта на цялото общество. </w:t>
      </w:r>
    </w:p>
    <w:p w14:paraId="05AF8E3C" w14:textId="7FFF59C9" w:rsidR="00D70931" w:rsidRPr="00CF582B" w:rsidRDefault="00D70931" w:rsidP="00D70931">
      <w:pPr>
        <w:jc w:val="center"/>
      </w:pPr>
      <w:r>
        <w:t>***</w:t>
      </w:r>
    </w:p>
    <w:p w14:paraId="7E36CA2A" w14:textId="4CC4D248" w:rsidR="00D70931" w:rsidRPr="00D70931" w:rsidRDefault="00D70931" w:rsidP="00D70931">
      <w:pPr>
        <w:jc w:val="center"/>
        <w:rPr>
          <w:rFonts w:ascii="Tahoma" w:hAnsi="Tahoma" w:cs="Tahoma"/>
          <w:sz w:val="20"/>
          <w:szCs w:val="20"/>
        </w:rPr>
      </w:pPr>
      <w:r w:rsidRPr="00D70931">
        <w:rPr>
          <w:rFonts w:ascii="Tahoma" w:hAnsi="Tahoma" w:cs="Tahoma"/>
          <w:sz w:val="20"/>
          <w:szCs w:val="20"/>
        </w:rPr>
        <w:t>По статията работиха </w:t>
      </w:r>
      <w:hyperlink r:id="rId16" w:tgtFrame="_blank" w:history="1">
        <w:r w:rsidRPr="00D70931">
          <w:rPr>
            <w:rStyle w:val="Hyperlink"/>
            <w:rFonts w:ascii="Tahoma" w:hAnsi="Tahoma" w:cs="Tahoma"/>
            <w:sz w:val="20"/>
            <w:szCs w:val="20"/>
          </w:rPr>
          <w:t xml:space="preserve">Христина </w:t>
        </w:r>
        <w:proofErr w:type="spellStart"/>
        <w:r w:rsidRPr="00D70931">
          <w:rPr>
            <w:rStyle w:val="Hyperlink"/>
            <w:rFonts w:ascii="Tahoma" w:hAnsi="Tahoma" w:cs="Tahoma"/>
            <w:sz w:val="20"/>
            <w:szCs w:val="20"/>
          </w:rPr>
          <w:t>Каспарян</w:t>
        </w:r>
        <w:proofErr w:type="spellEnd"/>
      </w:hyperlink>
      <w:r w:rsidRPr="00D70931">
        <w:rPr>
          <w:rFonts w:ascii="Tahoma" w:hAnsi="Tahoma" w:cs="Tahoma"/>
          <w:sz w:val="20"/>
          <w:szCs w:val="20"/>
        </w:rPr>
        <w:t> и </w:t>
      </w:r>
      <w:hyperlink r:id="rId17" w:tgtFrame="_blank" w:history="1">
        <w:r w:rsidRPr="00D70931">
          <w:rPr>
            <w:rStyle w:val="Hyperlink"/>
            <w:rFonts w:ascii="Tahoma" w:hAnsi="Tahoma" w:cs="Tahoma"/>
            <w:sz w:val="20"/>
            <w:szCs w:val="20"/>
          </w:rPr>
          <w:t>Миряна Недева</w:t>
        </w:r>
      </w:hyperlink>
      <w:r w:rsidRPr="00D70931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br/>
      </w:r>
      <w:r w:rsidRPr="00D70931">
        <w:rPr>
          <w:rFonts w:ascii="Tahoma" w:hAnsi="Tahoma" w:cs="Tahoma"/>
          <w:sz w:val="20"/>
          <w:szCs w:val="20"/>
        </w:rPr>
        <w:t>от Център „</w:t>
      </w:r>
      <w:hyperlink r:id="rId18" w:tgtFrame="_blank" w:history="1">
        <w:r w:rsidRPr="00D70931">
          <w:rPr>
            <w:rStyle w:val="Hyperlink"/>
            <w:rFonts w:ascii="Tahoma" w:hAnsi="Tahoma" w:cs="Tahoma"/>
            <w:sz w:val="20"/>
            <w:szCs w:val="20"/>
          </w:rPr>
          <w:t>Международно икономическо сътрудничество</w:t>
        </w:r>
      </w:hyperlink>
      <w:r w:rsidRPr="00D70931">
        <w:rPr>
          <w:rFonts w:ascii="Tahoma" w:hAnsi="Tahoma" w:cs="Tahoma"/>
          <w:sz w:val="20"/>
          <w:szCs w:val="20"/>
        </w:rPr>
        <w:t>“ в БСК</w:t>
      </w:r>
    </w:p>
    <w:p w14:paraId="32772703" w14:textId="77777777" w:rsidR="006A0423" w:rsidRPr="000B1D31" w:rsidRDefault="006A0423" w:rsidP="006A0423">
      <w:pPr>
        <w:spacing w:after="120" w:line="240" w:lineRule="auto"/>
        <w:ind w:firstLine="567"/>
        <w:jc w:val="both"/>
        <w:rPr>
          <w:rFonts w:ascii="Tahoma" w:hAnsi="Tahoma" w:cs="Tahoma"/>
          <w:sz w:val="20"/>
        </w:rPr>
      </w:pPr>
    </w:p>
    <w:sectPr w:rsidR="006A0423" w:rsidRPr="000B1D31" w:rsidSect="006A042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93" w:right="1133" w:bottom="85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A5F5" w14:textId="77777777" w:rsidR="00C266E1" w:rsidRDefault="00C266E1">
      <w:pPr>
        <w:spacing w:after="0" w:line="240" w:lineRule="auto"/>
      </w:pPr>
      <w:r>
        <w:separator/>
      </w:r>
    </w:p>
  </w:endnote>
  <w:endnote w:type="continuationSeparator" w:id="0">
    <w:p w14:paraId="024F4D84" w14:textId="77777777" w:rsidR="00C266E1" w:rsidRDefault="00C2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1B20" w14:textId="77777777" w:rsidR="004A1F84" w:rsidRDefault="004A1F84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>
      <w:rPr>
        <w:rFonts w:ascii="Tahoma" w:hAnsi="Tahoma" w:cs="Tahoma"/>
        <w:color w:val="004678"/>
        <w:sz w:val="18"/>
        <w:szCs w:val="18"/>
      </w:rPr>
      <w:t xml:space="preserve">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0B1D31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  <w:r>
      <w:rPr>
        <w:rFonts w:ascii="Tahoma" w:hAnsi="Tahoma" w:cs="Tahoma"/>
        <w:color w:val="004678"/>
        <w:sz w:val="18"/>
        <w:szCs w:val="18"/>
      </w:rPr>
      <w:t xml:space="preserve"> от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0B1D31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8337" w14:textId="77777777" w:rsidR="004A1F84" w:rsidRDefault="004A1F84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>
      <w:rPr>
        <w:rFonts w:ascii="Tahoma" w:hAnsi="Tahoma" w:cs="Tahoma"/>
        <w:color w:val="004678"/>
        <w:sz w:val="18"/>
        <w:szCs w:val="18"/>
      </w:rPr>
      <w:t xml:space="preserve">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90608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  <w:r>
      <w:rPr>
        <w:rFonts w:ascii="Tahoma" w:hAnsi="Tahoma" w:cs="Tahoma"/>
        <w:color w:val="004678"/>
        <w:sz w:val="18"/>
        <w:szCs w:val="18"/>
      </w:rPr>
      <w:t xml:space="preserve"> от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90608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F6D5" w14:textId="77777777" w:rsidR="00C266E1" w:rsidRDefault="00C266E1">
      <w:pPr>
        <w:spacing w:after="0" w:line="240" w:lineRule="auto"/>
      </w:pPr>
      <w:r>
        <w:separator/>
      </w:r>
    </w:p>
  </w:footnote>
  <w:footnote w:type="continuationSeparator" w:id="0">
    <w:p w14:paraId="73B82F49" w14:textId="77777777" w:rsidR="00C266E1" w:rsidRDefault="00C2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A295" w14:textId="77777777" w:rsidR="00CA319C" w:rsidRDefault="00CA319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368C721" wp14:editId="45AC3A91">
          <wp:simplePos x="0" y="0"/>
          <wp:positionH relativeFrom="column">
            <wp:posOffset>-884555</wp:posOffset>
          </wp:positionH>
          <wp:positionV relativeFrom="paragraph">
            <wp:posOffset>-416511</wp:posOffset>
          </wp:positionV>
          <wp:extent cx="7547976" cy="106724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Бланка-темплейт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76" cy="10672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71DF" w14:textId="77777777" w:rsidR="004A1F84" w:rsidRPr="00741B1A" w:rsidRDefault="00C26645" w:rsidP="00741B1A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7B4FB6FF" wp14:editId="3C2C4B2D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7560000" cy="10638000"/>
          <wp:effectExtent l="0" t="0" r="3175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US\Desktop\Бланка-темплей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A162D0"/>
    <w:multiLevelType w:val="hybridMultilevel"/>
    <w:tmpl w:val="180CF6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EA7"/>
    <w:multiLevelType w:val="hybridMultilevel"/>
    <w:tmpl w:val="85685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1FA5FBB"/>
    <w:multiLevelType w:val="hybridMultilevel"/>
    <w:tmpl w:val="86ACF95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8"/>
  </w:num>
  <w:num w:numId="5">
    <w:abstractNumId w:val="3"/>
  </w:num>
  <w:num w:numId="6">
    <w:abstractNumId w:val="17"/>
  </w:num>
  <w:num w:numId="7">
    <w:abstractNumId w:val="12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20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31"/>
    <w:rsid w:val="000B1D31"/>
    <w:rsid w:val="001661FD"/>
    <w:rsid w:val="001F4DC8"/>
    <w:rsid w:val="00203885"/>
    <w:rsid w:val="002E29C7"/>
    <w:rsid w:val="004A1F84"/>
    <w:rsid w:val="004F22F8"/>
    <w:rsid w:val="00503400"/>
    <w:rsid w:val="00547ED0"/>
    <w:rsid w:val="006A0423"/>
    <w:rsid w:val="006A2805"/>
    <w:rsid w:val="00714C83"/>
    <w:rsid w:val="00741B1A"/>
    <w:rsid w:val="00906083"/>
    <w:rsid w:val="00A36CAE"/>
    <w:rsid w:val="00AB071A"/>
    <w:rsid w:val="00AB5810"/>
    <w:rsid w:val="00B13B6F"/>
    <w:rsid w:val="00B63ECC"/>
    <w:rsid w:val="00C26645"/>
    <w:rsid w:val="00C266E1"/>
    <w:rsid w:val="00CA319C"/>
    <w:rsid w:val="00D70931"/>
    <w:rsid w:val="00DD5C5E"/>
    <w:rsid w:val="00F41744"/>
    <w:rsid w:val="00F51B97"/>
    <w:rsid w:val="00FB1447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94887"/>
  <w15:chartTrackingRefBased/>
  <w15:docId w15:val="{D2409EC8-85AA-4727-98E3-D2937030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styleId="GridTable1Light-Accent5">
    <w:name w:val="Grid Table 1 Light Accent 5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ypena">
    <w:name w:val="oypena"/>
    <w:basedOn w:val="DefaultParagraphFont"/>
    <w:rsid w:val="00D7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capabilities/risk-and-resilience/our-insights/from-risk-management-to-strategic-resilienc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bia-bg.com/biateam/index/514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rp.lrfoundation.org.uk/world-risk-poll-data/world-risk-poll-resilience-index" TargetMode="External"/><Relationship Id="rId17" Type="http://schemas.openxmlformats.org/officeDocument/2006/relationships/hyperlink" Target="https://www.bia-bg.com/biateam/view/5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a-bg.com/biateam/view/446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fmglobal.com/research-and-resources/tools-and-resources/resilienceinde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esco.org/en/futures-literacy" TargetMode="External"/><Relationship Id="rId14" Type="http://schemas.openxmlformats.org/officeDocument/2006/relationships/hyperlink" Target="https://weltrisikobericht.de/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A%20Clowd\BLANKI%20&amp;%20ZAYAVKI\-%20PR_blanka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A184-863E-4D5E-8D24-F75B46E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PR_blanka_new.dotx</Template>
  <TotalTime>1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Алашка</dc:creator>
  <cp:keywords/>
  <dc:description/>
  <cp:lastModifiedBy>Ani Alashka</cp:lastModifiedBy>
  <cp:revision>1</cp:revision>
  <cp:lastPrinted>2023-01-26T14:42:00Z</cp:lastPrinted>
  <dcterms:created xsi:type="dcterms:W3CDTF">2024-06-28T07:04:00Z</dcterms:created>
  <dcterms:modified xsi:type="dcterms:W3CDTF">2024-06-28T07:05:00Z</dcterms:modified>
</cp:coreProperties>
</file>