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7502C" w14:textId="392567C1" w:rsidR="00020D97" w:rsidRPr="001E3A19" w:rsidRDefault="00020D97" w:rsidP="002822AD">
      <w:pPr>
        <w:spacing w:before="160" w:after="160" w:line="360" w:lineRule="auto"/>
        <w:ind w:left="425"/>
        <w:jc w:val="center"/>
        <w:rPr>
          <w:rFonts w:ascii="Verdana" w:hAnsi="Verdana"/>
          <w:b/>
          <w:sz w:val="20"/>
        </w:rPr>
      </w:pPr>
      <w:r w:rsidRPr="001E3A19">
        <w:rPr>
          <w:rFonts w:ascii="Verdana" w:hAnsi="Verdana"/>
          <w:b/>
          <w:sz w:val="20"/>
        </w:rPr>
        <w:t>ФАКТИЧЕСКО ИН</w:t>
      </w:r>
      <w:r w:rsidR="009A1666">
        <w:rPr>
          <w:rFonts w:ascii="Verdana" w:hAnsi="Verdana"/>
          <w:b/>
          <w:sz w:val="20"/>
        </w:rPr>
        <w:t>Д</w:t>
      </w:r>
      <w:r w:rsidRPr="001E3A19">
        <w:rPr>
          <w:rFonts w:ascii="Verdana" w:hAnsi="Verdana"/>
          <w:b/>
          <w:sz w:val="20"/>
        </w:rPr>
        <w:t xml:space="preserve">ИВИДУАЛНО </w:t>
      </w:r>
      <w:r w:rsidRPr="00CD5D77">
        <w:rPr>
          <w:rFonts w:ascii="Verdana" w:hAnsi="Verdana"/>
          <w:b/>
          <w:sz w:val="20"/>
        </w:rPr>
        <w:t>ПОТРЕБЛЕНИЕ НА ЧОВЕК ОТ НАСЕЛЕНИЕТО ЗА 202</w:t>
      </w:r>
      <w:r w:rsidRPr="00CD5D77">
        <w:rPr>
          <w:rFonts w:ascii="Verdana" w:hAnsi="Verdana"/>
          <w:b/>
          <w:sz w:val="20"/>
          <w:lang w:val="en-US"/>
        </w:rPr>
        <w:t>3</w:t>
      </w:r>
      <w:r w:rsidRPr="00CD5D77">
        <w:rPr>
          <w:rFonts w:ascii="Verdana" w:hAnsi="Verdana"/>
          <w:b/>
          <w:sz w:val="20"/>
        </w:rPr>
        <w:t xml:space="preserve"> ГОДИНА</w:t>
      </w:r>
      <w:r w:rsidR="00FE10D9" w:rsidRPr="00CD5D77">
        <w:rPr>
          <w:rFonts w:ascii="Verdana" w:hAnsi="Verdana"/>
          <w:b/>
          <w:sz w:val="20"/>
        </w:rPr>
        <w:t xml:space="preserve"> </w:t>
      </w:r>
      <w:r w:rsidR="007E4D7A">
        <w:rPr>
          <w:rFonts w:ascii="Verdana" w:hAnsi="Verdana"/>
          <w:b/>
          <w:sz w:val="20"/>
        </w:rPr>
        <w:t>В</w:t>
      </w:r>
      <w:r w:rsidR="00EF0D47">
        <w:rPr>
          <w:rFonts w:ascii="Verdana" w:hAnsi="Verdana"/>
          <w:b/>
          <w:sz w:val="20"/>
          <w:lang w:val="en-US"/>
        </w:rPr>
        <w:t xml:space="preserve"> </w:t>
      </w:r>
      <w:r w:rsidR="00FE10D9" w:rsidRPr="00CD5D77">
        <w:rPr>
          <w:rFonts w:ascii="Verdana" w:hAnsi="Verdana"/>
          <w:b/>
          <w:sz w:val="20"/>
        </w:rPr>
        <w:t>ЕС</w:t>
      </w:r>
    </w:p>
    <w:p w14:paraId="17FB80B1" w14:textId="7D0E1FF6" w:rsidR="007E4D7A" w:rsidRDefault="007E4D7A" w:rsidP="008912AD">
      <w:pPr>
        <w:keepLines/>
        <w:spacing w:after="160" w:line="360" w:lineRule="auto"/>
        <w:ind w:firstLine="567"/>
        <w:jc w:val="both"/>
        <w:rPr>
          <w:rFonts w:ascii="Verdana" w:eastAsia="Times New Roman" w:hAnsi="Verdana"/>
          <w:sz w:val="20"/>
          <w:lang w:eastAsia="en-GB"/>
        </w:rPr>
      </w:pPr>
      <w:r w:rsidRPr="007C3396">
        <w:rPr>
          <w:rFonts w:ascii="Verdana" w:eastAsia="Times New Roman" w:hAnsi="Verdana"/>
          <w:sz w:val="20"/>
          <w:lang w:eastAsia="en-GB"/>
        </w:rPr>
        <w:t xml:space="preserve">През 2023 г. </w:t>
      </w:r>
      <w:hyperlink r:id="rId8" w:history="1">
        <w:r>
          <w:rPr>
            <w:rFonts w:ascii="Verdana" w:eastAsia="Times New Roman" w:hAnsi="Verdana"/>
            <w:color w:val="0070C0"/>
            <w:sz w:val="20"/>
            <w:u w:val="single"/>
            <w:lang w:eastAsia="en-GB"/>
          </w:rPr>
          <w:t>ф</w:t>
        </w:r>
        <w:r w:rsidRPr="00914AEB">
          <w:rPr>
            <w:rFonts w:ascii="Verdana" w:eastAsia="Times New Roman" w:hAnsi="Verdana"/>
            <w:color w:val="0070C0"/>
            <w:sz w:val="20"/>
            <w:u w:val="single"/>
            <w:lang w:eastAsia="en-GB"/>
          </w:rPr>
          <w:t>актическото индивидуално потребление (ФИП)</w:t>
        </w:r>
      </w:hyperlink>
      <w:r w:rsidRPr="007C3396">
        <w:rPr>
          <w:rFonts w:ascii="Verdana" w:eastAsia="Times New Roman" w:hAnsi="Verdana"/>
          <w:sz w:val="20"/>
          <w:lang w:eastAsia="en-GB"/>
        </w:rPr>
        <w:t xml:space="preserve"> на човек от населението, изразено в </w:t>
      </w:r>
      <w:hyperlink r:id="rId9" w:history="1">
        <w:r w:rsidRPr="00914AEB">
          <w:rPr>
            <w:rFonts w:ascii="Verdana" w:eastAsia="Times New Roman" w:hAnsi="Verdana"/>
            <w:color w:val="0070C0"/>
            <w:sz w:val="20"/>
            <w:u w:val="single"/>
            <w:lang w:eastAsia="en-GB"/>
          </w:rPr>
          <w:t>стандарти на покупателната способност (СПС)</w:t>
        </w:r>
      </w:hyperlink>
      <w:r w:rsidRPr="007C3396">
        <w:rPr>
          <w:rFonts w:ascii="Verdana" w:eastAsia="Times New Roman" w:hAnsi="Verdana"/>
          <w:sz w:val="20"/>
          <w:lang w:eastAsia="en-GB"/>
        </w:rPr>
        <w:t>, варира</w:t>
      </w:r>
      <w:r w:rsidRPr="007C3396">
        <w:rPr>
          <w:rFonts w:ascii="Verdana" w:eastAsia="Times New Roman" w:hAnsi="Verdana"/>
          <w:sz w:val="20"/>
          <w:lang w:val="en-US" w:eastAsia="en-GB"/>
        </w:rPr>
        <w:t xml:space="preserve"> </w:t>
      </w:r>
      <w:r w:rsidRPr="007C3396">
        <w:rPr>
          <w:rFonts w:ascii="Verdana" w:eastAsia="Times New Roman" w:hAnsi="Verdana"/>
          <w:sz w:val="20"/>
          <w:lang w:eastAsia="en-GB"/>
        </w:rPr>
        <w:t xml:space="preserve">между държавите - членки на </w:t>
      </w:r>
      <w:hyperlink r:id="rId10" w:history="1">
        <w:r w:rsidRPr="007C3396">
          <w:rPr>
            <w:rFonts w:ascii="Verdana" w:eastAsia="Times New Roman" w:hAnsi="Verdana"/>
            <w:sz w:val="20"/>
            <w:u w:val="single"/>
            <w:lang w:eastAsia="en-GB"/>
          </w:rPr>
          <w:t>ЕС</w:t>
        </w:r>
      </w:hyperlink>
      <w:r w:rsidRPr="007C3396">
        <w:rPr>
          <w:rFonts w:ascii="Verdana" w:eastAsia="Times New Roman" w:hAnsi="Verdana"/>
          <w:sz w:val="20"/>
          <w:lang w:eastAsia="en-GB"/>
        </w:rPr>
        <w:t xml:space="preserve">, от </w:t>
      </w:r>
      <w:r w:rsidRPr="007C3396">
        <w:rPr>
          <w:rFonts w:ascii="Verdana" w:eastAsia="Times New Roman" w:hAnsi="Verdana"/>
          <w:sz w:val="20"/>
          <w:lang w:val="en-US" w:eastAsia="en-GB"/>
        </w:rPr>
        <w:t>70</w:t>
      </w:r>
      <w:r w:rsidRPr="007C3396">
        <w:rPr>
          <w:rFonts w:ascii="Verdana" w:eastAsia="Times New Roman" w:hAnsi="Verdana"/>
          <w:sz w:val="20"/>
          <w:lang w:val="ru-RU" w:eastAsia="en-GB"/>
        </w:rPr>
        <w:t xml:space="preserve"> </w:t>
      </w:r>
      <w:r w:rsidRPr="007C3396">
        <w:rPr>
          <w:rFonts w:ascii="Verdana" w:eastAsia="Times New Roman" w:hAnsi="Verdana"/>
          <w:sz w:val="20"/>
          <w:lang w:eastAsia="en-GB"/>
        </w:rPr>
        <w:t>до</w:t>
      </w:r>
      <w:r w:rsidRPr="007C3396">
        <w:rPr>
          <w:rFonts w:ascii="Verdana" w:eastAsia="Times New Roman" w:hAnsi="Verdana"/>
          <w:sz w:val="20"/>
          <w:lang w:val="ru-RU" w:eastAsia="en-GB"/>
        </w:rPr>
        <w:t xml:space="preserve"> 138%</w:t>
      </w:r>
      <w:r w:rsidRPr="007C3396">
        <w:rPr>
          <w:rFonts w:ascii="Verdana" w:eastAsia="Times New Roman" w:hAnsi="Verdana"/>
          <w:sz w:val="20"/>
          <w:lang w:eastAsia="en-GB"/>
        </w:rPr>
        <w:t xml:space="preserve"> от средното равнище в </w:t>
      </w:r>
      <w:r w:rsidRPr="00656FBD">
        <w:rPr>
          <w:rFonts w:ascii="Verdana" w:eastAsia="Times New Roman" w:hAnsi="Verdana"/>
          <w:sz w:val="20"/>
          <w:lang w:eastAsia="en-GB"/>
        </w:rPr>
        <w:t>EС-27.</w:t>
      </w:r>
      <w:r>
        <w:rPr>
          <w:rFonts w:ascii="Verdana" w:eastAsia="Times New Roman" w:hAnsi="Verdana"/>
          <w:sz w:val="20"/>
          <w:lang w:eastAsia="en-GB"/>
        </w:rPr>
        <w:t xml:space="preserve"> За България нивото е 27% под средното равнище за ЕС, според експресните оценки за 2023 г.</w:t>
      </w:r>
    </w:p>
    <w:p w14:paraId="665B9C59" w14:textId="21ED1D20" w:rsidR="00020D97" w:rsidRPr="007C3396" w:rsidRDefault="007E4D7A" w:rsidP="008912AD">
      <w:pPr>
        <w:keepLines/>
        <w:spacing w:after="160" w:line="360" w:lineRule="auto"/>
        <w:ind w:firstLine="567"/>
        <w:jc w:val="both"/>
        <w:rPr>
          <w:rFonts w:ascii="Verdana" w:eastAsia="Times New Roman" w:hAnsi="Verdana"/>
          <w:b/>
          <w:sz w:val="20"/>
          <w:lang w:eastAsia="en-GB"/>
        </w:rPr>
      </w:pPr>
      <w:r>
        <w:rPr>
          <w:rFonts w:ascii="Verdana" w:eastAsia="Times New Roman" w:hAnsi="Verdana"/>
          <w:sz w:val="20"/>
          <w:lang w:eastAsia="en-GB"/>
        </w:rPr>
        <w:t>ФИП</w:t>
      </w:r>
      <w:r w:rsidR="00020D97" w:rsidRPr="007C3396">
        <w:rPr>
          <w:rFonts w:ascii="Verdana" w:eastAsia="Times New Roman" w:hAnsi="Verdana"/>
          <w:sz w:val="20"/>
          <w:lang w:eastAsia="en-GB"/>
        </w:rPr>
        <w:t xml:space="preserve"> се състои от стоки и услуги, действително потребени от домакинствата, независимо дали са закупени и платени директно от домакинствата, от правителството или от нестопански организации. ФИП на човек от населението може да се разглежда като показател за материалното благосъстояние на домакинствата.</w:t>
      </w:r>
      <w:r w:rsidR="00020D97" w:rsidRPr="007C3396">
        <w:rPr>
          <w:rFonts w:ascii="Verdana" w:eastAsia="Times New Roman" w:hAnsi="Verdana"/>
          <w:sz w:val="20"/>
          <w:lang w:val="ru-RU" w:eastAsia="en-GB"/>
        </w:rPr>
        <w:t xml:space="preserve"> </w:t>
      </w:r>
    </w:p>
    <w:p w14:paraId="04B318E2" w14:textId="77777777" w:rsidR="007E4D7A" w:rsidRDefault="007E4D7A" w:rsidP="008912AD">
      <w:pPr>
        <w:spacing w:after="160" w:line="360" w:lineRule="auto"/>
        <w:ind w:firstLine="567"/>
        <w:jc w:val="both"/>
        <w:rPr>
          <w:rFonts w:ascii="Verdana" w:hAnsi="Verdana"/>
          <w:sz w:val="20"/>
        </w:rPr>
      </w:pPr>
    </w:p>
    <w:p w14:paraId="6389EB01" w14:textId="2CE9140E" w:rsidR="00020D97" w:rsidRPr="004F6C48" w:rsidRDefault="00020D97" w:rsidP="008912AD">
      <w:pPr>
        <w:spacing w:after="160" w:line="360" w:lineRule="auto"/>
        <w:ind w:firstLine="567"/>
        <w:jc w:val="both"/>
        <w:rPr>
          <w:rFonts w:ascii="Verdana" w:hAnsi="Verdana"/>
          <w:sz w:val="20"/>
        </w:rPr>
      </w:pPr>
      <w:r w:rsidRPr="004F6C48">
        <w:rPr>
          <w:rFonts w:ascii="Verdana" w:hAnsi="Verdana"/>
          <w:sz w:val="20"/>
        </w:rPr>
        <w:t xml:space="preserve">Информацията за ФИП е на </w:t>
      </w:r>
      <w:hyperlink r:id="rId11" w:history="1">
        <w:r w:rsidRPr="00193875">
          <w:rPr>
            <w:rFonts w:ascii="Verdana" w:hAnsi="Verdana"/>
            <w:color w:val="0070C0"/>
            <w:sz w:val="20"/>
            <w:u w:val="single"/>
          </w:rPr>
          <w:t>базата</w:t>
        </w:r>
      </w:hyperlink>
      <w:r w:rsidRPr="004F6C48">
        <w:rPr>
          <w:rFonts w:ascii="Verdana" w:hAnsi="Verdana"/>
          <w:sz w:val="20"/>
        </w:rPr>
        <w:t xml:space="preserve"> на експресни оценки на </w:t>
      </w:r>
      <w:hyperlink r:id="rId12" w:history="1">
        <w:r w:rsidRPr="00914AEB">
          <w:rPr>
            <w:rFonts w:ascii="Verdana" w:hAnsi="Verdana"/>
            <w:color w:val="0070C0"/>
            <w:sz w:val="20"/>
            <w:u w:val="single"/>
          </w:rPr>
          <w:t>паритетите на покупателната способност (ППС)</w:t>
        </w:r>
      </w:hyperlink>
      <w:r w:rsidR="004F6C48" w:rsidRPr="004F6C48">
        <w:rPr>
          <w:rFonts w:ascii="Verdana" w:hAnsi="Verdana"/>
          <w:sz w:val="20"/>
        </w:rPr>
        <w:t xml:space="preserve"> за 2023</w:t>
      </w:r>
      <w:r w:rsidRPr="004F6C48">
        <w:rPr>
          <w:rFonts w:ascii="Verdana" w:hAnsi="Verdana"/>
          <w:sz w:val="20"/>
        </w:rPr>
        <w:t xml:space="preserve"> г., публикувани на страницата на Евростат. Това прессъобщение представя част от данните от по-детайлната публикация в </w:t>
      </w:r>
      <w:hyperlink r:id="rId13" w:history="1">
        <w:r w:rsidRPr="00193875">
          <w:rPr>
            <w:rFonts w:ascii="Verdana" w:hAnsi="Verdana"/>
            <w:color w:val="0070C0"/>
            <w:sz w:val="20"/>
            <w:u w:val="single"/>
          </w:rPr>
          <w:t>Statistics Explained</w:t>
        </w:r>
      </w:hyperlink>
      <w:r w:rsidRPr="004F6C48">
        <w:rPr>
          <w:rFonts w:ascii="Verdana" w:hAnsi="Verdana"/>
          <w:sz w:val="20"/>
        </w:rPr>
        <w:t>.</w:t>
      </w:r>
    </w:p>
    <w:p w14:paraId="3D097C0D" w14:textId="77777777" w:rsidR="00020D97" w:rsidRPr="001E3A19" w:rsidRDefault="00E17296" w:rsidP="008912AD">
      <w:pPr>
        <w:spacing w:after="160" w:line="360" w:lineRule="auto"/>
        <w:ind w:firstLine="567"/>
        <w:jc w:val="both"/>
        <w:rPr>
          <w:rFonts w:ascii="Verdana" w:hAnsi="Verdana"/>
          <w:bCs/>
          <w:color w:val="FF0000"/>
          <w:sz w:val="20"/>
        </w:rPr>
      </w:pPr>
      <w:r w:rsidRPr="00E17296">
        <w:rPr>
          <w:rFonts w:ascii="Verdana" w:hAnsi="Verdana"/>
          <w:sz w:val="20"/>
        </w:rPr>
        <w:t>Дес</w:t>
      </w:r>
      <w:r w:rsidR="00020D97" w:rsidRPr="00E17296">
        <w:rPr>
          <w:rFonts w:ascii="Verdana" w:hAnsi="Verdana"/>
          <w:sz w:val="20"/>
        </w:rPr>
        <w:t>ет държави членки регистрират ФИП на човек от населението над сре</w:t>
      </w:r>
      <w:r w:rsidR="0085318B">
        <w:rPr>
          <w:rFonts w:ascii="Verdana" w:hAnsi="Verdana"/>
          <w:sz w:val="20"/>
        </w:rPr>
        <w:t>дното за ЕС-27 равнище през 2023</w:t>
      </w:r>
      <w:r w:rsidR="00020D97" w:rsidRPr="00E17296">
        <w:rPr>
          <w:rFonts w:ascii="Verdana" w:hAnsi="Verdana"/>
          <w:sz w:val="20"/>
        </w:rPr>
        <w:t xml:space="preserve"> година. Най-високо е в Люксембург</w:t>
      </w:r>
      <w:r w:rsidR="00020D97" w:rsidRPr="00E17296">
        <w:rPr>
          <w:rFonts w:ascii="Verdana" w:hAnsi="Verdana"/>
          <w:color w:val="FF0000"/>
          <w:sz w:val="20"/>
          <w:lang w:val="en-US"/>
        </w:rPr>
        <w:t xml:space="preserve"> </w:t>
      </w:r>
      <w:r w:rsidR="00020D97" w:rsidRPr="00E17296">
        <w:rPr>
          <w:rFonts w:ascii="Verdana" w:hAnsi="Verdana"/>
          <w:sz w:val="20"/>
          <w:lang w:val="en-US"/>
        </w:rPr>
        <w:t>(</w:t>
      </w:r>
      <w:r w:rsidR="00020D97" w:rsidRPr="00E17296">
        <w:rPr>
          <w:rFonts w:ascii="Verdana" w:hAnsi="Verdana"/>
          <w:sz w:val="20"/>
          <w:lang w:val="ru-RU"/>
        </w:rPr>
        <w:t>38%</w:t>
      </w:r>
      <w:r w:rsidR="00020D97" w:rsidRPr="00E17296">
        <w:rPr>
          <w:rFonts w:ascii="Verdana" w:hAnsi="Verdana"/>
          <w:sz w:val="20"/>
        </w:rPr>
        <w:t xml:space="preserve"> над средното за ЕС-27 ниво</w:t>
      </w:r>
      <w:r w:rsidR="00020D97" w:rsidRPr="00F45883">
        <w:rPr>
          <w:rFonts w:ascii="Verdana" w:hAnsi="Verdana"/>
          <w:sz w:val="20"/>
          <w:lang w:val="en-US"/>
        </w:rPr>
        <w:t>)</w:t>
      </w:r>
      <w:r w:rsidRPr="00F45883">
        <w:rPr>
          <w:rFonts w:ascii="Verdana" w:hAnsi="Verdana"/>
          <w:sz w:val="20"/>
        </w:rPr>
        <w:t xml:space="preserve">, </w:t>
      </w:r>
      <w:r w:rsidR="00020D97" w:rsidRPr="00F45883">
        <w:rPr>
          <w:rFonts w:ascii="Verdana" w:hAnsi="Verdana"/>
          <w:bCs/>
          <w:sz w:val="20"/>
        </w:rPr>
        <w:t xml:space="preserve">Австрия </w:t>
      </w:r>
      <w:r w:rsidRPr="00F45883">
        <w:rPr>
          <w:rFonts w:ascii="Verdana" w:hAnsi="Verdana"/>
          <w:bCs/>
          <w:sz w:val="20"/>
        </w:rPr>
        <w:t>и Нидерландия (и двете със 17</w:t>
      </w:r>
      <w:r w:rsidR="00020D97" w:rsidRPr="00F45883">
        <w:rPr>
          <w:rFonts w:ascii="Verdana" w:hAnsi="Verdana"/>
          <w:bCs/>
          <w:sz w:val="20"/>
        </w:rPr>
        <w:t>%</w:t>
      </w:r>
      <w:r w:rsidR="00020D97" w:rsidRPr="00F45883">
        <w:rPr>
          <w:rFonts w:ascii="Verdana" w:hAnsi="Verdana"/>
          <w:bCs/>
          <w:sz w:val="20"/>
          <w:lang w:val="en-US"/>
        </w:rPr>
        <w:t>)</w:t>
      </w:r>
      <w:r w:rsidR="00020D97" w:rsidRPr="00F45883">
        <w:rPr>
          <w:rFonts w:ascii="Verdana" w:hAnsi="Verdana"/>
          <w:bCs/>
          <w:sz w:val="20"/>
        </w:rPr>
        <w:t>.</w:t>
      </w:r>
    </w:p>
    <w:p w14:paraId="2FE8CDC6" w14:textId="77777777" w:rsidR="00020D97" w:rsidRDefault="00336A37" w:rsidP="008912AD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336A37">
        <w:rPr>
          <w:rFonts w:ascii="Verdana" w:hAnsi="Verdana"/>
          <w:sz w:val="20"/>
        </w:rPr>
        <w:t xml:space="preserve">Междувременно, </w:t>
      </w:r>
      <w:r w:rsidR="00020D97" w:rsidRPr="00336A37">
        <w:rPr>
          <w:rFonts w:ascii="Verdana" w:hAnsi="Verdana"/>
          <w:sz w:val="20"/>
        </w:rPr>
        <w:t>се</w:t>
      </w:r>
      <w:r w:rsidRPr="00336A37">
        <w:rPr>
          <w:rFonts w:ascii="Verdana" w:hAnsi="Verdana"/>
          <w:sz w:val="20"/>
        </w:rPr>
        <w:t>де</w:t>
      </w:r>
      <w:r w:rsidR="00020D97" w:rsidRPr="00336A37">
        <w:rPr>
          <w:rFonts w:ascii="Verdana" w:hAnsi="Verdana"/>
          <w:sz w:val="20"/>
        </w:rPr>
        <w:t xml:space="preserve">мнадесет държави членки регистрират ФИП на човек от населението под средното равнище за ЕС-27, като най-ниски нива </w:t>
      </w:r>
      <w:r w:rsidR="00020D97" w:rsidRPr="00CB31D3">
        <w:rPr>
          <w:rFonts w:ascii="Verdana" w:hAnsi="Verdana"/>
          <w:sz w:val="20"/>
        </w:rPr>
        <w:t xml:space="preserve">отбелязват </w:t>
      </w:r>
      <w:r w:rsidR="00CB31D3" w:rsidRPr="00CB31D3">
        <w:rPr>
          <w:rFonts w:ascii="Verdana" w:hAnsi="Verdana"/>
          <w:sz w:val="20"/>
        </w:rPr>
        <w:t xml:space="preserve">Унгария </w:t>
      </w:r>
      <w:r w:rsidR="00CB31D3" w:rsidRPr="00CB31D3">
        <w:rPr>
          <w:rFonts w:ascii="Verdana" w:hAnsi="Verdana"/>
          <w:sz w:val="20"/>
          <w:lang w:val="en-US"/>
        </w:rPr>
        <w:t>(</w:t>
      </w:r>
      <w:r w:rsidR="00CB31D3" w:rsidRPr="00CB31D3">
        <w:rPr>
          <w:rFonts w:ascii="Verdana" w:hAnsi="Verdana"/>
          <w:sz w:val="20"/>
        </w:rPr>
        <w:t>30% под средното равнище за ЕС-27</w:t>
      </w:r>
      <w:r w:rsidR="00CB31D3" w:rsidRPr="00CB31D3">
        <w:rPr>
          <w:rFonts w:ascii="Verdana" w:hAnsi="Verdana"/>
          <w:sz w:val="20"/>
          <w:lang w:val="en-US"/>
        </w:rPr>
        <w:t>)</w:t>
      </w:r>
      <w:r w:rsidR="00CB31D3" w:rsidRPr="00CB31D3">
        <w:rPr>
          <w:rFonts w:ascii="Verdana" w:hAnsi="Verdana"/>
          <w:sz w:val="20"/>
        </w:rPr>
        <w:t xml:space="preserve">, </w:t>
      </w:r>
      <w:r w:rsidR="00020D97" w:rsidRPr="00CB31D3">
        <w:rPr>
          <w:rFonts w:ascii="Verdana" w:hAnsi="Verdana"/>
          <w:sz w:val="20"/>
        </w:rPr>
        <w:t xml:space="preserve">България </w:t>
      </w:r>
      <w:r w:rsidR="00020D97" w:rsidRPr="00CB31D3">
        <w:rPr>
          <w:rFonts w:ascii="Verdana" w:hAnsi="Verdana"/>
          <w:sz w:val="20"/>
          <w:lang w:val="en-US"/>
        </w:rPr>
        <w:t>(</w:t>
      </w:r>
      <w:r w:rsidR="00CB31D3" w:rsidRPr="00CB31D3">
        <w:rPr>
          <w:rFonts w:ascii="Verdana" w:hAnsi="Verdana"/>
          <w:sz w:val="20"/>
        </w:rPr>
        <w:t>27</w:t>
      </w:r>
      <w:r w:rsidR="00020D97" w:rsidRPr="00CB31D3">
        <w:rPr>
          <w:rFonts w:ascii="Verdana" w:hAnsi="Verdana"/>
          <w:sz w:val="20"/>
        </w:rPr>
        <w:t>%</w:t>
      </w:r>
      <w:r w:rsidR="00020D97" w:rsidRPr="00CB31D3">
        <w:rPr>
          <w:rFonts w:ascii="Verdana" w:hAnsi="Verdana"/>
          <w:sz w:val="20"/>
          <w:lang w:val="en-US"/>
        </w:rPr>
        <w:t>)</w:t>
      </w:r>
      <w:r w:rsidR="00CB31D3" w:rsidRPr="00CB31D3">
        <w:rPr>
          <w:rFonts w:ascii="Verdana" w:hAnsi="Verdana"/>
          <w:sz w:val="20"/>
        </w:rPr>
        <w:t>,</w:t>
      </w:r>
      <w:r w:rsidR="00020D97" w:rsidRPr="00CB31D3">
        <w:rPr>
          <w:rFonts w:ascii="Verdana" w:hAnsi="Verdana"/>
          <w:sz w:val="20"/>
        </w:rPr>
        <w:t xml:space="preserve"> Словакия </w:t>
      </w:r>
      <w:r w:rsidR="00CB31D3" w:rsidRPr="00CB31D3">
        <w:rPr>
          <w:rFonts w:ascii="Verdana" w:hAnsi="Verdana"/>
          <w:sz w:val="20"/>
        </w:rPr>
        <w:t xml:space="preserve">и Латвия </w:t>
      </w:r>
      <w:r w:rsidR="00020D97" w:rsidRPr="00CB31D3">
        <w:rPr>
          <w:rFonts w:ascii="Verdana" w:hAnsi="Verdana"/>
          <w:sz w:val="20"/>
          <w:lang w:val="en-US"/>
        </w:rPr>
        <w:t>(</w:t>
      </w:r>
      <w:r w:rsidR="00CB31D3" w:rsidRPr="00CB31D3">
        <w:rPr>
          <w:rFonts w:ascii="Verdana" w:hAnsi="Verdana"/>
          <w:sz w:val="20"/>
        </w:rPr>
        <w:t>и двете с 25</w:t>
      </w:r>
      <w:r w:rsidR="00020D97" w:rsidRPr="00CB31D3">
        <w:rPr>
          <w:rFonts w:ascii="Verdana" w:hAnsi="Verdana"/>
          <w:sz w:val="20"/>
        </w:rPr>
        <w:t>%</w:t>
      </w:r>
      <w:r w:rsidR="00020D97" w:rsidRPr="00CB31D3">
        <w:rPr>
          <w:rFonts w:ascii="Verdana" w:hAnsi="Verdana"/>
          <w:sz w:val="20"/>
          <w:lang w:val="en-US"/>
        </w:rPr>
        <w:t>)</w:t>
      </w:r>
      <w:r w:rsidR="00CB31D3" w:rsidRPr="00CB31D3">
        <w:rPr>
          <w:rFonts w:ascii="Verdana" w:hAnsi="Verdana"/>
          <w:sz w:val="20"/>
        </w:rPr>
        <w:t>.</w:t>
      </w:r>
    </w:p>
    <w:p w14:paraId="112AF09C" w14:textId="77777777" w:rsidR="00620772" w:rsidRDefault="00620772" w:rsidP="002822AD">
      <w:pPr>
        <w:spacing w:before="160" w:after="160" w:line="360" w:lineRule="auto"/>
        <w:jc w:val="both"/>
        <w:rPr>
          <w:rFonts w:ascii="Verdana" w:hAnsi="Verdana"/>
          <w:sz w:val="20"/>
        </w:rPr>
      </w:pPr>
    </w:p>
    <w:p w14:paraId="375D55AF" w14:textId="77777777" w:rsidR="00620772" w:rsidRDefault="00620772" w:rsidP="002822AD">
      <w:pPr>
        <w:spacing w:before="160" w:after="160" w:line="360" w:lineRule="auto"/>
        <w:jc w:val="both"/>
        <w:rPr>
          <w:rFonts w:ascii="Verdana" w:hAnsi="Verdana"/>
          <w:sz w:val="20"/>
        </w:rPr>
      </w:pPr>
    </w:p>
    <w:p w14:paraId="12ACD938" w14:textId="77777777" w:rsidR="00620772" w:rsidRDefault="00620772" w:rsidP="002822AD">
      <w:pPr>
        <w:spacing w:before="160" w:after="160" w:line="360" w:lineRule="auto"/>
        <w:jc w:val="both"/>
        <w:rPr>
          <w:rFonts w:ascii="Verdana" w:hAnsi="Verdana"/>
          <w:sz w:val="20"/>
        </w:rPr>
      </w:pPr>
    </w:p>
    <w:p w14:paraId="0C15E721" w14:textId="77777777" w:rsidR="00620772" w:rsidRDefault="00620772" w:rsidP="002822AD">
      <w:pPr>
        <w:spacing w:before="160" w:after="160" w:line="360" w:lineRule="auto"/>
        <w:jc w:val="both"/>
        <w:rPr>
          <w:rFonts w:ascii="Verdana" w:hAnsi="Verdana"/>
          <w:sz w:val="20"/>
        </w:rPr>
      </w:pPr>
    </w:p>
    <w:p w14:paraId="3F508FCA" w14:textId="77777777" w:rsidR="00620772" w:rsidRDefault="00620772" w:rsidP="002822AD">
      <w:pPr>
        <w:spacing w:before="160" w:after="160" w:line="360" w:lineRule="auto"/>
        <w:jc w:val="both"/>
        <w:rPr>
          <w:rFonts w:ascii="Verdana" w:hAnsi="Verdana"/>
          <w:sz w:val="20"/>
        </w:rPr>
      </w:pPr>
    </w:p>
    <w:p w14:paraId="10A91812" w14:textId="77777777" w:rsidR="00620772" w:rsidRDefault="00620772" w:rsidP="002822AD">
      <w:pPr>
        <w:spacing w:before="160" w:after="160" w:line="360" w:lineRule="auto"/>
        <w:jc w:val="both"/>
        <w:rPr>
          <w:rFonts w:ascii="Verdana" w:hAnsi="Verdana"/>
          <w:sz w:val="20"/>
        </w:rPr>
      </w:pPr>
    </w:p>
    <w:p w14:paraId="420D1C4B" w14:textId="77777777" w:rsidR="00620772" w:rsidRDefault="00620772" w:rsidP="002822AD">
      <w:pPr>
        <w:spacing w:before="160" w:after="160" w:line="360" w:lineRule="auto"/>
        <w:jc w:val="both"/>
        <w:rPr>
          <w:rFonts w:ascii="Verdana" w:hAnsi="Verdana"/>
          <w:sz w:val="20"/>
        </w:rPr>
      </w:pPr>
    </w:p>
    <w:p w14:paraId="0C03341A" w14:textId="77777777" w:rsidR="00620772" w:rsidRDefault="00620772" w:rsidP="002822AD">
      <w:pPr>
        <w:spacing w:before="160" w:after="160" w:line="360" w:lineRule="auto"/>
        <w:jc w:val="both"/>
        <w:rPr>
          <w:rFonts w:ascii="Verdana" w:hAnsi="Verdana"/>
          <w:sz w:val="20"/>
        </w:rPr>
      </w:pPr>
    </w:p>
    <w:p w14:paraId="71F28E87" w14:textId="77777777" w:rsidR="00620772" w:rsidRPr="00CB31D3" w:rsidRDefault="00620772" w:rsidP="002822AD">
      <w:pPr>
        <w:spacing w:before="160" w:after="160" w:line="360" w:lineRule="auto"/>
        <w:jc w:val="both"/>
        <w:rPr>
          <w:rFonts w:ascii="Verdana" w:hAnsi="Verdana"/>
          <w:sz w:val="20"/>
        </w:rPr>
      </w:pPr>
    </w:p>
    <w:p w14:paraId="0152BD05" w14:textId="77777777" w:rsidR="00020D97" w:rsidRPr="001E3A19" w:rsidRDefault="00020D97" w:rsidP="008912AD">
      <w:pPr>
        <w:spacing w:line="360" w:lineRule="auto"/>
        <w:jc w:val="center"/>
        <w:rPr>
          <w:rFonts w:ascii="Verdana" w:hAnsi="Verdana"/>
          <w:b/>
          <w:sz w:val="20"/>
        </w:rPr>
      </w:pPr>
      <w:r w:rsidRPr="001E3A19">
        <w:rPr>
          <w:rFonts w:ascii="Verdana" w:hAnsi="Verdana"/>
          <w:b/>
          <w:sz w:val="20"/>
        </w:rPr>
        <w:t>Фиг. 1. Индекси на физически обем на ниво ФИП</w:t>
      </w:r>
    </w:p>
    <w:p w14:paraId="5E2A128D" w14:textId="77777777" w:rsidR="00020D97" w:rsidRPr="00C53119" w:rsidRDefault="00020D97" w:rsidP="008912AD">
      <w:pPr>
        <w:spacing w:after="160" w:line="360" w:lineRule="auto"/>
        <w:jc w:val="center"/>
        <w:rPr>
          <w:rFonts w:ascii="Verdana" w:hAnsi="Verdana"/>
          <w:b/>
          <w:sz w:val="20"/>
        </w:rPr>
      </w:pPr>
      <w:r w:rsidRPr="001E3A19">
        <w:rPr>
          <w:rFonts w:ascii="Verdana" w:hAnsi="Verdana"/>
          <w:b/>
          <w:sz w:val="20"/>
        </w:rPr>
        <w:t>на човек от населението в СПС през 2023 г., EС27</w:t>
      </w:r>
      <w:r w:rsidRPr="001E3A19">
        <w:rPr>
          <w:rFonts w:ascii="Verdana" w:hAnsi="Verdana"/>
          <w:b/>
          <w:sz w:val="20"/>
          <w:lang w:val="en-US"/>
        </w:rPr>
        <w:t>_202</w:t>
      </w:r>
      <w:r w:rsidRPr="001E3A19">
        <w:rPr>
          <w:rFonts w:ascii="Verdana" w:hAnsi="Verdana"/>
          <w:b/>
          <w:sz w:val="20"/>
        </w:rPr>
        <w:t>0 = 100</w:t>
      </w:r>
    </w:p>
    <w:p w14:paraId="0F168BBC" w14:textId="77777777" w:rsidR="004760D3" w:rsidRDefault="00FD681E" w:rsidP="00020D97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6840AA1D" wp14:editId="13CB11C0">
            <wp:extent cx="5411470" cy="3505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Граф.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B6870" w14:textId="14F7924F" w:rsidR="00C17A52" w:rsidRPr="00E50A71" w:rsidRDefault="00E50A71" w:rsidP="008912AD">
      <w:pPr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E50A71">
        <w:rPr>
          <w:rFonts w:ascii="Verdana" w:hAnsi="Verdana"/>
          <w:b/>
          <w:sz w:val="20"/>
        </w:rPr>
        <w:t xml:space="preserve">Люксембург и Ирландия отбелязват най-голям </w:t>
      </w:r>
      <w:r w:rsidR="007E4D7A">
        <w:rPr>
          <w:rFonts w:ascii="Verdana" w:hAnsi="Verdana"/>
          <w:b/>
          <w:sz w:val="20"/>
        </w:rPr>
        <w:t>б</w:t>
      </w:r>
      <w:r w:rsidRPr="00E50A71">
        <w:rPr>
          <w:rFonts w:ascii="Verdana" w:hAnsi="Verdana"/>
          <w:b/>
          <w:sz w:val="20"/>
        </w:rPr>
        <w:t>рутен вътрешен продукт (БВП) на човек от населението</w:t>
      </w:r>
    </w:p>
    <w:p w14:paraId="3DE272EB" w14:textId="4F2EF237" w:rsidR="00020D97" w:rsidRPr="00C17A52" w:rsidRDefault="007E4D7A" w:rsidP="0085318B">
      <w:pPr>
        <w:spacing w:before="160" w:after="160" w:line="360" w:lineRule="auto"/>
        <w:jc w:val="both"/>
        <w:rPr>
          <w:rFonts w:ascii="Verdana" w:hAnsi="Verdana"/>
          <w:bCs/>
          <w:sz w:val="20"/>
        </w:rPr>
      </w:pPr>
      <w:r w:rsidRPr="00903982">
        <w:rPr>
          <w:rFonts w:ascii="Verdana" w:hAnsi="Verdana"/>
          <w:bCs/>
          <w:sz w:val="20"/>
        </w:rPr>
        <w:t xml:space="preserve">През 2023 г. БВП на човек от населението в България е 36% под средното ниво за ЕС-27. </w:t>
      </w:r>
      <w:hyperlink r:id="rId15" w:history="1">
        <w:r w:rsidR="00020D97" w:rsidRPr="00C506A7">
          <w:rPr>
            <w:rFonts w:ascii="Verdana" w:hAnsi="Verdana"/>
            <w:bCs/>
            <w:color w:val="0070C0"/>
            <w:sz w:val="20"/>
            <w:u w:val="single"/>
          </w:rPr>
          <w:t>БВП на човек от населението</w:t>
        </w:r>
      </w:hyperlink>
      <w:r w:rsidR="00020D97" w:rsidRPr="00C17A52">
        <w:rPr>
          <w:rFonts w:ascii="Verdana" w:hAnsi="Verdana"/>
          <w:bCs/>
          <w:sz w:val="20"/>
        </w:rPr>
        <w:t xml:space="preserve"> е основният измерител на икономическата активност и също показва значителни разлики между държавите членки. </w:t>
      </w:r>
    </w:p>
    <w:p w14:paraId="335F804E" w14:textId="77777777" w:rsidR="00020D97" w:rsidRPr="00680E6D" w:rsidRDefault="00020D97" w:rsidP="0085318B">
      <w:pPr>
        <w:spacing w:before="160" w:after="160" w:line="360" w:lineRule="auto"/>
        <w:jc w:val="both"/>
        <w:rPr>
          <w:rFonts w:ascii="Verdana" w:hAnsi="Verdana"/>
          <w:bCs/>
          <w:sz w:val="20"/>
        </w:rPr>
      </w:pPr>
      <w:r w:rsidRPr="00E50A71">
        <w:rPr>
          <w:rFonts w:ascii="Verdana" w:hAnsi="Verdana"/>
          <w:bCs/>
          <w:sz w:val="20"/>
        </w:rPr>
        <w:t>Единадесет държави членки регистрират БВП на човек от населението над сре</w:t>
      </w:r>
      <w:r w:rsidR="00E50A71" w:rsidRPr="00E50A71">
        <w:rPr>
          <w:rFonts w:ascii="Verdana" w:hAnsi="Verdana"/>
          <w:bCs/>
          <w:sz w:val="20"/>
        </w:rPr>
        <w:t>дното за ЕС-27 равнище през 2023</w:t>
      </w:r>
      <w:r w:rsidRPr="00E50A71">
        <w:rPr>
          <w:rFonts w:ascii="Verdana" w:hAnsi="Verdana"/>
          <w:bCs/>
          <w:sz w:val="20"/>
        </w:rPr>
        <w:t xml:space="preserve"> година. </w:t>
      </w:r>
      <w:r w:rsidRPr="00ED5ECA">
        <w:rPr>
          <w:rFonts w:ascii="Verdana" w:hAnsi="Verdana"/>
          <w:bCs/>
          <w:sz w:val="20"/>
        </w:rPr>
        <w:t xml:space="preserve">Най-висок е в Люксембург </w:t>
      </w:r>
      <w:r w:rsidRPr="00ED5ECA">
        <w:rPr>
          <w:rFonts w:ascii="Verdana" w:hAnsi="Verdana"/>
          <w:bCs/>
          <w:sz w:val="20"/>
          <w:lang w:val="en-US"/>
        </w:rPr>
        <w:t>(</w:t>
      </w:r>
      <w:r w:rsidR="00ED5ECA" w:rsidRPr="00ED5ECA">
        <w:rPr>
          <w:rFonts w:ascii="Verdana" w:hAnsi="Verdana"/>
          <w:bCs/>
          <w:sz w:val="20"/>
        </w:rPr>
        <w:t>139</w:t>
      </w:r>
      <w:r w:rsidRPr="00ED5ECA">
        <w:rPr>
          <w:rFonts w:ascii="Verdana" w:hAnsi="Verdana"/>
          <w:bCs/>
          <w:sz w:val="20"/>
        </w:rPr>
        <w:t>% над средното за ЕС-27</w:t>
      </w:r>
      <w:r w:rsidRPr="00ED5ECA">
        <w:rPr>
          <w:rFonts w:ascii="Verdana" w:hAnsi="Verdana"/>
          <w:bCs/>
          <w:sz w:val="20"/>
          <w:lang w:val="en-US"/>
        </w:rPr>
        <w:t>)</w:t>
      </w:r>
      <w:r w:rsidRPr="00ED5ECA">
        <w:rPr>
          <w:rFonts w:ascii="Verdana" w:hAnsi="Verdana"/>
          <w:bCs/>
          <w:sz w:val="20"/>
        </w:rPr>
        <w:t xml:space="preserve">, Ирландия </w:t>
      </w:r>
      <w:r w:rsidRPr="00ED5ECA">
        <w:rPr>
          <w:rFonts w:ascii="Verdana" w:hAnsi="Verdana"/>
          <w:bCs/>
          <w:sz w:val="20"/>
          <w:lang w:val="en-US"/>
        </w:rPr>
        <w:t>(</w:t>
      </w:r>
      <w:r w:rsidR="00ED5ECA">
        <w:rPr>
          <w:rFonts w:ascii="Verdana" w:hAnsi="Verdana"/>
          <w:bCs/>
          <w:sz w:val="20"/>
        </w:rPr>
        <w:t>111</w:t>
      </w:r>
      <w:r w:rsidRPr="00DC1EA0">
        <w:rPr>
          <w:rFonts w:ascii="Verdana" w:hAnsi="Verdana"/>
          <w:bCs/>
          <w:sz w:val="20"/>
        </w:rPr>
        <w:t>%</w:t>
      </w:r>
      <w:r w:rsidRPr="00DC1EA0">
        <w:rPr>
          <w:rFonts w:ascii="Verdana" w:hAnsi="Verdana"/>
          <w:bCs/>
          <w:sz w:val="20"/>
          <w:lang w:val="en-US"/>
        </w:rPr>
        <w:t>)</w:t>
      </w:r>
      <w:r w:rsidRPr="00DC1EA0">
        <w:rPr>
          <w:rFonts w:ascii="Verdana" w:hAnsi="Verdana"/>
          <w:bCs/>
          <w:sz w:val="20"/>
        </w:rPr>
        <w:t xml:space="preserve"> </w:t>
      </w:r>
      <w:r w:rsidR="00DC1EA0" w:rsidRPr="00DC1EA0">
        <w:rPr>
          <w:rFonts w:ascii="Verdana" w:hAnsi="Verdana"/>
          <w:bCs/>
          <w:sz w:val="20"/>
        </w:rPr>
        <w:t>и Нидерл</w:t>
      </w:r>
      <w:r w:rsidRPr="00DC1EA0">
        <w:rPr>
          <w:rFonts w:ascii="Verdana" w:hAnsi="Verdana"/>
          <w:bCs/>
          <w:sz w:val="20"/>
        </w:rPr>
        <w:t>ан</w:t>
      </w:r>
      <w:r w:rsidR="00DC1EA0" w:rsidRPr="00DC1EA0">
        <w:rPr>
          <w:rFonts w:ascii="Verdana" w:hAnsi="Verdana"/>
          <w:bCs/>
          <w:sz w:val="20"/>
        </w:rPr>
        <w:t>д</w:t>
      </w:r>
      <w:r w:rsidRPr="00DC1EA0">
        <w:rPr>
          <w:rFonts w:ascii="Verdana" w:hAnsi="Verdana"/>
          <w:bCs/>
          <w:sz w:val="20"/>
        </w:rPr>
        <w:t xml:space="preserve">ия </w:t>
      </w:r>
      <w:r w:rsidRPr="00DC1EA0">
        <w:rPr>
          <w:rFonts w:ascii="Verdana" w:hAnsi="Verdana"/>
          <w:bCs/>
          <w:sz w:val="20"/>
          <w:lang w:val="en-US"/>
        </w:rPr>
        <w:t>(</w:t>
      </w:r>
      <w:r w:rsidRPr="00DC1EA0">
        <w:rPr>
          <w:rFonts w:ascii="Verdana" w:hAnsi="Verdana"/>
          <w:bCs/>
          <w:sz w:val="20"/>
        </w:rPr>
        <w:t>3</w:t>
      </w:r>
      <w:r w:rsidR="00DC1EA0" w:rsidRPr="00DC1EA0">
        <w:rPr>
          <w:rFonts w:ascii="Verdana" w:hAnsi="Verdana"/>
          <w:bCs/>
          <w:sz w:val="20"/>
        </w:rPr>
        <w:t>0</w:t>
      </w:r>
      <w:r w:rsidRPr="00DC1EA0">
        <w:rPr>
          <w:rFonts w:ascii="Verdana" w:hAnsi="Verdana"/>
          <w:bCs/>
          <w:sz w:val="20"/>
        </w:rPr>
        <w:t>%</w:t>
      </w:r>
      <w:r w:rsidRPr="00DC1EA0">
        <w:rPr>
          <w:rFonts w:ascii="Verdana" w:hAnsi="Verdana"/>
          <w:bCs/>
          <w:sz w:val="20"/>
          <w:lang w:val="en-US"/>
        </w:rPr>
        <w:t>)</w:t>
      </w:r>
      <w:r w:rsidRPr="00DC1EA0">
        <w:rPr>
          <w:rFonts w:ascii="Verdana" w:hAnsi="Verdana"/>
          <w:bCs/>
          <w:sz w:val="20"/>
        </w:rPr>
        <w:t>.</w:t>
      </w:r>
      <w:r w:rsidRPr="00DC1EA0">
        <w:rPr>
          <w:rFonts w:ascii="Verdana" w:hAnsi="Verdana"/>
          <w:bCs/>
          <w:sz w:val="20"/>
          <w:lang w:val="en-US"/>
        </w:rPr>
        <w:t xml:space="preserve"> </w:t>
      </w:r>
      <w:r w:rsidRPr="00680E6D">
        <w:rPr>
          <w:rFonts w:ascii="Verdana" w:hAnsi="Verdana"/>
          <w:bCs/>
          <w:sz w:val="20"/>
        </w:rPr>
        <w:t xml:space="preserve">Същевременно, най-нисък е в България </w:t>
      </w:r>
      <w:r w:rsidRPr="00680E6D">
        <w:rPr>
          <w:rFonts w:ascii="Verdana" w:hAnsi="Verdana"/>
          <w:bCs/>
          <w:sz w:val="20"/>
          <w:lang w:val="en-US"/>
        </w:rPr>
        <w:t>(</w:t>
      </w:r>
      <w:r w:rsidR="00680E6D" w:rsidRPr="00680E6D">
        <w:rPr>
          <w:rFonts w:ascii="Verdana" w:hAnsi="Verdana"/>
          <w:bCs/>
          <w:sz w:val="20"/>
        </w:rPr>
        <w:t>36</w:t>
      </w:r>
      <w:r w:rsidRPr="00680E6D">
        <w:rPr>
          <w:rFonts w:ascii="Verdana" w:hAnsi="Verdana"/>
          <w:bCs/>
          <w:sz w:val="20"/>
        </w:rPr>
        <w:t>% под средното ниво за ЕС-27</w:t>
      </w:r>
      <w:r w:rsidRPr="00680E6D">
        <w:rPr>
          <w:rFonts w:ascii="Verdana" w:hAnsi="Verdana"/>
          <w:bCs/>
          <w:sz w:val="20"/>
          <w:lang w:val="en-US"/>
        </w:rPr>
        <w:t>)</w:t>
      </w:r>
      <w:r w:rsidR="00680E6D" w:rsidRPr="00680E6D">
        <w:rPr>
          <w:rFonts w:ascii="Verdana" w:hAnsi="Verdana"/>
          <w:bCs/>
          <w:sz w:val="20"/>
        </w:rPr>
        <w:t>,</w:t>
      </w:r>
      <w:r w:rsidRPr="00680E6D">
        <w:rPr>
          <w:rFonts w:ascii="Verdana" w:hAnsi="Verdana"/>
          <w:bCs/>
          <w:sz w:val="20"/>
        </w:rPr>
        <w:t xml:space="preserve"> Гърция </w:t>
      </w:r>
      <w:r w:rsidRPr="00680E6D">
        <w:rPr>
          <w:rFonts w:ascii="Verdana" w:hAnsi="Verdana"/>
          <w:bCs/>
          <w:sz w:val="20"/>
          <w:lang w:val="en-US"/>
        </w:rPr>
        <w:t>(</w:t>
      </w:r>
      <w:r w:rsidR="00C43860">
        <w:rPr>
          <w:rFonts w:ascii="Verdana" w:hAnsi="Verdana"/>
          <w:bCs/>
          <w:sz w:val="20"/>
        </w:rPr>
        <w:t>33</w:t>
      </w:r>
      <w:r w:rsidRPr="00680E6D">
        <w:rPr>
          <w:rFonts w:ascii="Verdana" w:hAnsi="Verdana"/>
          <w:bCs/>
          <w:sz w:val="20"/>
        </w:rPr>
        <w:t>%</w:t>
      </w:r>
      <w:r w:rsidRPr="00680E6D">
        <w:rPr>
          <w:rFonts w:ascii="Verdana" w:hAnsi="Verdana"/>
          <w:bCs/>
          <w:sz w:val="20"/>
          <w:lang w:val="en-US"/>
        </w:rPr>
        <w:t>)</w:t>
      </w:r>
      <w:r w:rsidR="00C43860">
        <w:rPr>
          <w:rFonts w:ascii="Verdana" w:hAnsi="Verdana"/>
          <w:bCs/>
          <w:sz w:val="20"/>
        </w:rPr>
        <w:t xml:space="preserve"> и Латвия </w:t>
      </w:r>
      <w:r w:rsidR="00C43860" w:rsidRPr="00680E6D">
        <w:rPr>
          <w:rFonts w:ascii="Verdana" w:hAnsi="Verdana"/>
          <w:bCs/>
          <w:sz w:val="20"/>
          <w:lang w:val="en-US"/>
        </w:rPr>
        <w:t>(</w:t>
      </w:r>
      <w:r w:rsidR="00C43860">
        <w:rPr>
          <w:rFonts w:ascii="Verdana" w:hAnsi="Verdana"/>
          <w:bCs/>
          <w:sz w:val="20"/>
        </w:rPr>
        <w:t>29</w:t>
      </w:r>
      <w:r w:rsidR="00C43860" w:rsidRPr="00680E6D">
        <w:rPr>
          <w:rFonts w:ascii="Verdana" w:hAnsi="Verdana"/>
          <w:bCs/>
          <w:sz w:val="20"/>
        </w:rPr>
        <w:t>%</w:t>
      </w:r>
      <w:r w:rsidR="00C43860" w:rsidRPr="00680E6D">
        <w:rPr>
          <w:rFonts w:ascii="Verdana" w:hAnsi="Verdana"/>
          <w:bCs/>
          <w:sz w:val="20"/>
          <w:lang w:val="en-US"/>
        </w:rPr>
        <w:t>)</w:t>
      </w:r>
      <w:r w:rsidRPr="00680E6D">
        <w:rPr>
          <w:rFonts w:ascii="Verdana" w:hAnsi="Verdana"/>
          <w:bCs/>
          <w:sz w:val="20"/>
        </w:rPr>
        <w:t>.</w:t>
      </w:r>
    </w:p>
    <w:p w14:paraId="71CA0F7E" w14:textId="77777777" w:rsidR="00020D97" w:rsidRPr="006D4EA4" w:rsidRDefault="00020D97" w:rsidP="00020D97">
      <w:pPr>
        <w:keepNext/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6D4EA4">
        <w:rPr>
          <w:rFonts w:ascii="Verdana" w:hAnsi="Verdana"/>
          <w:b/>
          <w:sz w:val="20"/>
        </w:rPr>
        <w:t>1. Индекси на физически обем на ниво ФИП и БВП на човек от населението в</w:t>
      </w:r>
      <w:r w:rsidRPr="006D4EA4">
        <w:rPr>
          <w:rFonts w:ascii="Verdana" w:hAnsi="Verdana"/>
          <w:b/>
          <w:sz w:val="20"/>
          <w:lang w:val="ru-RU"/>
        </w:rPr>
        <w:t xml:space="preserve"> </w:t>
      </w:r>
      <w:r w:rsidRPr="006D4EA4">
        <w:rPr>
          <w:rFonts w:ascii="Verdana" w:hAnsi="Verdana"/>
          <w:b/>
          <w:sz w:val="20"/>
        </w:rPr>
        <w:t>СПС през 2023 г., EС27</w:t>
      </w:r>
      <w:r w:rsidRPr="006D4EA4">
        <w:rPr>
          <w:rFonts w:ascii="Verdana" w:hAnsi="Verdana"/>
          <w:b/>
          <w:sz w:val="20"/>
          <w:lang w:val="en-US"/>
        </w:rPr>
        <w:t>_2020</w:t>
      </w:r>
      <w:r w:rsidRPr="006D4EA4">
        <w:rPr>
          <w:rFonts w:ascii="Verdana" w:hAnsi="Verdana"/>
          <w:b/>
          <w:sz w:val="20"/>
        </w:rPr>
        <w:t xml:space="preserve"> = 100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2552"/>
      </w:tblGrid>
      <w:tr w:rsidR="0082191F" w:rsidRPr="006D4EA4" w14:paraId="2963BD66" w14:textId="77777777" w:rsidTr="003C3594">
        <w:tc>
          <w:tcPr>
            <w:tcW w:w="2977" w:type="dxa"/>
            <w:shd w:val="clear" w:color="auto" w:fill="auto"/>
            <w:noWrap/>
            <w:vAlign w:val="center"/>
          </w:tcPr>
          <w:p w14:paraId="6FC148D6" w14:textId="77777777" w:rsidR="0082191F" w:rsidRPr="00193F7D" w:rsidRDefault="0082191F" w:rsidP="003C3594">
            <w:pPr>
              <w:spacing w:before="40" w:after="4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142184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ФИП на човек</w:t>
            </w:r>
          </w:p>
        </w:tc>
        <w:tc>
          <w:tcPr>
            <w:tcW w:w="2552" w:type="dxa"/>
            <w:vAlign w:val="center"/>
          </w:tcPr>
          <w:p w14:paraId="5056B4D2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БВП на човек</w:t>
            </w:r>
          </w:p>
        </w:tc>
      </w:tr>
      <w:tr w:rsidR="0082191F" w:rsidRPr="006D4EA4" w14:paraId="789AA12C" w14:textId="77777777" w:rsidTr="00891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7265B51D" w14:textId="77777777" w:rsidR="0082191F" w:rsidRPr="00193F7D" w:rsidRDefault="0082191F" w:rsidP="003C3594">
            <w:pPr>
              <w:spacing w:after="160" w:line="259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ЕС-27_2020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092E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6F60F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100</w:t>
            </w:r>
          </w:p>
        </w:tc>
      </w:tr>
      <w:tr w:rsidR="0082191F" w:rsidRPr="006D4EA4" w14:paraId="28C3C9AE" w14:textId="77777777" w:rsidTr="00891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5F25FB69" w14:textId="77777777" w:rsidR="0082191F" w:rsidRPr="00193F7D" w:rsidRDefault="0082191F" w:rsidP="003C3594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Еврозона</w:t>
            </w:r>
            <w:r w:rsidRPr="00193F7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-</w:t>
            </w: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D0AC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4350B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104</w:t>
            </w:r>
          </w:p>
        </w:tc>
      </w:tr>
      <w:tr w:rsidR="00C33BC1" w:rsidRPr="006D4EA4" w14:paraId="1A25D5C0" w14:textId="77777777" w:rsidTr="008912A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6E38C556" w14:textId="77777777" w:rsidR="00C33BC1" w:rsidRPr="00193F7D" w:rsidRDefault="00C33BC1" w:rsidP="003C3594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76876" w14:textId="77777777" w:rsidR="00C33BC1" w:rsidRPr="00193F7D" w:rsidRDefault="00C33BC1" w:rsidP="003C3594">
            <w:pPr>
              <w:spacing w:after="160" w:line="259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F1FDB" w14:textId="77777777" w:rsidR="00C33BC1" w:rsidRPr="00193F7D" w:rsidRDefault="00C33BC1" w:rsidP="003C3594">
            <w:pPr>
              <w:spacing w:after="160" w:line="259" w:lineRule="auto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9D75113" w14:textId="77777777" w:rsidR="00F225BB" w:rsidRDefault="00F225BB" w:rsidP="008912AD">
      <w:pPr>
        <w:pStyle w:val="ListParagraph"/>
        <w:spacing w:line="360" w:lineRule="auto"/>
        <w:ind w:left="538"/>
        <w:rPr>
          <w:rFonts w:ascii="Verdana" w:hAnsi="Verdana"/>
          <w:b/>
          <w:sz w:val="20"/>
          <w:szCs w:val="20"/>
        </w:rPr>
      </w:pPr>
    </w:p>
    <w:p w14:paraId="21B92460" w14:textId="78B49512" w:rsidR="005D14C9" w:rsidRPr="008912AD" w:rsidRDefault="005D14C9" w:rsidP="008912AD">
      <w:pPr>
        <w:pStyle w:val="ListParagraph"/>
        <w:numPr>
          <w:ilvl w:val="0"/>
          <w:numId w:val="3"/>
        </w:numPr>
        <w:ind w:left="538" w:hanging="357"/>
        <w:rPr>
          <w:rFonts w:ascii="Verdana" w:hAnsi="Verdana"/>
          <w:b/>
          <w:sz w:val="20"/>
          <w:szCs w:val="20"/>
        </w:rPr>
      </w:pPr>
      <w:r w:rsidRPr="008912AD">
        <w:rPr>
          <w:rFonts w:ascii="Verdana" w:hAnsi="Verdana"/>
          <w:b/>
          <w:sz w:val="20"/>
          <w:szCs w:val="20"/>
        </w:rPr>
        <w:t>Индекси на физически обе</w:t>
      </w:r>
      <w:r>
        <w:rPr>
          <w:rFonts w:ascii="Verdana" w:hAnsi="Verdana"/>
          <w:b/>
          <w:sz w:val="20"/>
          <w:szCs w:val="20"/>
        </w:rPr>
        <w:t>м на ниво ФИП и БВП на човек</w:t>
      </w:r>
      <w:r w:rsidR="00F225BB">
        <w:rPr>
          <w:rFonts w:ascii="Verdana" w:hAnsi="Verdana"/>
          <w:b/>
          <w:sz w:val="20"/>
          <w:szCs w:val="20"/>
        </w:rPr>
        <w:t xml:space="preserve"> </w:t>
      </w:r>
      <w:r w:rsidRPr="005D14C9">
        <w:rPr>
          <w:rFonts w:ascii="Verdana" w:hAnsi="Verdana"/>
          <w:b/>
          <w:sz w:val="20"/>
          <w:szCs w:val="20"/>
        </w:rPr>
        <w:t>от</w:t>
      </w:r>
      <w:r w:rsidR="00363C95">
        <w:rPr>
          <w:rFonts w:ascii="Verdana" w:hAnsi="Verdana"/>
          <w:b/>
          <w:sz w:val="20"/>
          <w:szCs w:val="20"/>
        </w:rPr>
        <w:t xml:space="preserve"> </w:t>
      </w:r>
      <w:r w:rsidRPr="008912AD">
        <w:rPr>
          <w:rFonts w:ascii="Verdana" w:hAnsi="Verdana"/>
          <w:b/>
          <w:sz w:val="20"/>
          <w:szCs w:val="20"/>
        </w:rPr>
        <w:t>населението в СПС през 2023 г., EС27_2020 = 100</w:t>
      </w:r>
    </w:p>
    <w:p w14:paraId="0BC344AB" w14:textId="4896EE65" w:rsidR="005D14C9" w:rsidRPr="008912AD" w:rsidRDefault="005D14C9" w:rsidP="008912AD">
      <w:pPr>
        <w:pStyle w:val="ListParagraph"/>
        <w:spacing w:line="240" w:lineRule="atLeast"/>
        <w:ind w:left="539"/>
        <w:rPr>
          <w:rFonts w:ascii="Verdana" w:hAnsi="Verdana"/>
          <w:sz w:val="16"/>
          <w:szCs w:val="16"/>
          <w:lang w:val="en-US"/>
        </w:rPr>
      </w:pPr>
      <w:r w:rsidRPr="008912AD">
        <w:rPr>
          <w:rFonts w:ascii="Verdana" w:hAnsi="Verdana"/>
          <w:sz w:val="16"/>
          <w:szCs w:val="16"/>
        </w:rPr>
        <w:t>(Продължение)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2552"/>
      </w:tblGrid>
      <w:tr w:rsidR="00D9172A" w:rsidRPr="006D4EA4" w14:paraId="3379CA10" w14:textId="77777777" w:rsidTr="003C35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110FE3FA" w14:textId="77777777" w:rsidR="00D9172A" w:rsidRPr="00193F7D" w:rsidRDefault="00D9172A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9A99F93" w14:textId="77777777" w:rsidR="00D9172A" w:rsidRPr="00193F7D" w:rsidRDefault="00D9172A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ФИП на човек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6B5B9541" w14:textId="77777777" w:rsidR="00D9172A" w:rsidRPr="00193F7D" w:rsidRDefault="00D9172A" w:rsidP="00426AF6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БВП на човек</w:t>
            </w:r>
          </w:p>
        </w:tc>
      </w:tr>
      <w:tr w:rsidR="0082191F" w:rsidRPr="006D4EA4" w14:paraId="64A8E585" w14:textId="77777777" w:rsidTr="003C35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62498D92" w14:textId="77777777" w:rsidR="0082191F" w:rsidRPr="00193F7D" w:rsidRDefault="0082191F" w:rsidP="003C3594">
            <w:pPr>
              <w:spacing w:after="160" w:line="259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Люксембург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AC8F800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138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4ADEE94C" w14:textId="77777777" w:rsidR="0082191F" w:rsidRPr="00426AF6" w:rsidRDefault="0082191F" w:rsidP="00426AF6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2</w:t>
            </w:r>
            <w:r w:rsidR="00426AF6">
              <w:rPr>
                <w:rFonts w:ascii="Verdana" w:hAnsi="Verdana"/>
                <w:sz w:val="20"/>
                <w:szCs w:val="20"/>
                <w:lang w:val="en-US"/>
              </w:rPr>
              <w:t>39</w:t>
            </w:r>
          </w:p>
        </w:tc>
      </w:tr>
      <w:tr w:rsidR="0082191F" w:rsidRPr="006D4EA4" w14:paraId="20F3F1B7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3E7A0226" w14:textId="77777777" w:rsidR="0082191F" w:rsidRPr="00193F7D" w:rsidRDefault="006C7804" w:rsidP="006C780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Австрия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9B135AF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1</w:t>
            </w:r>
            <w:r w:rsidR="00426AF6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4E655829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</w:t>
            </w:r>
          </w:p>
        </w:tc>
      </w:tr>
      <w:tr w:rsidR="0082191F" w:rsidRPr="006D4EA4" w14:paraId="492E0476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498CC4A2" w14:textId="77777777" w:rsidR="0082191F" w:rsidRPr="00193F7D" w:rsidRDefault="006C7804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Нидерландия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8605BCF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63AEEFAF" w14:textId="77777777" w:rsidR="0082191F" w:rsidRPr="00426AF6" w:rsidRDefault="0082191F" w:rsidP="00426AF6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1</w:t>
            </w:r>
            <w:r w:rsidR="00426AF6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</w:tr>
      <w:tr w:rsidR="0082191F" w:rsidRPr="006D4EA4" w14:paraId="2AB36C35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056DEE53" w14:textId="77777777" w:rsidR="0082191F" w:rsidRPr="00193F7D" w:rsidRDefault="006C7804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Германия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55C9641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2BFD2CFB" w14:textId="77777777" w:rsidR="0082191F" w:rsidRPr="00426AF6" w:rsidRDefault="0082191F" w:rsidP="00426AF6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1</w:t>
            </w:r>
            <w:r w:rsidR="00426AF6"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</w:p>
        </w:tc>
      </w:tr>
      <w:tr w:rsidR="0082191F" w:rsidRPr="006D4EA4" w14:paraId="48B01204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404AEA9F" w14:textId="77777777" w:rsidR="0082191F" w:rsidRPr="00193F7D" w:rsidRDefault="0082191F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Белгия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517A68A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475CA844" w14:textId="77777777" w:rsidR="0082191F" w:rsidRPr="00426AF6" w:rsidRDefault="0082191F" w:rsidP="00426AF6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1</w:t>
            </w:r>
            <w:r w:rsidR="00426AF6"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</w:tr>
      <w:tr w:rsidR="0082191F" w:rsidRPr="006D4EA4" w14:paraId="40037BAC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25B01113" w14:textId="77777777" w:rsidR="0082191F" w:rsidRPr="00193F7D" w:rsidRDefault="0082191F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Дания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E8BD5C6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0594FEE6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82191F" w:rsidRPr="00193F7D"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2191F" w:rsidRPr="006D4EA4" w14:paraId="57D544A0" w14:textId="77777777" w:rsidTr="003C35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60AC3F36" w14:textId="77777777" w:rsidR="0082191F" w:rsidRPr="00193F7D" w:rsidRDefault="0082191F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Финландия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B01F0A1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24792D8D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</w:t>
            </w:r>
          </w:p>
        </w:tc>
      </w:tr>
      <w:tr w:rsidR="0082191F" w:rsidRPr="006D4EA4" w14:paraId="5EE311BF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2BB69621" w14:textId="77777777" w:rsidR="0082191F" w:rsidRPr="00193F7D" w:rsidRDefault="006C7804" w:rsidP="006C780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Швеция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6AA27F6" w14:textId="77777777" w:rsidR="0082191F" w:rsidRPr="00193F7D" w:rsidRDefault="0082191F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18CBD625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</w:t>
            </w:r>
          </w:p>
        </w:tc>
      </w:tr>
      <w:tr w:rsidR="0082191F" w:rsidRPr="006D4EA4" w14:paraId="38F13849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482CB117" w14:textId="77777777" w:rsidR="0082191F" w:rsidRPr="00193F7D" w:rsidRDefault="006C7804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Франция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29DFD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C3DC90" w14:textId="77777777" w:rsidR="0082191F" w:rsidRPr="00426AF6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82191F" w:rsidRPr="00193F7D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</w:tr>
      <w:tr w:rsidR="0082191F" w:rsidRPr="006D4EA4" w14:paraId="050856C1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1909164C" w14:textId="77777777" w:rsidR="0082191F" w:rsidRPr="00193F7D" w:rsidRDefault="0082191F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Италия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929EB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B9DAB6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</w:t>
            </w:r>
          </w:p>
        </w:tc>
      </w:tr>
      <w:tr w:rsidR="0082191F" w:rsidRPr="006D4EA4" w14:paraId="6E6EA255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2BF4ED67" w14:textId="77777777" w:rsidR="0082191F" w:rsidRPr="00193F7D" w:rsidRDefault="0082191F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Кипър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E44403D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4B614A5D" w14:textId="77777777" w:rsidR="0082191F" w:rsidRPr="00193F7D" w:rsidRDefault="00426AF6" w:rsidP="003C359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</w:t>
            </w:r>
          </w:p>
        </w:tc>
      </w:tr>
      <w:tr w:rsidR="006C7804" w:rsidRPr="006D4EA4" w14:paraId="3A604E5A" w14:textId="77777777" w:rsidTr="003C35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25567AD6" w14:textId="77777777" w:rsidR="006C7804" w:rsidRPr="00193F7D" w:rsidRDefault="006C7804" w:rsidP="006C780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Ирландия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1B32336" w14:textId="77777777" w:rsidR="006C7804" w:rsidRPr="00193F7D" w:rsidRDefault="00426A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505A7C53" w14:textId="77777777" w:rsidR="006C7804" w:rsidRPr="00426AF6" w:rsidRDefault="00426A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211</w:t>
            </w:r>
          </w:p>
        </w:tc>
      </w:tr>
      <w:tr w:rsidR="006C7804" w:rsidRPr="006D4EA4" w14:paraId="6AC213C0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1BAAA724" w14:textId="77777777" w:rsidR="006C7804" w:rsidRPr="00193F7D" w:rsidRDefault="008922CE" w:rsidP="006C780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Литва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CDADEC0" w14:textId="77777777" w:rsidR="006C7804" w:rsidRPr="00193F7D" w:rsidRDefault="009C0103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73A0614F" w14:textId="77777777" w:rsidR="006C7804" w:rsidRPr="009C0103" w:rsidRDefault="009C0103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86</w:t>
            </w:r>
          </w:p>
        </w:tc>
      </w:tr>
      <w:tr w:rsidR="006C7804" w:rsidRPr="006D4EA4" w14:paraId="6D3320D3" w14:textId="77777777" w:rsidTr="003C3594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327C96ED" w14:textId="77777777" w:rsidR="006C7804" w:rsidRPr="00193F7D" w:rsidRDefault="006C7804" w:rsidP="006C780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Румъния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0B6C455" w14:textId="77777777" w:rsidR="006C7804" w:rsidRPr="00193F7D" w:rsidRDefault="009C0103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2E96E099" w14:textId="77777777" w:rsidR="006C7804" w:rsidRPr="009C0103" w:rsidRDefault="009C0103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80</w:t>
            </w:r>
          </w:p>
        </w:tc>
      </w:tr>
      <w:tr w:rsidR="006C7804" w:rsidRPr="006D4EA4" w14:paraId="34B6BD55" w14:textId="77777777" w:rsidTr="000452F6"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5D7F3749" w14:textId="77777777" w:rsidR="006C7804" w:rsidRPr="00193F7D" w:rsidRDefault="008922CE" w:rsidP="006C780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Испания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478D670" w14:textId="77777777" w:rsidR="006C7804" w:rsidRPr="00193F7D" w:rsidRDefault="009C0103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5AC78E9B" w14:textId="77777777" w:rsidR="006C7804" w:rsidRPr="009C0103" w:rsidRDefault="009C0103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88</w:t>
            </w:r>
          </w:p>
        </w:tc>
      </w:tr>
      <w:tr w:rsidR="006C7804" w:rsidRPr="006D4EA4" w14:paraId="3081E02F" w14:textId="77777777" w:rsidTr="000452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618A245E" w14:textId="77777777" w:rsidR="006C7804" w:rsidRPr="00193F7D" w:rsidRDefault="008922CE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 xml:space="preserve">Португалия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216B9" w14:textId="77777777" w:rsidR="006C7804" w:rsidRPr="00193F7D" w:rsidRDefault="009C0103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44E7240" w14:textId="77777777" w:rsidR="006C7804" w:rsidRPr="00193F7D" w:rsidRDefault="009C0103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</w:t>
            </w:r>
          </w:p>
        </w:tc>
      </w:tr>
      <w:tr w:rsidR="000452F6" w:rsidRPr="006D4EA4" w14:paraId="5297AE1B" w14:textId="77777777" w:rsidTr="000452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01824A3D" w14:textId="77777777" w:rsidR="000452F6" w:rsidRPr="00193F7D" w:rsidRDefault="000452F6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Словения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66AD7E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1AC8D7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91</w:t>
            </w:r>
          </w:p>
        </w:tc>
      </w:tr>
      <w:tr w:rsidR="000452F6" w:rsidRPr="006D4EA4" w14:paraId="69FE8EF7" w14:textId="77777777" w:rsidTr="000452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1FFF1F06" w14:textId="77777777" w:rsidR="000452F6" w:rsidRPr="00193F7D" w:rsidRDefault="000452F6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Полша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5DB29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DC56D4B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80</w:t>
            </w:r>
          </w:p>
        </w:tc>
      </w:tr>
      <w:tr w:rsidR="000452F6" w:rsidRPr="006D4EA4" w14:paraId="4E2711B6" w14:textId="77777777" w:rsidTr="000452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65BF86D3" w14:textId="77777777" w:rsidR="000452F6" w:rsidRPr="00193F7D" w:rsidRDefault="000452F6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Малта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43878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176268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105</w:t>
            </w:r>
          </w:p>
        </w:tc>
      </w:tr>
      <w:tr w:rsidR="000452F6" w:rsidRPr="006D4EA4" w14:paraId="5A4CFE5B" w14:textId="77777777" w:rsidTr="000452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4BDF5C77" w14:textId="77777777" w:rsidR="000452F6" w:rsidRPr="00193F7D" w:rsidRDefault="000452F6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Чехия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B29E8" w14:textId="77777777" w:rsidR="000452F6" w:rsidRPr="00193F7D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2B3799B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91</w:t>
            </w:r>
          </w:p>
        </w:tc>
      </w:tr>
      <w:tr w:rsidR="000452F6" w:rsidRPr="006D4EA4" w14:paraId="652DEB95" w14:textId="77777777" w:rsidTr="000452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56C6DB19" w14:textId="77777777" w:rsidR="000452F6" w:rsidRPr="00193F7D" w:rsidRDefault="000452F6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Гърция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D03975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38FC25" w14:textId="77777777" w:rsidR="000452F6" w:rsidRPr="00193F7D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67</w:t>
            </w:r>
          </w:p>
        </w:tc>
      </w:tr>
      <w:tr w:rsidR="000452F6" w:rsidRPr="006D4EA4" w14:paraId="4C2A526F" w14:textId="77777777" w:rsidTr="000452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2DB3B2A9" w14:textId="77777777" w:rsidR="000452F6" w:rsidRPr="00193F7D" w:rsidRDefault="000452F6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Хърватия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D9B6B7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8436298" w14:textId="77777777" w:rsidR="000452F6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</w:p>
        </w:tc>
      </w:tr>
      <w:tr w:rsidR="000452F6" w:rsidRPr="006D4EA4" w14:paraId="35445A46" w14:textId="77777777" w:rsidTr="009C0A4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0EA957DA" w14:textId="77777777" w:rsidR="000452F6" w:rsidRPr="00193F7D" w:rsidRDefault="000452F6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Естония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9BEC69" w14:textId="77777777" w:rsidR="000452F6" w:rsidRPr="00193F7D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5C9440C" w14:textId="77777777" w:rsidR="000452F6" w:rsidRPr="00193F7D" w:rsidRDefault="000452F6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81</w:t>
            </w:r>
          </w:p>
        </w:tc>
      </w:tr>
      <w:tr w:rsidR="009C0A47" w:rsidRPr="006D4EA4" w14:paraId="4BED4EB4" w14:textId="77777777" w:rsidTr="009C0A4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1A480813" w14:textId="77777777" w:rsidR="009C0A47" w:rsidRPr="00193F7D" w:rsidRDefault="009C0A47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lastRenderedPageBreak/>
              <w:t>Латвия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A6FCE" w14:textId="77777777" w:rsidR="009C0A47" w:rsidRDefault="009C0A47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65026CE" w14:textId="77777777" w:rsidR="009C0A47" w:rsidRDefault="009C0A47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71</w:t>
            </w:r>
          </w:p>
        </w:tc>
      </w:tr>
      <w:tr w:rsidR="009C0A47" w:rsidRPr="006D4EA4" w14:paraId="3B3A6C4C" w14:textId="77777777" w:rsidTr="009C0A4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69F12D20" w14:textId="77777777" w:rsidR="009C0A47" w:rsidRPr="00193F7D" w:rsidRDefault="009C0A47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Словакия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D0761" w14:textId="77777777" w:rsidR="009C0A47" w:rsidRPr="00193F7D" w:rsidRDefault="009C0A47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FF0FD83" w14:textId="77777777" w:rsidR="009C0A47" w:rsidRDefault="009C0A47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73</w:t>
            </w:r>
          </w:p>
        </w:tc>
      </w:tr>
      <w:tr w:rsidR="009C0A47" w:rsidRPr="006D4EA4" w14:paraId="4620E43F" w14:textId="77777777" w:rsidTr="009C0A4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4B59740E" w14:textId="77777777" w:rsidR="009C0A47" w:rsidRPr="00193F7D" w:rsidRDefault="009C0A47" w:rsidP="008922CE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България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60BC3" w14:textId="77777777" w:rsidR="009C0A47" w:rsidRDefault="009C0A47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5BE0709" w14:textId="77777777" w:rsidR="009C0A47" w:rsidRDefault="009C0A47" w:rsidP="006C7804">
            <w:pPr>
              <w:spacing w:after="160" w:line="259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64</w:t>
            </w:r>
          </w:p>
        </w:tc>
      </w:tr>
      <w:tr w:rsidR="009C0A47" w:rsidRPr="006D4EA4" w14:paraId="2CDEBE1E" w14:textId="77777777" w:rsidTr="000452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76E12804" w14:textId="77777777" w:rsidR="009C0A47" w:rsidRPr="00193F7D" w:rsidRDefault="009C0A47" w:rsidP="008922CE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3F7D">
              <w:rPr>
                <w:rFonts w:ascii="Verdana" w:hAnsi="Verdana"/>
                <w:sz w:val="20"/>
                <w:szCs w:val="20"/>
              </w:rPr>
              <w:t>Унгария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6C90735" w14:textId="77777777" w:rsidR="009C0A47" w:rsidRDefault="009C0A47" w:rsidP="006C7804">
            <w:pPr>
              <w:spacing w:after="160" w:line="259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577B2">
              <w:rPr>
                <w:rFonts w:ascii="Verdana" w:hAnsi="Verdana"/>
                <w:bCs/>
                <w:sz w:val="20"/>
                <w:szCs w:val="20"/>
                <w:lang w:val="en-US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59264981" w14:textId="77777777" w:rsidR="009C0A47" w:rsidRDefault="009C0A47" w:rsidP="006C7804">
            <w:pPr>
              <w:spacing w:after="160" w:line="259" w:lineRule="auto"/>
              <w:jc w:val="right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577B2">
              <w:rPr>
                <w:rFonts w:ascii="Verdana" w:hAnsi="Verdana"/>
                <w:bCs/>
                <w:sz w:val="20"/>
                <w:szCs w:val="20"/>
                <w:lang w:val="en-US"/>
              </w:rPr>
              <w:t>76</w:t>
            </w:r>
          </w:p>
        </w:tc>
      </w:tr>
    </w:tbl>
    <w:p w14:paraId="0AB6EA4E" w14:textId="77777777" w:rsidR="005D413C" w:rsidRDefault="005D413C"/>
    <w:p w14:paraId="26476105" w14:textId="77777777" w:rsidR="005D413C" w:rsidRPr="005D413C" w:rsidRDefault="00E30272" w:rsidP="005D14C9">
      <w:pPr>
        <w:keepNext/>
        <w:spacing w:before="160" w:after="160" w:line="360" w:lineRule="auto"/>
        <w:jc w:val="center"/>
        <w:rPr>
          <w:rFonts w:ascii="Verdana" w:hAnsi="Verdana"/>
          <w:b/>
          <w:sz w:val="20"/>
        </w:rPr>
      </w:pPr>
      <w:r>
        <w:rPr>
          <w:lang w:val="en-US"/>
        </w:rPr>
        <w:t xml:space="preserve">  </w:t>
      </w:r>
      <w:r w:rsidR="005D413C" w:rsidRPr="006D4EA4">
        <w:rPr>
          <w:rFonts w:ascii="Verdana" w:hAnsi="Verdana"/>
          <w:b/>
          <w:sz w:val="20"/>
        </w:rPr>
        <w:t>1. Индекси на физически обем на ниво ФИП и БВП на човек от населението в</w:t>
      </w:r>
      <w:r w:rsidR="005D413C" w:rsidRPr="006D4EA4">
        <w:rPr>
          <w:rFonts w:ascii="Verdana" w:hAnsi="Verdana"/>
          <w:b/>
          <w:sz w:val="20"/>
          <w:lang w:val="ru-RU"/>
        </w:rPr>
        <w:t xml:space="preserve"> </w:t>
      </w:r>
      <w:r w:rsidR="005D413C" w:rsidRPr="006D4EA4">
        <w:rPr>
          <w:rFonts w:ascii="Verdana" w:hAnsi="Verdana"/>
          <w:b/>
          <w:sz w:val="20"/>
        </w:rPr>
        <w:t>СПС през 2023 г., EС27</w:t>
      </w:r>
      <w:r w:rsidR="005D413C" w:rsidRPr="006D4EA4">
        <w:rPr>
          <w:rFonts w:ascii="Verdana" w:hAnsi="Verdana"/>
          <w:b/>
          <w:sz w:val="20"/>
          <w:lang w:val="en-US"/>
        </w:rPr>
        <w:t>_2020</w:t>
      </w:r>
      <w:r w:rsidR="005D413C" w:rsidRPr="006D4EA4">
        <w:rPr>
          <w:rFonts w:ascii="Verdana" w:hAnsi="Verdana"/>
          <w:b/>
          <w:sz w:val="20"/>
        </w:rPr>
        <w:t xml:space="preserve"> = 100</w:t>
      </w:r>
    </w:p>
    <w:p w14:paraId="1B61B684" w14:textId="73A49A7F" w:rsidR="00E30272" w:rsidRPr="008912AD" w:rsidRDefault="00C33BC1" w:rsidP="00E30272">
      <w:pPr>
        <w:spacing w:before="160" w:after="160" w:line="360" w:lineRule="auto"/>
        <w:ind w:left="360"/>
        <w:rPr>
          <w:rFonts w:ascii="Verdana" w:hAnsi="Verdana"/>
          <w:sz w:val="16"/>
          <w:szCs w:val="16"/>
        </w:rPr>
      </w:pPr>
      <w:r>
        <w:rPr>
          <w:sz w:val="16"/>
          <w:szCs w:val="16"/>
          <w:lang w:val="en-US"/>
        </w:rPr>
        <w:t xml:space="preserve">     </w:t>
      </w:r>
      <w:r w:rsidR="00E30272" w:rsidRPr="008912AD">
        <w:rPr>
          <w:sz w:val="16"/>
          <w:szCs w:val="16"/>
          <w:lang w:val="en-US"/>
        </w:rPr>
        <w:t xml:space="preserve"> </w:t>
      </w:r>
      <w:r w:rsidR="00E30272" w:rsidRPr="008912AD">
        <w:rPr>
          <w:rFonts w:ascii="Verdana" w:hAnsi="Verdana"/>
          <w:sz w:val="16"/>
          <w:szCs w:val="16"/>
        </w:rPr>
        <w:t>(Продължение и край)</w:t>
      </w: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2552"/>
      </w:tblGrid>
      <w:tr w:rsidR="008922CE" w:rsidRPr="006D4EA4" w14:paraId="26093C8F" w14:textId="77777777" w:rsidTr="00E3027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0EA39430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478ABB0" w14:textId="77777777" w:rsidR="008922CE" w:rsidRPr="002710D0" w:rsidRDefault="00E30272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ФИП на човек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145F45E6" w14:textId="77777777" w:rsidR="008922CE" w:rsidRPr="002710D0" w:rsidRDefault="00E30272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193F7D">
              <w:rPr>
                <w:rFonts w:ascii="Verdana" w:hAnsi="Verdana"/>
                <w:b/>
                <w:bCs/>
                <w:sz w:val="20"/>
                <w:szCs w:val="20"/>
              </w:rPr>
              <w:t>БВП на човек</w:t>
            </w:r>
          </w:p>
        </w:tc>
      </w:tr>
      <w:tr w:rsidR="00E30272" w:rsidRPr="006D4EA4" w14:paraId="586B6CE3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4B64EFAC" w14:textId="77777777" w:rsidR="00E30272" w:rsidRPr="008922CE" w:rsidRDefault="00E30272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Норвегия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A4B7C63" w14:textId="77777777" w:rsidR="00E30272" w:rsidRPr="002710D0" w:rsidRDefault="00E30272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3CEFD92D" w14:textId="77777777" w:rsidR="00E30272" w:rsidRPr="002710D0" w:rsidRDefault="00E30272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  <w:lang w:val="en-US"/>
              </w:rPr>
              <w:t>173</w:t>
            </w:r>
          </w:p>
        </w:tc>
      </w:tr>
      <w:tr w:rsidR="008922CE" w:rsidRPr="006D4EA4" w14:paraId="2C736569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2C3D1CA1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Исландия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F801000" w14:textId="77777777" w:rsidR="008922CE" w:rsidRPr="002710D0" w:rsidRDefault="002710D0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2EF29CBA" w14:textId="77777777" w:rsidR="008922CE" w:rsidRPr="002710D0" w:rsidRDefault="002710D0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134</w:t>
            </w:r>
          </w:p>
        </w:tc>
      </w:tr>
      <w:tr w:rsidR="008922CE" w:rsidRPr="006D4EA4" w14:paraId="11F7586C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62063ED1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Швейцария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4A4B151" w14:textId="77777777" w:rsidR="008922CE" w:rsidRPr="002710D0" w:rsidRDefault="002710D0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5D333EA6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154</w:t>
            </w:r>
          </w:p>
        </w:tc>
      </w:tr>
      <w:tr w:rsidR="008922CE" w:rsidRPr="006D4EA4" w14:paraId="38AF2376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5907F336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10A3F80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2132E605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922CE" w:rsidRPr="006D4EA4" w14:paraId="76192A30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31F030F2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Турция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6928DE7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1F5AB687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  <w:lang w:val="en-US"/>
              </w:rPr>
              <w:t>73</w:t>
            </w:r>
          </w:p>
        </w:tc>
      </w:tr>
      <w:tr w:rsidR="008922CE" w:rsidRPr="006D4EA4" w14:paraId="074B0430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3E7468C7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Черна гора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2E45F28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5E23323C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52</w:t>
            </w:r>
          </w:p>
        </w:tc>
      </w:tr>
      <w:tr w:rsidR="008922CE" w:rsidRPr="006D4EA4" w14:paraId="7175D477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63EC577D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Сърбия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CE53D22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016742AF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</w:rPr>
              <w:t>46</w:t>
            </w:r>
          </w:p>
        </w:tc>
      </w:tr>
      <w:tr w:rsidR="008922CE" w:rsidRPr="006D4EA4" w14:paraId="3C373AF6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5064CF78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Република Северна Македония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67805BC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0580E0A8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  <w:lang w:val="en-US"/>
              </w:rPr>
              <w:t>41</w:t>
            </w:r>
          </w:p>
        </w:tc>
      </w:tr>
      <w:tr w:rsidR="008922CE" w:rsidRPr="006D4EA4" w14:paraId="1B260587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2DDDD678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Босна и Херцеговина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2799109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7CBDDF22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8922CE" w:rsidRPr="006D4EA4" w14:paraId="0EDBE96C" w14:textId="77777777" w:rsidTr="008922C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0" w:type="dxa"/>
            </w:tcMar>
            <w:vAlign w:val="bottom"/>
          </w:tcPr>
          <w:p w14:paraId="1CAECE5B" w14:textId="77777777" w:rsidR="008922CE" w:rsidRPr="008922CE" w:rsidRDefault="008922CE" w:rsidP="003C3594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8922CE">
              <w:rPr>
                <w:rFonts w:ascii="Verdana" w:hAnsi="Verdana"/>
                <w:sz w:val="20"/>
                <w:szCs w:val="20"/>
              </w:rPr>
              <w:t> Албания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92F4961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</w:tcPr>
          <w:p w14:paraId="261F03A7" w14:textId="77777777" w:rsidR="008922CE" w:rsidRPr="002710D0" w:rsidRDefault="008922CE" w:rsidP="003C3594">
            <w:pPr>
              <w:spacing w:after="160" w:line="259" w:lineRule="auto"/>
              <w:jc w:val="righ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2710D0">
              <w:rPr>
                <w:rFonts w:ascii="Verdana" w:hAnsi="Verdana"/>
                <w:bCs/>
                <w:sz w:val="20"/>
                <w:szCs w:val="20"/>
                <w:lang w:val="en-US"/>
              </w:rPr>
              <w:t>35</w:t>
            </w:r>
          </w:p>
        </w:tc>
      </w:tr>
    </w:tbl>
    <w:p w14:paraId="2596A037" w14:textId="77777777" w:rsidR="00FD731D" w:rsidRPr="005A45DF" w:rsidRDefault="005A45DF" w:rsidP="005A45DF">
      <w:pPr>
        <w:keepNext/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6D4EA4">
        <w:rPr>
          <w:rFonts w:ascii="Verdana" w:hAnsi="Verdana"/>
          <w:b/>
          <w:sz w:val="20"/>
        </w:rPr>
        <w:lastRenderedPageBreak/>
        <w:t>Фиг. 2. Индекси на физически обем на ниво ФИП и БВП на човек от населението в СПС през 202</w:t>
      </w:r>
      <w:r w:rsidRPr="001C4D47">
        <w:rPr>
          <w:rFonts w:ascii="Verdana" w:hAnsi="Verdana"/>
          <w:b/>
          <w:sz w:val="20"/>
        </w:rPr>
        <w:t>3</w:t>
      </w:r>
      <w:r w:rsidRPr="006D4EA4">
        <w:rPr>
          <w:rFonts w:ascii="Verdana" w:hAnsi="Verdana"/>
          <w:b/>
          <w:sz w:val="20"/>
        </w:rPr>
        <w:t>, EС27</w:t>
      </w:r>
      <w:r w:rsidRPr="006D4EA4">
        <w:rPr>
          <w:rFonts w:ascii="Verdana" w:hAnsi="Verdana"/>
          <w:b/>
          <w:sz w:val="20"/>
          <w:lang w:val="en-US"/>
        </w:rPr>
        <w:t>_2020</w:t>
      </w:r>
      <w:r w:rsidRPr="006D4EA4">
        <w:rPr>
          <w:rFonts w:ascii="Verdana" w:hAnsi="Verdana"/>
          <w:b/>
          <w:sz w:val="20"/>
        </w:rPr>
        <w:t xml:space="preserve"> = 100</w:t>
      </w:r>
    </w:p>
    <w:p w14:paraId="1E8D1880" w14:textId="77777777" w:rsidR="0082191F" w:rsidRDefault="00620772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7074A5D9" wp14:editId="460B7164">
            <wp:extent cx="5567680" cy="39719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Граф.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281" cy="398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1BB05" w14:textId="77777777" w:rsidR="0082191F" w:rsidRPr="003209F7" w:rsidRDefault="0082191F" w:rsidP="006D3A3C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3209F7">
        <w:rPr>
          <w:rFonts w:ascii="Verdana" w:hAnsi="Verdana"/>
          <w:b/>
          <w:sz w:val="20"/>
          <w:szCs w:val="20"/>
        </w:rPr>
        <w:t>Географска информация</w:t>
      </w:r>
    </w:p>
    <w:p w14:paraId="45A08476" w14:textId="77777777" w:rsidR="0082191F" w:rsidRPr="006D3A3C" w:rsidRDefault="0082191F" w:rsidP="006D3A3C">
      <w:pPr>
        <w:spacing w:before="160" w:after="160" w:line="360" w:lineRule="auto"/>
        <w:jc w:val="both"/>
        <w:rPr>
          <w:rFonts w:ascii="Verdana" w:hAnsi="Verdana"/>
          <w:sz w:val="20"/>
          <w:szCs w:val="20"/>
        </w:rPr>
      </w:pPr>
      <w:r w:rsidRPr="006D3A3C">
        <w:rPr>
          <w:rFonts w:ascii="Verdana" w:hAnsi="Verdana"/>
          <w:b/>
          <w:sz w:val="20"/>
          <w:szCs w:val="20"/>
        </w:rPr>
        <w:t>Европейският съюз</w:t>
      </w:r>
      <w:r w:rsidRPr="006D3A3C">
        <w:rPr>
          <w:rFonts w:ascii="Verdana" w:hAnsi="Verdana"/>
          <w:sz w:val="20"/>
          <w:szCs w:val="20"/>
        </w:rPr>
        <w:t xml:space="preserve"> </w:t>
      </w:r>
      <w:r w:rsidRPr="006D3A3C">
        <w:rPr>
          <w:rFonts w:ascii="Verdana" w:hAnsi="Verdana"/>
          <w:b/>
          <w:sz w:val="20"/>
          <w:szCs w:val="20"/>
        </w:rPr>
        <w:t>(ЕС-27)</w:t>
      </w:r>
      <w:r w:rsidRPr="006D3A3C">
        <w:rPr>
          <w:rFonts w:ascii="Verdana" w:hAnsi="Verdana"/>
          <w:sz w:val="20"/>
          <w:szCs w:val="20"/>
        </w:rPr>
        <w:t xml:space="preserve"> включва: Белгия, България, Чехия, Дания, Германия, Естония, Ирландия, Гърция, Испания, Франция, Хърватия, Италия, Кипър, Латвия, Литва, Люксембург, Унгария, Малта, Нидерландия, Австрия, Полша, Португалия, Румъния, Словения, Словакия, Финландия, Швеция. </w:t>
      </w:r>
    </w:p>
    <w:p w14:paraId="3A066DF2" w14:textId="77777777" w:rsidR="0082191F" w:rsidRPr="006D3A3C" w:rsidRDefault="0082191F" w:rsidP="006D3A3C">
      <w:pPr>
        <w:spacing w:before="160" w:after="160" w:line="360" w:lineRule="auto"/>
        <w:jc w:val="both"/>
        <w:rPr>
          <w:rFonts w:ascii="Verdana" w:hAnsi="Verdana"/>
          <w:sz w:val="20"/>
          <w:szCs w:val="20"/>
        </w:rPr>
      </w:pPr>
      <w:r w:rsidRPr="006D3A3C">
        <w:rPr>
          <w:rFonts w:ascii="Verdana" w:hAnsi="Verdana"/>
          <w:sz w:val="20"/>
          <w:szCs w:val="20"/>
        </w:rPr>
        <w:t xml:space="preserve">Обединеното кралство напусна ЕС на 31 януари 2020 година. Информацията за разпространението на европейската статистическа информация е публикувана на сайта на </w:t>
      </w:r>
      <w:hyperlink r:id="rId17" w:history="1">
        <w:r w:rsidRPr="006F0766">
          <w:rPr>
            <w:rFonts w:ascii="Verdana" w:hAnsi="Verdana"/>
            <w:color w:val="0070C0"/>
            <w:sz w:val="20"/>
            <w:szCs w:val="20"/>
            <w:u w:val="single"/>
          </w:rPr>
          <w:t>Евростат</w:t>
        </w:r>
      </w:hyperlink>
      <w:r w:rsidRPr="006D3A3C">
        <w:rPr>
          <w:rFonts w:ascii="Verdana" w:hAnsi="Verdana"/>
          <w:sz w:val="20"/>
          <w:szCs w:val="20"/>
        </w:rPr>
        <w:t>.</w:t>
      </w:r>
    </w:p>
    <w:p w14:paraId="23B4B6E8" w14:textId="77777777" w:rsidR="0082191F" w:rsidRPr="006D3A3C" w:rsidRDefault="0082191F" w:rsidP="006D3A3C">
      <w:pPr>
        <w:keepLines/>
        <w:spacing w:before="160" w:after="160" w:line="360" w:lineRule="auto"/>
        <w:jc w:val="both"/>
        <w:rPr>
          <w:rFonts w:ascii="Verdana" w:hAnsi="Verdana"/>
          <w:sz w:val="20"/>
          <w:szCs w:val="20"/>
        </w:rPr>
      </w:pPr>
      <w:r w:rsidRPr="006D3A3C">
        <w:rPr>
          <w:rFonts w:ascii="Verdana" w:hAnsi="Verdana"/>
          <w:b/>
          <w:sz w:val="20"/>
          <w:szCs w:val="20"/>
        </w:rPr>
        <w:t>Еврозоната</w:t>
      </w:r>
      <w:r w:rsidRPr="006D3A3C">
        <w:rPr>
          <w:rFonts w:ascii="Verdana" w:hAnsi="Verdana"/>
          <w:sz w:val="20"/>
          <w:szCs w:val="20"/>
        </w:rPr>
        <w:t xml:space="preserve"> </w:t>
      </w:r>
      <w:r w:rsidRPr="006D3A3C">
        <w:rPr>
          <w:rFonts w:ascii="Verdana" w:hAnsi="Verdana"/>
          <w:b/>
          <w:sz w:val="20"/>
          <w:szCs w:val="20"/>
        </w:rPr>
        <w:t>(EЗ-20)</w:t>
      </w:r>
      <w:r w:rsidRPr="006D3A3C">
        <w:rPr>
          <w:rFonts w:ascii="Verdana" w:hAnsi="Verdana"/>
          <w:sz w:val="20"/>
          <w:szCs w:val="20"/>
        </w:rPr>
        <w:t xml:space="preserve"> включва: Белгия, Германия, Естония, Ирландия, Гърция, Испания, Франция, Италия, Кипър, Латвия, Литва, Люксембург, Малта, Нидерландия, Австрия, Португалия, Словения, Словакия, Финландия и Хърватия.</w:t>
      </w:r>
    </w:p>
    <w:p w14:paraId="66D99B86" w14:textId="77777777" w:rsidR="0082191F" w:rsidRPr="006D3A3C" w:rsidRDefault="0082191F" w:rsidP="006D3A3C">
      <w:pPr>
        <w:spacing w:before="160" w:after="160" w:line="360" w:lineRule="auto"/>
        <w:jc w:val="both"/>
        <w:rPr>
          <w:rFonts w:ascii="Verdana" w:hAnsi="Verdana"/>
          <w:sz w:val="20"/>
          <w:szCs w:val="20"/>
        </w:rPr>
      </w:pPr>
      <w:r w:rsidRPr="006D3A3C">
        <w:rPr>
          <w:rFonts w:ascii="Verdana" w:hAnsi="Verdana"/>
          <w:sz w:val="20"/>
          <w:szCs w:val="20"/>
        </w:rPr>
        <w:t>Прессъобщението включва още три страни - членки на ЕАСТ, шест кандидатстващи страни за членство в ЕС.</w:t>
      </w:r>
    </w:p>
    <w:p w14:paraId="45305B31" w14:textId="77777777" w:rsidR="0082191F" w:rsidRPr="007240F7" w:rsidRDefault="0082191F" w:rsidP="009552E2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7240F7">
        <w:rPr>
          <w:rFonts w:ascii="Verdana" w:hAnsi="Verdana"/>
          <w:b/>
          <w:sz w:val="20"/>
          <w:szCs w:val="20"/>
        </w:rPr>
        <w:lastRenderedPageBreak/>
        <w:t>Методи и дефиниции</w:t>
      </w:r>
    </w:p>
    <w:p w14:paraId="6B2735C6" w14:textId="77777777" w:rsidR="0082191F" w:rsidRPr="007240F7" w:rsidRDefault="007240F7" w:rsidP="009552E2">
      <w:pPr>
        <w:spacing w:before="160" w:after="160" w:line="360" w:lineRule="auto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7240F7">
        <w:rPr>
          <w:rFonts w:ascii="Verdana" w:eastAsia="Times New Roman" w:hAnsi="Verdana"/>
          <w:sz w:val="20"/>
          <w:szCs w:val="20"/>
          <w:lang w:eastAsia="en-GB"/>
        </w:rPr>
        <w:t>Експресните оценки за 2023</w:t>
      </w:r>
      <w:r w:rsidR="0082191F" w:rsidRPr="007240F7">
        <w:rPr>
          <w:rFonts w:ascii="Verdana" w:eastAsia="Times New Roman" w:hAnsi="Verdana"/>
          <w:sz w:val="20"/>
          <w:szCs w:val="20"/>
          <w:lang w:eastAsia="en-GB"/>
        </w:rPr>
        <w:t xml:space="preserve"> г., представени в настоящото прессъобщение, са базирани на данн</w:t>
      </w:r>
      <w:r w:rsidRPr="007240F7">
        <w:rPr>
          <w:rFonts w:ascii="Verdana" w:eastAsia="Times New Roman" w:hAnsi="Verdana"/>
          <w:sz w:val="20"/>
          <w:szCs w:val="20"/>
          <w:lang w:eastAsia="en-GB"/>
        </w:rPr>
        <w:t>ите за БВП и населението за 2023 г. налични към 11 юни 2024</w:t>
      </w:r>
      <w:r w:rsidR="0082191F" w:rsidRPr="007240F7">
        <w:rPr>
          <w:rFonts w:ascii="Verdana" w:eastAsia="Times New Roman" w:hAnsi="Verdana"/>
          <w:sz w:val="20"/>
          <w:szCs w:val="20"/>
          <w:lang w:eastAsia="en-GB"/>
        </w:rPr>
        <w:t xml:space="preserve"> г. и последните изчислени паритети на покупателната способност. Ревизирани оценки ще бъда</w:t>
      </w:r>
      <w:r w:rsidRPr="007240F7">
        <w:rPr>
          <w:rFonts w:ascii="Verdana" w:eastAsia="Times New Roman" w:hAnsi="Verdana"/>
          <w:sz w:val="20"/>
          <w:szCs w:val="20"/>
          <w:lang w:eastAsia="en-GB"/>
        </w:rPr>
        <w:t>т публикувани през декември 2024</w:t>
      </w:r>
      <w:r w:rsidR="0082191F" w:rsidRPr="007240F7">
        <w:rPr>
          <w:rFonts w:ascii="Verdana" w:eastAsia="Times New Roman" w:hAnsi="Verdana"/>
          <w:sz w:val="20"/>
          <w:szCs w:val="20"/>
          <w:lang w:eastAsia="en-GB"/>
        </w:rPr>
        <w:t xml:space="preserve"> година.</w:t>
      </w:r>
    </w:p>
    <w:p w14:paraId="5A46D800" w14:textId="77777777" w:rsidR="0082191F" w:rsidRPr="001568A5" w:rsidRDefault="0082191F" w:rsidP="009552E2">
      <w:pPr>
        <w:spacing w:before="160" w:after="160" w:line="360" w:lineRule="auto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1568A5">
        <w:rPr>
          <w:rFonts w:ascii="Verdana" w:eastAsia="Times New Roman" w:hAnsi="Verdana"/>
          <w:b/>
          <w:sz w:val="20"/>
          <w:szCs w:val="20"/>
          <w:lang w:eastAsia="en-GB"/>
        </w:rPr>
        <w:t>Фактическото индивидуално потребление</w:t>
      </w:r>
      <w:r w:rsidRPr="001568A5">
        <w:rPr>
          <w:rFonts w:ascii="Verdana" w:eastAsia="Times New Roman" w:hAnsi="Verdana"/>
          <w:sz w:val="20"/>
          <w:szCs w:val="20"/>
          <w:lang w:eastAsia="en-GB"/>
        </w:rPr>
        <w:t xml:space="preserve"> обхваща стоките и услугите, действително потребени от населението, независимо дали са купени и платени от домакинствата, държавата, или от нетърговски институции, обслужващи домакинствата. При международните сравнения на физическия обем на потреблението ФИП е предпочитан показател, тъй като не се влияе от различията в начина, по който в отделните страни са организирани някои важни услуги - образователни и здравни.</w:t>
      </w:r>
    </w:p>
    <w:p w14:paraId="6AD96791" w14:textId="77777777" w:rsidR="0082191F" w:rsidRPr="001568A5" w:rsidRDefault="0082191F" w:rsidP="009552E2">
      <w:pPr>
        <w:spacing w:before="160" w:after="160" w:line="360" w:lineRule="auto"/>
        <w:jc w:val="both"/>
        <w:rPr>
          <w:rFonts w:ascii="Verdana" w:eastAsia="Times New Roman" w:hAnsi="Verdana"/>
          <w:sz w:val="20"/>
          <w:szCs w:val="20"/>
          <w:lang w:val="ru-RU"/>
        </w:rPr>
      </w:pPr>
      <w:r w:rsidRPr="001568A5">
        <w:rPr>
          <w:rFonts w:ascii="Verdana" w:eastAsia="Times New Roman" w:hAnsi="Verdana"/>
          <w:b/>
          <w:sz w:val="20"/>
          <w:szCs w:val="20"/>
          <w:lang w:eastAsia="en-GB"/>
        </w:rPr>
        <w:t>Стандартът на покупателна способност</w:t>
      </w:r>
      <w:r w:rsidRPr="001568A5">
        <w:rPr>
          <w:rFonts w:ascii="Verdana" w:eastAsia="Times New Roman" w:hAnsi="Verdana"/>
          <w:sz w:val="20"/>
          <w:szCs w:val="20"/>
          <w:lang w:eastAsia="en-GB"/>
        </w:rPr>
        <w:t xml:space="preserve"> представлява изкуствена валутна единица, която елиминира разликите в равнищата на цените между отделните страни. По този начин един СПС купува същия обем от стоки и услуги във всички страни. Тази валутна единица позволява смислено сравнение на физическите обеми на икономическите индикатори между страните. Агрегатите, изразени в СПС, са изчислени чрез разделяне на агрегатите в текущи цени и национална валута на съответния паритет на покупателната способност. Нивото на несигурност, свързано с базисните цени и данните от националните сметки, както и методите, използвани при съставянето на ППС, подсказват, че различията между страните, имащи много близки индекси, трябва да се интерпретират с известно внимание.</w:t>
      </w:r>
    </w:p>
    <w:p w14:paraId="31671146" w14:textId="77777777" w:rsidR="0082191F" w:rsidRPr="001568A5" w:rsidRDefault="0082191F" w:rsidP="009552E2">
      <w:pPr>
        <w:spacing w:before="160" w:after="160" w:line="360" w:lineRule="auto"/>
        <w:jc w:val="both"/>
        <w:rPr>
          <w:rFonts w:ascii="Verdana" w:eastAsia="Times New Roman" w:hAnsi="Verdana"/>
          <w:b/>
          <w:sz w:val="20"/>
          <w:szCs w:val="20"/>
          <w:lang w:eastAsia="en-GB"/>
        </w:rPr>
      </w:pPr>
      <w:r w:rsidRPr="001568A5">
        <w:rPr>
          <w:rFonts w:ascii="Verdana" w:eastAsia="Times New Roman" w:hAnsi="Verdana"/>
          <w:b/>
          <w:sz w:val="20"/>
          <w:szCs w:val="20"/>
          <w:lang w:eastAsia="en-GB"/>
        </w:rPr>
        <w:t>Забележка:</w:t>
      </w:r>
    </w:p>
    <w:p w14:paraId="5A0E7DF9" w14:textId="77777777" w:rsidR="0082191F" w:rsidRPr="001568A5" w:rsidRDefault="0082191F" w:rsidP="009552E2">
      <w:pPr>
        <w:spacing w:before="160" w:after="160" w:line="360" w:lineRule="auto"/>
        <w:jc w:val="both"/>
        <w:rPr>
          <w:rFonts w:ascii="Verdana" w:eastAsia="Times New Roman" w:hAnsi="Verdana"/>
          <w:sz w:val="20"/>
          <w:szCs w:val="20"/>
          <w:lang w:eastAsia="en-GB"/>
        </w:rPr>
      </w:pPr>
      <w:r w:rsidRPr="001568A5">
        <w:rPr>
          <w:rFonts w:ascii="Verdana" w:eastAsia="Times New Roman" w:hAnsi="Verdana" w:hint="cs"/>
          <w:sz w:val="20"/>
          <w:szCs w:val="20"/>
          <w:lang w:eastAsia="en-GB"/>
        </w:rPr>
        <w:t>Люксембург</w:t>
      </w:r>
      <w:r w:rsidRPr="001568A5">
        <w:rPr>
          <w:rFonts w:ascii="Verdana" w:eastAsia="Times New Roman" w:hAnsi="Verdana"/>
          <w:sz w:val="20"/>
          <w:szCs w:val="20"/>
          <w:lang w:eastAsia="en-GB"/>
        </w:rPr>
        <w:t>: Високият БВП на човек от населението на Люксембург се обяснява частично с големия дял на пограничните работници, включени в общия брой на работната сила на страната. Тези работници допринасят за увеличение на БВП, а същевременно не се считат за част от местното население, което се използва при изчисляването на БВП на глава от населението.</w:t>
      </w:r>
    </w:p>
    <w:p w14:paraId="7903A799" w14:textId="77777777" w:rsidR="0082191F" w:rsidRPr="001568A5" w:rsidRDefault="0082191F" w:rsidP="009552E2">
      <w:pPr>
        <w:spacing w:before="160" w:after="160" w:line="360" w:lineRule="auto"/>
        <w:jc w:val="both"/>
        <w:rPr>
          <w:rFonts w:ascii="Verdana" w:eastAsia="Times New Roman" w:hAnsi="Verdana"/>
          <w:sz w:val="20"/>
          <w:szCs w:val="20"/>
          <w:lang w:val="ru-RU" w:eastAsia="en-GB"/>
        </w:rPr>
      </w:pP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Ирландия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: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Високото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ниво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на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БВП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на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глава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от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населението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в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Ирландия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може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отчасти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да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се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обясни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с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наличието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на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големи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мултинационални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компании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,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притежаващи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интелектуална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собственост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.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Свързаното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с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тези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активи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договорно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производство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допринася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за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БВП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,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докато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голяма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част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от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приходите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,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спечелени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от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това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производство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,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се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връщат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на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крайните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собственици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на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компаниите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в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 xml:space="preserve"> </w:t>
      </w:r>
      <w:r w:rsidRPr="001568A5">
        <w:rPr>
          <w:rFonts w:ascii="Verdana" w:eastAsia="Times New Roman" w:hAnsi="Verdana" w:hint="cs"/>
          <w:sz w:val="20"/>
          <w:szCs w:val="20"/>
          <w:lang w:val="ru-RU" w:eastAsia="en-GB"/>
        </w:rPr>
        <w:t>чужбина</w:t>
      </w:r>
      <w:r w:rsidRPr="001568A5">
        <w:rPr>
          <w:rFonts w:ascii="Verdana" w:eastAsia="Times New Roman" w:hAnsi="Verdana"/>
          <w:sz w:val="20"/>
          <w:szCs w:val="20"/>
          <w:lang w:val="ru-RU" w:eastAsia="en-GB"/>
        </w:rPr>
        <w:t>.</w:t>
      </w:r>
    </w:p>
    <w:p w14:paraId="67B2BC85" w14:textId="77777777" w:rsidR="00C350B5" w:rsidRDefault="00C350B5" w:rsidP="009552E2">
      <w:pPr>
        <w:keepLines/>
        <w:spacing w:before="160" w:after="16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C41993D" w14:textId="0B3E14DB" w:rsidR="0082191F" w:rsidRPr="001568A5" w:rsidRDefault="0082191F" w:rsidP="009552E2">
      <w:pPr>
        <w:keepLines/>
        <w:spacing w:before="160" w:after="16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568A5">
        <w:rPr>
          <w:rFonts w:ascii="Verdana" w:hAnsi="Verdana"/>
          <w:sz w:val="20"/>
          <w:szCs w:val="20"/>
          <w:u w:val="single"/>
        </w:rPr>
        <w:lastRenderedPageBreak/>
        <w:t>За повече информация:</w:t>
      </w:r>
    </w:p>
    <w:p w14:paraId="1BA067FE" w14:textId="77777777" w:rsidR="0082191F" w:rsidRPr="006F0766" w:rsidRDefault="00000000" w:rsidP="008912AD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/>
          <w:color w:val="0070C0"/>
          <w:sz w:val="20"/>
          <w:szCs w:val="20"/>
        </w:rPr>
      </w:pPr>
      <w:hyperlink r:id="rId18" w:history="1">
        <w:r w:rsidR="0082191F" w:rsidRPr="006F0766">
          <w:rPr>
            <w:rFonts w:ascii="Verdana" w:eastAsia="Times New Roman" w:hAnsi="Verdana"/>
            <w:color w:val="0070C0"/>
            <w:sz w:val="20"/>
            <w:szCs w:val="20"/>
            <w:u w:val="single"/>
          </w:rPr>
          <w:t>Statistics Explained article on consumption and GDP per capita</w:t>
        </w:r>
      </w:hyperlink>
    </w:p>
    <w:p w14:paraId="73C242E7" w14:textId="77777777" w:rsidR="0082191F" w:rsidRPr="006F0766" w:rsidRDefault="00000000" w:rsidP="008912AD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/>
          <w:color w:val="0070C0"/>
          <w:sz w:val="20"/>
          <w:szCs w:val="20"/>
        </w:rPr>
      </w:pPr>
      <w:hyperlink r:id="rId19" w:history="1">
        <w:r w:rsidR="0082191F" w:rsidRPr="006F0766">
          <w:rPr>
            <w:rFonts w:ascii="Verdana" w:eastAsia="Times New Roman" w:hAnsi="Verdana"/>
            <w:color w:val="0070C0"/>
            <w:sz w:val="20"/>
            <w:szCs w:val="20"/>
            <w:u w:val="single"/>
          </w:rPr>
          <w:t>Thematic section on purchasing power parities</w:t>
        </w:r>
      </w:hyperlink>
    </w:p>
    <w:p w14:paraId="7E8D8AA1" w14:textId="77777777" w:rsidR="0082191F" w:rsidRPr="006F0766" w:rsidRDefault="00000000" w:rsidP="008912AD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/>
          <w:color w:val="0070C0"/>
          <w:sz w:val="20"/>
          <w:szCs w:val="20"/>
        </w:rPr>
      </w:pPr>
      <w:hyperlink r:id="rId20" w:history="1">
        <w:r w:rsidR="0082191F" w:rsidRPr="006F0766">
          <w:rPr>
            <w:rFonts w:ascii="Verdana" w:eastAsia="Times New Roman" w:hAnsi="Verdana"/>
            <w:color w:val="0070C0"/>
            <w:sz w:val="20"/>
            <w:szCs w:val="20"/>
            <w:u w:val="single"/>
          </w:rPr>
          <w:t>Database on purchasing power parities</w:t>
        </w:r>
      </w:hyperlink>
    </w:p>
    <w:p w14:paraId="170C464A" w14:textId="77777777" w:rsidR="0082191F" w:rsidRPr="006F0766" w:rsidRDefault="00000000" w:rsidP="008912AD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/>
          <w:color w:val="0070C0"/>
          <w:sz w:val="20"/>
          <w:szCs w:val="20"/>
        </w:rPr>
      </w:pPr>
      <w:hyperlink r:id="rId21" w:history="1">
        <w:r w:rsidR="0082191F" w:rsidRPr="006F0766">
          <w:rPr>
            <w:rFonts w:ascii="Verdana" w:eastAsia="Times New Roman" w:hAnsi="Verdana"/>
            <w:color w:val="0070C0"/>
            <w:sz w:val="20"/>
            <w:szCs w:val="20"/>
            <w:u w:val="single"/>
          </w:rPr>
          <w:t>Metadata on purchasing power parities</w:t>
        </w:r>
      </w:hyperlink>
    </w:p>
    <w:p w14:paraId="4CF14BD7" w14:textId="77777777" w:rsidR="0082191F" w:rsidRPr="001568A5" w:rsidRDefault="00000000" w:rsidP="008912AD">
      <w:pPr>
        <w:numPr>
          <w:ilvl w:val="0"/>
          <w:numId w:val="1"/>
        </w:numPr>
        <w:spacing w:before="160" w:after="160" w:line="360" w:lineRule="auto"/>
        <w:ind w:firstLine="0"/>
        <w:rPr>
          <w:rFonts w:ascii="Verdana" w:eastAsia="Times New Roman" w:hAnsi="Verdana"/>
          <w:sz w:val="20"/>
          <w:szCs w:val="20"/>
        </w:rPr>
      </w:pPr>
      <w:hyperlink r:id="rId22" w:history="1">
        <w:r w:rsidR="0082191F" w:rsidRPr="006F0766">
          <w:rPr>
            <w:rFonts w:ascii="Verdana" w:eastAsia="Times New Roman" w:hAnsi="Verdana"/>
            <w:color w:val="0070C0"/>
            <w:sz w:val="20"/>
            <w:szCs w:val="20"/>
            <w:u w:val="single"/>
          </w:rPr>
          <w:t>Statistics 4 beginners on GDP </w:t>
        </w:r>
      </w:hyperlink>
    </w:p>
    <w:p w14:paraId="5FF75178" w14:textId="46A0186B" w:rsidR="0082191F" w:rsidRDefault="0082191F" w:rsidP="009552E2">
      <w:pPr>
        <w:spacing w:before="160"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82191F" w:rsidSect="008912AD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993" w:right="991" w:bottom="567" w:left="1701" w:header="2324" w:footer="567" w:gutter="0"/>
          <w:cols w:space="708"/>
          <w:titlePg/>
          <w:docGrid w:linePitch="360"/>
        </w:sectPr>
      </w:pPr>
      <w:r w:rsidRPr="00282883">
        <w:rPr>
          <w:rFonts w:ascii="Verdana" w:eastAsia="Times New Roman" w:hAnsi="Verdana" w:hint="cs"/>
          <w:sz w:val="20"/>
          <w:szCs w:val="20"/>
          <w:lang w:eastAsia="en-GB"/>
        </w:rPr>
        <w:t>Източник</w:t>
      </w:r>
      <w:r w:rsidRPr="00282883">
        <w:rPr>
          <w:rFonts w:ascii="Verdana" w:eastAsia="Times New Roman" w:hAnsi="Verdana"/>
          <w:sz w:val="20"/>
          <w:szCs w:val="20"/>
          <w:lang w:eastAsia="en-GB"/>
        </w:rPr>
        <w:t xml:space="preserve">: </w:t>
      </w:r>
      <w:r w:rsidRPr="00282883">
        <w:rPr>
          <w:rFonts w:ascii="Verdana" w:eastAsia="Times New Roman" w:hAnsi="Verdana" w:hint="cs"/>
          <w:sz w:val="20"/>
          <w:szCs w:val="20"/>
          <w:lang w:eastAsia="en-GB"/>
        </w:rPr>
        <w:t>Евростат</w:t>
      </w:r>
      <w:r w:rsidRPr="00282883">
        <w:rPr>
          <w:rFonts w:ascii="Verdana" w:eastAsia="Times New Roman" w:hAnsi="Verdana"/>
          <w:sz w:val="20"/>
          <w:szCs w:val="20"/>
          <w:lang w:eastAsia="en-GB"/>
        </w:rPr>
        <w:t>, 19.06.202</w:t>
      </w:r>
      <w:r w:rsidRPr="00282883">
        <w:rPr>
          <w:rFonts w:ascii="Verdana" w:eastAsia="Times New Roman" w:hAnsi="Verdana"/>
          <w:sz w:val="20"/>
          <w:szCs w:val="20"/>
          <w:lang w:val="en-US" w:eastAsia="en-GB"/>
        </w:rPr>
        <w:t>4</w:t>
      </w:r>
      <w:r w:rsidRPr="00282883">
        <w:rPr>
          <w:rFonts w:ascii="Verdana" w:eastAsia="Times New Roman" w:hAnsi="Verdana"/>
          <w:sz w:val="20"/>
          <w:szCs w:val="20"/>
          <w:lang w:eastAsia="en-GB"/>
        </w:rPr>
        <w:t xml:space="preserve"> </w:t>
      </w:r>
      <w:r w:rsidRPr="00282883">
        <w:rPr>
          <w:rFonts w:ascii="Verdana" w:eastAsia="Times New Roman" w:hAnsi="Verdana" w:hint="cs"/>
          <w:sz w:val="20"/>
          <w:szCs w:val="20"/>
          <w:lang w:eastAsia="en-GB"/>
        </w:rPr>
        <w:t>година</w:t>
      </w:r>
    </w:p>
    <w:p w14:paraId="2DFD44AF" w14:textId="77777777" w:rsidR="00171C36" w:rsidRPr="00CA0766" w:rsidRDefault="00171C36" w:rsidP="004760D3">
      <w:pPr>
        <w:spacing w:line="360" w:lineRule="auto"/>
        <w:jc w:val="both"/>
      </w:pPr>
    </w:p>
    <w:sectPr w:rsidR="00171C36" w:rsidRPr="00CA0766" w:rsidSect="008748F1">
      <w:headerReference w:type="first" r:id="rId27"/>
      <w:footerReference w:type="first" r:id="rId28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A360E" w14:textId="77777777" w:rsidR="002964DD" w:rsidRDefault="002964DD" w:rsidP="00214ACA">
      <w:r>
        <w:separator/>
      </w:r>
    </w:p>
  </w:endnote>
  <w:endnote w:type="continuationSeparator" w:id="0">
    <w:p w14:paraId="283A212C" w14:textId="77777777" w:rsidR="002964DD" w:rsidRDefault="002964D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4F1D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08FEB1" wp14:editId="6A1FB725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801B7" w14:textId="7F7663D8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398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08FEB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33801B7" w14:textId="7F7663D8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0398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DC2078B" wp14:editId="77A8380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B7B8C1E" wp14:editId="1DBB0755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7814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213AB68" wp14:editId="67A3694E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30BBBD8" wp14:editId="7431ED29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FD46A" w14:textId="12B84251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398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BBBD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599FD46A" w14:textId="12B84251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0398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D2D8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D300C33" wp14:editId="0750B4C2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E331ABE" wp14:editId="4995C19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A18C4" w14:textId="2DB4CB58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398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331AB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78A18C4" w14:textId="2DB4CB58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0398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12FA9A7" wp14:editId="6C8C1434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73826E4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1BA2" w14:textId="77777777" w:rsidR="002964DD" w:rsidRDefault="002964DD" w:rsidP="00214ACA">
      <w:r>
        <w:separator/>
      </w:r>
    </w:p>
  </w:footnote>
  <w:footnote w:type="continuationSeparator" w:id="0">
    <w:p w14:paraId="25F3670A" w14:textId="77777777" w:rsidR="002964DD" w:rsidRDefault="002964DD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780A" w14:textId="76092F7F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80FB8F3" wp14:editId="4E37246F">
              <wp:simplePos x="0" y="0"/>
              <wp:positionH relativeFrom="margin">
                <wp:posOffset>834390</wp:posOffset>
              </wp:positionH>
              <wp:positionV relativeFrom="paragraph">
                <wp:posOffset>-647065</wp:posOffset>
              </wp:positionV>
              <wp:extent cx="4095750" cy="5905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EFF2FE" w14:textId="1F615634" w:rsidR="00101DE0" w:rsidRPr="00CD5D77" w:rsidRDefault="00EF0D47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1E3A19">
                            <w:rPr>
                              <w:rFonts w:ascii="Verdana" w:hAnsi="Verdana"/>
                              <w:b/>
                              <w:sz w:val="20"/>
                            </w:rPr>
                            <w:t>ФАКТИЧЕСКО ИН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Д</w:t>
                          </w:r>
                          <w:r w:rsidRPr="001E3A19"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ИВИДУАЛНО </w:t>
                          </w:r>
                          <w:r w:rsidRPr="00CD5D77">
                            <w:rPr>
                              <w:rFonts w:ascii="Verdana" w:hAnsi="Verdana"/>
                              <w:b/>
                              <w:sz w:val="20"/>
                            </w:rPr>
                            <w:t>ПОТРЕБЛЕНИЕ НА ЧОВЕК ОТ НАСЕЛЕНИЕТО ЗА 202</w:t>
                          </w:r>
                          <w:r w:rsidRPr="00CD5D77">
                            <w:rPr>
                              <w:rFonts w:ascii="Verdana" w:hAnsi="Verdana"/>
                              <w:b/>
                              <w:sz w:val="20"/>
                              <w:lang w:val="en-US"/>
                            </w:rPr>
                            <w:t>3</w:t>
                          </w:r>
                          <w:r w:rsidRPr="00CD5D77"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 ГОДИНА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CD5D77">
                            <w:rPr>
                              <w:rFonts w:ascii="Verdana" w:hAnsi="Verdana"/>
                              <w:b/>
                              <w:sz w:val="20"/>
                            </w:rPr>
                            <w:t>ЕС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FB8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50.95pt;width:322.5pt;height:4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" stroked="f">
              <v:textbox>
                <w:txbxContent>
                  <w:p w14:paraId="54EFF2FE" w14:textId="1F615634" w:rsidR="00101DE0" w:rsidRPr="00CD5D77" w:rsidRDefault="00EF0D47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1E3A19">
                      <w:rPr>
                        <w:rFonts w:ascii="Verdana" w:hAnsi="Verdana"/>
                        <w:b/>
                        <w:sz w:val="20"/>
                      </w:rPr>
                      <w:t>ФАКТИЧЕСКО ИН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Д</w:t>
                    </w:r>
                    <w:r w:rsidRPr="001E3A19">
                      <w:rPr>
                        <w:rFonts w:ascii="Verdana" w:hAnsi="Verdana"/>
                        <w:b/>
                        <w:sz w:val="20"/>
                      </w:rPr>
                      <w:t xml:space="preserve">ИВИДУАЛНО </w:t>
                    </w:r>
                    <w:r w:rsidRPr="00CD5D77">
                      <w:rPr>
                        <w:rFonts w:ascii="Verdana" w:hAnsi="Verdana"/>
                        <w:b/>
                        <w:sz w:val="20"/>
                      </w:rPr>
                      <w:t>ПОТРЕБЛЕНИЕ НА ЧОВЕК ОТ НАСЕЛЕНИЕТО ЗА 202</w:t>
                    </w:r>
                    <w:r w:rsidRPr="00CD5D77">
                      <w:rPr>
                        <w:rFonts w:ascii="Verdana" w:hAnsi="Verdana"/>
                        <w:b/>
                        <w:sz w:val="20"/>
                        <w:lang w:val="en-US"/>
                      </w:rPr>
                      <w:t>3</w:t>
                    </w:r>
                    <w:r w:rsidRPr="00CD5D77">
                      <w:rPr>
                        <w:rFonts w:ascii="Verdana" w:hAnsi="Verdana"/>
                        <w:b/>
                        <w:sz w:val="20"/>
                      </w:rPr>
                      <w:t xml:space="preserve"> ГОДИНА 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z w:val="20"/>
                        <w:lang w:val="en-US"/>
                      </w:rPr>
                      <w:t xml:space="preserve"> </w:t>
                    </w:r>
                    <w:r w:rsidRPr="00CD5D77">
                      <w:rPr>
                        <w:rFonts w:ascii="Verdana" w:hAnsi="Verdana"/>
                        <w:b/>
                        <w:sz w:val="20"/>
                      </w:rPr>
                      <w:t>ЕС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47D8E37" wp14:editId="4FC5B04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940FCC">
      <w:rPr>
        <w:rFonts w:ascii="Verdana" w:eastAsia="Μοντέρνα" w:hAnsi="Verdana" w:cs="Times New Roman"/>
        <w:b/>
        <w:sz w:val="20"/>
        <w:szCs w:val="20"/>
        <w:lang w:eastAsia="bg-BG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008C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B1516B4" wp14:editId="6314D486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12A106B" wp14:editId="35C49663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1CA32AC" wp14:editId="5506E11A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7CDFF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7366C2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A32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7C7CDFF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7366C2E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3F67C83" wp14:editId="22136DCE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E6844DC" wp14:editId="6126A1A2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9A0DA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CE7E" w14:textId="77777777" w:rsidR="008748F1" w:rsidRPr="004F064E" w:rsidRDefault="008748F1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A6437BB" wp14:editId="31BAD8D3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81CF2F6" wp14:editId="39A1BF2E">
              <wp:simplePos x="0" y="0"/>
              <wp:positionH relativeFrom="margin">
                <wp:align>center</wp:align>
              </wp:positionH>
              <wp:positionV relativeFrom="paragraph">
                <wp:posOffset>-307340</wp:posOffset>
              </wp:positionV>
              <wp:extent cx="409575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1B006" w14:textId="77777777" w:rsidR="008748F1" w:rsidRPr="00101DE0" w:rsidRDefault="003D5F6D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Заглавие на текст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CF2F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2pt;width:322.5pt;height:24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48Ig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" stroked="f">
              <v:textbox>
                <w:txbxContent>
                  <w:p w14:paraId="41C1B006" w14:textId="77777777" w:rsidR="008748F1" w:rsidRPr="00101DE0" w:rsidRDefault="003D5F6D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Заглавие на текст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C1D24"/>
    <w:multiLevelType w:val="hybridMultilevel"/>
    <w:tmpl w:val="F1447D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469B"/>
    <w:multiLevelType w:val="multilevel"/>
    <w:tmpl w:val="BE36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C37BC"/>
    <w:multiLevelType w:val="hybridMultilevel"/>
    <w:tmpl w:val="09881240"/>
    <w:lvl w:ilvl="0" w:tplc="61E85A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0727837">
    <w:abstractNumId w:val="1"/>
  </w:num>
  <w:num w:numId="2" w16cid:durableId="2067485341">
    <w:abstractNumId w:val="0"/>
  </w:num>
  <w:num w:numId="3" w16cid:durableId="332144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CA"/>
    <w:rsid w:val="00002793"/>
    <w:rsid w:val="00020D97"/>
    <w:rsid w:val="000452F6"/>
    <w:rsid w:val="0006051E"/>
    <w:rsid w:val="000607BC"/>
    <w:rsid w:val="00077C97"/>
    <w:rsid w:val="000B17C2"/>
    <w:rsid w:val="000B2B10"/>
    <w:rsid w:val="000C0D56"/>
    <w:rsid w:val="000C21FA"/>
    <w:rsid w:val="000C3D72"/>
    <w:rsid w:val="000F0B88"/>
    <w:rsid w:val="00101DE0"/>
    <w:rsid w:val="0014639F"/>
    <w:rsid w:val="0015547F"/>
    <w:rsid w:val="001568A5"/>
    <w:rsid w:val="00171C36"/>
    <w:rsid w:val="001901A0"/>
    <w:rsid w:val="00193875"/>
    <w:rsid w:val="00193F7D"/>
    <w:rsid w:val="001A2FAA"/>
    <w:rsid w:val="001B03D8"/>
    <w:rsid w:val="001C1387"/>
    <w:rsid w:val="001E5BA2"/>
    <w:rsid w:val="001E7AC3"/>
    <w:rsid w:val="002022A4"/>
    <w:rsid w:val="00214ACA"/>
    <w:rsid w:val="0024012A"/>
    <w:rsid w:val="00241BEE"/>
    <w:rsid w:val="002468A1"/>
    <w:rsid w:val="002710D0"/>
    <w:rsid w:val="00280DEB"/>
    <w:rsid w:val="002814EC"/>
    <w:rsid w:val="002822AD"/>
    <w:rsid w:val="002964DD"/>
    <w:rsid w:val="002C72D4"/>
    <w:rsid w:val="00315581"/>
    <w:rsid w:val="003209F7"/>
    <w:rsid w:val="00332C88"/>
    <w:rsid w:val="00336556"/>
    <w:rsid w:val="00336A37"/>
    <w:rsid w:val="00363C95"/>
    <w:rsid w:val="00364357"/>
    <w:rsid w:val="003716B3"/>
    <w:rsid w:val="00373719"/>
    <w:rsid w:val="0038746A"/>
    <w:rsid w:val="003B2503"/>
    <w:rsid w:val="003B42F8"/>
    <w:rsid w:val="003B46BA"/>
    <w:rsid w:val="003C2111"/>
    <w:rsid w:val="003D5F6D"/>
    <w:rsid w:val="00426AF6"/>
    <w:rsid w:val="00433421"/>
    <w:rsid w:val="00446CF4"/>
    <w:rsid w:val="00462E0B"/>
    <w:rsid w:val="004760D3"/>
    <w:rsid w:val="00484532"/>
    <w:rsid w:val="00486232"/>
    <w:rsid w:val="004A3193"/>
    <w:rsid w:val="004F064E"/>
    <w:rsid w:val="004F6C48"/>
    <w:rsid w:val="00520539"/>
    <w:rsid w:val="00521CBA"/>
    <w:rsid w:val="00544373"/>
    <w:rsid w:val="00571695"/>
    <w:rsid w:val="005945A2"/>
    <w:rsid w:val="005A45DF"/>
    <w:rsid w:val="005B4023"/>
    <w:rsid w:val="005B70D3"/>
    <w:rsid w:val="005C3313"/>
    <w:rsid w:val="005D14C9"/>
    <w:rsid w:val="005D413C"/>
    <w:rsid w:val="00610CFD"/>
    <w:rsid w:val="006120F5"/>
    <w:rsid w:val="00613258"/>
    <w:rsid w:val="00620772"/>
    <w:rsid w:val="00640FB8"/>
    <w:rsid w:val="00644D53"/>
    <w:rsid w:val="00654814"/>
    <w:rsid w:val="00656FBD"/>
    <w:rsid w:val="00660E16"/>
    <w:rsid w:val="00680E6D"/>
    <w:rsid w:val="006A212D"/>
    <w:rsid w:val="006C7804"/>
    <w:rsid w:val="006D1BE4"/>
    <w:rsid w:val="006D2ABF"/>
    <w:rsid w:val="006D3A3C"/>
    <w:rsid w:val="006F0766"/>
    <w:rsid w:val="00704539"/>
    <w:rsid w:val="007240F7"/>
    <w:rsid w:val="00736078"/>
    <w:rsid w:val="0075790B"/>
    <w:rsid w:val="00764226"/>
    <w:rsid w:val="007B7A4B"/>
    <w:rsid w:val="007C3396"/>
    <w:rsid w:val="007C61E0"/>
    <w:rsid w:val="007C7A6A"/>
    <w:rsid w:val="007E4D7A"/>
    <w:rsid w:val="007F116A"/>
    <w:rsid w:val="007F17B3"/>
    <w:rsid w:val="0082191F"/>
    <w:rsid w:val="0085318B"/>
    <w:rsid w:val="00862B7D"/>
    <w:rsid w:val="00870559"/>
    <w:rsid w:val="008748F1"/>
    <w:rsid w:val="00877AED"/>
    <w:rsid w:val="00881B14"/>
    <w:rsid w:val="00883238"/>
    <w:rsid w:val="008912AD"/>
    <w:rsid w:val="008922CE"/>
    <w:rsid w:val="008D3797"/>
    <w:rsid w:val="008E71E8"/>
    <w:rsid w:val="00903982"/>
    <w:rsid w:val="00914AEB"/>
    <w:rsid w:val="0092415E"/>
    <w:rsid w:val="0094060D"/>
    <w:rsid w:val="00940FCC"/>
    <w:rsid w:val="00947EBF"/>
    <w:rsid w:val="009552E2"/>
    <w:rsid w:val="009A1666"/>
    <w:rsid w:val="009C0103"/>
    <w:rsid w:val="009C0A47"/>
    <w:rsid w:val="009E4021"/>
    <w:rsid w:val="00A14E83"/>
    <w:rsid w:val="00A2422A"/>
    <w:rsid w:val="00A372ED"/>
    <w:rsid w:val="00A609AC"/>
    <w:rsid w:val="00A7142A"/>
    <w:rsid w:val="00A80D32"/>
    <w:rsid w:val="00A869E9"/>
    <w:rsid w:val="00AC3D78"/>
    <w:rsid w:val="00AC6B6E"/>
    <w:rsid w:val="00AD2565"/>
    <w:rsid w:val="00AE4196"/>
    <w:rsid w:val="00AF2D94"/>
    <w:rsid w:val="00AF7655"/>
    <w:rsid w:val="00B0333E"/>
    <w:rsid w:val="00B07D27"/>
    <w:rsid w:val="00B524B5"/>
    <w:rsid w:val="00B55B11"/>
    <w:rsid w:val="00B77149"/>
    <w:rsid w:val="00BD01CF"/>
    <w:rsid w:val="00C14799"/>
    <w:rsid w:val="00C17A52"/>
    <w:rsid w:val="00C22E8B"/>
    <w:rsid w:val="00C33BC1"/>
    <w:rsid w:val="00C350B5"/>
    <w:rsid w:val="00C43860"/>
    <w:rsid w:val="00C46B7A"/>
    <w:rsid w:val="00C506A7"/>
    <w:rsid w:val="00C577B2"/>
    <w:rsid w:val="00C616FD"/>
    <w:rsid w:val="00C93974"/>
    <w:rsid w:val="00CA0766"/>
    <w:rsid w:val="00CB31D3"/>
    <w:rsid w:val="00CD5D77"/>
    <w:rsid w:val="00D17DD2"/>
    <w:rsid w:val="00D82477"/>
    <w:rsid w:val="00D9172A"/>
    <w:rsid w:val="00DB0340"/>
    <w:rsid w:val="00DC1EA0"/>
    <w:rsid w:val="00DD11CB"/>
    <w:rsid w:val="00DE20CA"/>
    <w:rsid w:val="00DE4F56"/>
    <w:rsid w:val="00E12996"/>
    <w:rsid w:val="00E13DB4"/>
    <w:rsid w:val="00E17296"/>
    <w:rsid w:val="00E178BE"/>
    <w:rsid w:val="00E30272"/>
    <w:rsid w:val="00E3618A"/>
    <w:rsid w:val="00E401FB"/>
    <w:rsid w:val="00E50A71"/>
    <w:rsid w:val="00E563C3"/>
    <w:rsid w:val="00E67823"/>
    <w:rsid w:val="00EB5089"/>
    <w:rsid w:val="00ED5ECA"/>
    <w:rsid w:val="00EE2D78"/>
    <w:rsid w:val="00EF0D47"/>
    <w:rsid w:val="00F225BB"/>
    <w:rsid w:val="00F45883"/>
    <w:rsid w:val="00F64C66"/>
    <w:rsid w:val="00FA00EF"/>
    <w:rsid w:val="00FB39BE"/>
    <w:rsid w:val="00FD681E"/>
    <w:rsid w:val="00FD731D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38A7A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0E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01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1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1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statistics-explained/index.php?title=Glossary:Actual_individual_consumption_(AIC)" TargetMode="External"/><Relationship Id="rId13" Type="http://schemas.openxmlformats.org/officeDocument/2006/relationships/hyperlink" Target="https://ec.europa.eu/eurostat/statistics-explained/index.php?title=GDP_per_capita,_consumption_per_capita_and_price_level_indices" TargetMode="External"/><Relationship Id="rId18" Type="http://schemas.openxmlformats.org/officeDocument/2006/relationships/hyperlink" Target="https://ec.europa.eu/eurostat/statistics-explained/index.php?title=GDP_per_capita,_consumption_per_capita_and_price_level_indice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ec.europa.eu/eurostat/cache/metadata/en/prc_ppp_esm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c.europa.eu/eurostat/statistics-explained/index.php?title=Glossary:Purchasing_power_parities_(PPPs)" TargetMode="External"/><Relationship Id="rId17" Type="http://schemas.openxmlformats.org/officeDocument/2006/relationships/hyperlink" Target="https://ec.europa.eu/eurostat/help/faq/brexi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ec.europa.eu/eurostat/web/purchasing-power-parities/databas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web/purchasing-power-parities/data/databas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c.europa.eu/eurostat/statistics-explained/index.php?title=Glossary:Gross_domestic_product_(GDP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ec.europa.eu/eurostat/statistics-explained/index.php/Glossary:European_Union_(EU)" TargetMode="External"/><Relationship Id="rId19" Type="http://schemas.openxmlformats.org/officeDocument/2006/relationships/hyperlink" Target="https://ec.europa.eu/eurostat/web/purchasing-power-parities/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statistics-explained/index.php?title=Glossary:Purchasing_power_standard_(PPS)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ec.europa.eu/eurostat/statistics-explained/index.php?title=Beginners:GDP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0D2D-8F6D-424F-91C4-F787EBDB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Originalni textove</cp:lastModifiedBy>
  <cp:revision>2</cp:revision>
  <cp:lastPrinted>2024-06-19T09:47:00Z</cp:lastPrinted>
  <dcterms:created xsi:type="dcterms:W3CDTF">2024-06-20T12:03:00Z</dcterms:created>
  <dcterms:modified xsi:type="dcterms:W3CDTF">2024-06-20T12:03:00Z</dcterms:modified>
</cp:coreProperties>
</file>