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C92E2" w14:textId="46E29DF2" w:rsidR="003D5F6D" w:rsidRPr="00DD11CB" w:rsidRDefault="00DE0DA1" w:rsidP="00195374">
      <w:pPr>
        <w:autoSpaceDE w:val="0"/>
        <w:autoSpaceDN w:val="0"/>
        <w:adjustRightInd w:val="0"/>
        <w:spacing w:after="160" w:line="360" w:lineRule="auto"/>
        <w:ind w:left="-142" w:firstLine="142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ЛЕЧЕБНИ ЗАВЕДЕНИЯ ЗА БОЛНИЧНА И ИЗВЪНБОЛНИЧНА ПОМОЩ И</w:t>
      </w:r>
      <w:r w:rsidR="0002717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54085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ЗДРАВНИ ЗАВЕДЕНИЯ КЪМ 31.12.</w:t>
      </w:r>
      <w:r w:rsidRPr="0054085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202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3</w:t>
      </w:r>
      <w:r w:rsidRPr="0054085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 xml:space="preserve"> </w:t>
      </w:r>
      <w:r w:rsidRPr="0054085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ГОДИНА</w:t>
      </w:r>
    </w:p>
    <w:p w14:paraId="47DF2C69" w14:textId="77777777" w:rsidR="00DE0DA1" w:rsidRPr="00540852" w:rsidRDefault="00DE0DA1" w:rsidP="00F328C1">
      <w:pPr>
        <w:numPr>
          <w:ilvl w:val="0"/>
          <w:numId w:val="1"/>
        </w:numPr>
        <w:tabs>
          <w:tab w:val="left" w:pos="567"/>
        </w:tabs>
        <w:spacing w:before="160" w:after="160" w:line="360" w:lineRule="auto"/>
        <w:ind w:left="992" w:hanging="425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Лечебни заведения и </w:t>
      </w:r>
      <w:proofErr w:type="spellStart"/>
      <w:r w:rsidRPr="0054085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леглови</w:t>
      </w:r>
      <w:proofErr w:type="spellEnd"/>
      <w:r w:rsidRPr="0054085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фонд</w:t>
      </w:r>
    </w:p>
    <w:p w14:paraId="57B78133" w14:textId="77777777" w:rsidR="00DE0DA1" w:rsidRPr="00540852" w:rsidRDefault="00DE0DA1" w:rsidP="00256AC8">
      <w:pPr>
        <w:spacing w:line="360" w:lineRule="auto"/>
        <w:ind w:left="-142" w:firstLine="709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>В края на 202</w:t>
      </w:r>
      <w:r w:rsidRPr="00326DD9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3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 в страната функционират </w:t>
      </w:r>
      <w:r w:rsidRPr="00540852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341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заведения за болнична помощ с </w:t>
      </w:r>
      <w:r w:rsidRPr="00540852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5</w:t>
      </w:r>
      <w:r w:rsidRPr="00326DD9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5</w:t>
      </w:r>
      <w:r w:rsidRPr="00540852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 </w:t>
      </w:r>
      <w:r w:rsidRPr="00326DD9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724</w:t>
      </w:r>
      <w:r w:rsidRPr="00540852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 xml:space="preserve"> 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>легла</w:t>
      </w:r>
      <w:r w:rsidR="008F1529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8F1529">
        <w:rPr>
          <w:rFonts w:ascii="Verdana" w:eastAsia="Times New Roman" w:hAnsi="Verdana" w:cs="Times New Roman"/>
          <w:bCs/>
          <w:sz w:val="20"/>
          <w:szCs w:val="20"/>
          <w:lang w:eastAsia="bg-BG"/>
        </w:rPr>
        <w:t>В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сравнение с предходната година броят на заведенията остава непроменен, а леглата в тях се увеличават с </w:t>
      </w:r>
      <w:r w:rsidRPr="00211D3D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1 017</w:t>
      </w:r>
      <w:r w:rsidRPr="00540852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 xml:space="preserve">, 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или с </w:t>
      </w:r>
      <w:r w:rsidRPr="00211D3D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1.9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>%.</w:t>
      </w:r>
    </w:p>
    <w:p w14:paraId="35E45F30" w14:textId="1ABB6322" w:rsidR="00DE0DA1" w:rsidRPr="00540852" w:rsidRDefault="00DE0DA1" w:rsidP="00256AC8">
      <w:pPr>
        <w:spacing w:line="360" w:lineRule="auto"/>
        <w:ind w:left="-142" w:firstLine="709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>Болниците са 319 с 5</w:t>
      </w:r>
      <w:r w:rsidRPr="00211D3D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3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> 4</w:t>
      </w:r>
      <w:r w:rsidRPr="00211D3D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7</w:t>
      </w:r>
      <w:r w:rsidRPr="0054085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2 легла, </w:t>
      </w:r>
      <w:r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като 203 от </w:t>
      </w:r>
      <w:r w:rsidR="00C71711">
        <w:rPr>
          <w:rFonts w:ascii="Verdana" w:eastAsia="Times New Roman" w:hAnsi="Verdana" w:cs="Times New Roman"/>
          <w:bCs/>
          <w:sz w:val="20"/>
          <w:szCs w:val="20"/>
          <w:lang w:eastAsia="bg-BG"/>
        </w:rPr>
        <w:t>тях</w:t>
      </w:r>
      <w:r w:rsidR="00C71711"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са публични (държавни и общински) и 116 </w:t>
      </w:r>
      <w:r w:rsidR="008642B0">
        <w:rPr>
          <w:rFonts w:ascii="Verdana" w:eastAsia="Times New Roman" w:hAnsi="Verdana" w:cs="Times New Roman"/>
          <w:bCs/>
          <w:sz w:val="20"/>
          <w:szCs w:val="20"/>
          <w:lang w:eastAsia="bg-BG"/>
        </w:rPr>
        <w:t>-</w:t>
      </w:r>
      <w:r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частни. Разпределението на болниците по форма на собственост в последните години остава относително постоянно. Наблюдава се увеличение на </w:t>
      </w:r>
      <w:proofErr w:type="spellStart"/>
      <w:r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>легловия</w:t>
      </w:r>
      <w:proofErr w:type="spellEnd"/>
      <w:r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фонд на частните заведения и към 31 декември 202</w:t>
      </w:r>
      <w:r w:rsidR="00200A0E" w:rsidRPr="00200A0E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3</w:t>
      </w:r>
      <w:r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 </w:t>
      </w:r>
      <w:r w:rsidR="00200A0E" w:rsidRPr="00200A0E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29.6</w:t>
      </w:r>
      <w:r w:rsidRPr="00200A0E">
        <w:rPr>
          <w:rFonts w:ascii="Verdana" w:eastAsia="Times New Roman" w:hAnsi="Verdana" w:cs="Times New Roman"/>
          <w:bCs/>
          <w:sz w:val="20"/>
          <w:szCs w:val="20"/>
          <w:lang w:eastAsia="bg-BG"/>
        </w:rPr>
        <w:t>% от леглата са в частни болници.</w:t>
      </w:r>
    </w:p>
    <w:p w14:paraId="1524903A" w14:textId="77777777" w:rsidR="00DE0DA1" w:rsidRDefault="00F328C1" w:rsidP="00195374">
      <w:pPr>
        <w:pStyle w:val="ListParagraph"/>
        <w:spacing w:before="160" w:after="160" w:line="360" w:lineRule="auto"/>
        <w:ind w:left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Таблица 1. </w:t>
      </w:r>
      <w:r w:rsidR="00DE0DA1" w:rsidRPr="00840B2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Лечебни и здравни заведения към 31.12.202</w:t>
      </w:r>
      <w:r w:rsidR="00DE0DA1" w:rsidRPr="00840B2C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3</w:t>
      </w:r>
      <w:r w:rsidR="00DE0DA1" w:rsidRPr="00840B2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14:paraId="36BDC81A" w14:textId="77777777" w:rsidR="00F328C1" w:rsidRPr="002A3DB1" w:rsidRDefault="00F328C1" w:rsidP="002A3DB1">
      <w:pPr>
        <w:pStyle w:val="ListParagraph"/>
        <w:ind w:right="566"/>
        <w:jc w:val="right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2A3DB1">
        <w:rPr>
          <w:rFonts w:ascii="Verdana" w:eastAsia="Times New Roman" w:hAnsi="Verdana" w:cs="Times New Roman"/>
          <w:bCs/>
          <w:sz w:val="16"/>
          <w:szCs w:val="16"/>
          <w:lang w:eastAsia="bg-BG"/>
        </w:rPr>
        <w:t>(Брой)</w:t>
      </w:r>
    </w:p>
    <w:tbl>
      <w:tblPr>
        <w:tblW w:w="7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352"/>
        <w:gridCol w:w="1098"/>
      </w:tblGrid>
      <w:tr w:rsidR="00DE0DA1" w:rsidRPr="00211D3D" w14:paraId="5E549C4D" w14:textId="77777777" w:rsidTr="002A3DB1">
        <w:trPr>
          <w:trHeight w:val="310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6EC7" w14:textId="77777777" w:rsidR="00DE0DA1" w:rsidRPr="002A3DB1" w:rsidRDefault="00F328C1" w:rsidP="002A3DB1">
            <w:pP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Видове лечебни заведения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042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Заведения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741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Легла</w:t>
            </w:r>
          </w:p>
        </w:tc>
      </w:tr>
      <w:tr w:rsidR="00DE0DA1" w:rsidRPr="00211D3D" w14:paraId="7B177984" w14:textId="77777777" w:rsidTr="002A3DB1">
        <w:trPr>
          <w:trHeight w:val="316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2131" w14:textId="77777777" w:rsidR="00DE0DA1" w:rsidRPr="002A3DB1" w:rsidRDefault="00DE0DA1" w:rsidP="002A3DB1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Лечебни заведения за болнична помощ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23A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341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DF9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55724</w:t>
            </w:r>
          </w:p>
        </w:tc>
      </w:tr>
      <w:tr w:rsidR="00DE0DA1" w:rsidRPr="00211D3D" w14:paraId="3EC29098" w14:textId="77777777" w:rsidTr="002A3DB1">
        <w:trPr>
          <w:trHeight w:val="264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C8C5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Болници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54F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613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53472</w:t>
            </w:r>
          </w:p>
        </w:tc>
      </w:tr>
      <w:tr w:rsidR="00DE0DA1" w:rsidRPr="00211D3D" w14:paraId="5EE73D13" w14:textId="77777777" w:rsidTr="002A3DB1">
        <w:trPr>
          <w:trHeight w:val="28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AF4" w14:textId="77777777" w:rsidR="00DE0DA1" w:rsidRPr="002A3DB1" w:rsidRDefault="00DE0DA1" w:rsidP="002A3DB1">
            <w:pPr>
              <w:ind w:left="351" w:hanging="142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</w:pPr>
            <w:proofErr w:type="spellStart"/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Многопрофилни</w:t>
            </w:r>
            <w:proofErr w:type="spellEnd"/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болници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446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EE8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39168</w:t>
            </w:r>
          </w:p>
        </w:tc>
      </w:tr>
      <w:tr w:rsidR="00DE0DA1" w:rsidRPr="00211D3D" w14:paraId="33DC5052" w14:textId="77777777" w:rsidTr="002A3DB1">
        <w:trPr>
          <w:trHeight w:val="27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F717" w14:textId="77777777" w:rsidR="00DE0DA1" w:rsidRPr="002A3DB1" w:rsidRDefault="00DE0DA1" w:rsidP="002A3DB1">
            <w:pPr>
              <w:ind w:firstLine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Специализирани болници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A7F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525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14304</w:t>
            </w:r>
          </w:p>
        </w:tc>
      </w:tr>
      <w:tr w:rsidR="00DE0DA1" w:rsidRPr="00211D3D" w14:paraId="3CA162ED" w14:textId="77777777" w:rsidTr="002A3DB1">
        <w:trPr>
          <w:trHeight w:val="290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3880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Центрове за кожно-венерически заболявания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0C1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D62D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30</w:t>
            </w:r>
          </w:p>
        </w:tc>
      </w:tr>
      <w:tr w:rsidR="00DE0DA1" w:rsidRPr="00211D3D" w14:paraId="51D450D1" w14:textId="77777777" w:rsidTr="002A3DB1">
        <w:trPr>
          <w:trHeight w:val="281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B34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Комплексни онкологични центрове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9D9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6E5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1203</w:t>
            </w:r>
          </w:p>
        </w:tc>
      </w:tr>
      <w:tr w:rsidR="00DE0DA1" w:rsidRPr="00211D3D" w14:paraId="76435F91" w14:textId="77777777" w:rsidTr="002A3DB1">
        <w:trPr>
          <w:trHeight w:val="269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50E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Центрове за психично здраве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FD7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836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1019</w:t>
            </w:r>
          </w:p>
        </w:tc>
      </w:tr>
      <w:tr w:rsidR="00DE0DA1" w:rsidRPr="00211D3D" w14:paraId="2FF5BCD7" w14:textId="77777777" w:rsidTr="002A3DB1">
        <w:trPr>
          <w:trHeight w:val="289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779" w14:textId="77777777" w:rsidR="00DE0DA1" w:rsidRPr="002A3DB1" w:rsidRDefault="00DE0DA1" w:rsidP="002A3DB1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Лечебни заведения за </w:t>
            </w:r>
            <w:proofErr w:type="spellStart"/>
            <w:r w:rsidRPr="002A3DB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извънболнична</w:t>
            </w:r>
            <w:proofErr w:type="spellEnd"/>
            <w:r w:rsidRPr="002A3DB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помощ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1EF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2237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168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1307</w:t>
            </w:r>
          </w:p>
        </w:tc>
      </w:tr>
      <w:tr w:rsidR="00DE0DA1" w:rsidRPr="00211D3D" w14:paraId="0AB341E1" w14:textId="77777777" w:rsidTr="002A3DB1">
        <w:trPr>
          <w:trHeight w:val="263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9E7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Диагностично-консултативни центрове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A593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3CA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293</w:t>
            </w:r>
          </w:p>
        </w:tc>
      </w:tr>
      <w:tr w:rsidR="00DE0DA1" w:rsidRPr="00211D3D" w14:paraId="43F60B4D" w14:textId="77777777" w:rsidTr="002A3DB1">
        <w:trPr>
          <w:trHeight w:val="283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67E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Медицински центрове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F05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834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73A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922</w:t>
            </w:r>
          </w:p>
        </w:tc>
      </w:tr>
      <w:tr w:rsidR="00DE0DA1" w:rsidRPr="00211D3D" w14:paraId="41B928DF" w14:textId="77777777" w:rsidTr="002A3DB1">
        <w:trPr>
          <w:trHeight w:val="271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686E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Дентални центрове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D89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7FD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9</w:t>
            </w:r>
          </w:p>
        </w:tc>
      </w:tr>
      <w:tr w:rsidR="00DE0DA1" w:rsidRPr="00211D3D" w14:paraId="795D01A5" w14:textId="77777777" w:rsidTr="002A3DB1">
        <w:trPr>
          <w:trHeight w:val="291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32F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Медико-дентални центрове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98C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A38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83</w:t>
            </w:r>
          </w:p>
        </w:tc>
      </w:tr>
      <w:tr w:rsidR="00DE0DA1" w:rsidRPr="00211D3D" w14:paraId="264E461F" w14:textId="77777777" w:rsidTr="002A3DB1">
        <w:trPr>
          <w:trHeight w:val="43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05D7" w14:textId="77777777" w:rsidR="00DE0DA1" w:rsidRPr="002A3DB1" w:rsidRDefault="00DE0DA1" w:rsidP="002A3DB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Самостоятелни медико-диагностични и медико-технически лаборатории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5FD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1156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7D2E" w14:textId="0F698FCC" w:rsidR="00DE0DA1" w:rsidRPr="002A3DB1" w:rsidRDefault="00195374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-</w:t>
            </w:r>
          </w:p>
        </w:tc>
      </w:tr>
      <w:tr w:rsidR="00DE0DA1" w:rsidRPr="00211D3D" w14:paraId="5BCFE290" w14:textId="77777777" w:rsidTr="002A3DB1">
        <w:trPr>
          <w:trHeight w:val="355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E935" w14:textId="77777777" w:rsidR="00DE0DA1" w:rsidRPr="002A3DB1" w:rsidRDefault="00DE0DA1" w:rsidP="002A3DB1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Други лечебни и здравни заведения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6D8" w14:textId="77777777" w:rsidR="00DE0DA1" w:rsidRPr="002A3DB1" w:rsidRDefault="00DE0DA1" w:rsidP="00E655EA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14</w:t>
            </w:r>
            <w:r w:rsidR="00E655EA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5FA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1742</w:t>
            </w:r>
          </w:p>
        </w:tc>
      </w:tr>
      <w:tr w:rsidR="00DE0DA1" w:rsidRPr="00211D3D" w14:paraId="68B38689" w14:textId="77777777" w:rsidTr="002A3DB1">
        <w:trPr>
          <w:trHeight w:val="286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7BC" w14:textId="77777777" w:rsidR="00DE0DA1" w:rsidRPr="002A3DB1" w:rsidRDefault="00DE0DA1" w:rsidP="002A3DB1">
            <w:pPr>
              <w:ind w:firstLine="67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6F1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47C2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DE0DA1" w:rsidRPr="00211D3D" w14:paraId="396AE19C" w14:textId="77777777" w:rsidTr="00F11F70">
        <w:trPr>
          <w:trHeight w:val="319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44A" w14:textId="77777777" w:rsidR="00DE0DA1" w:rsidRPr="002A3DB1" w:rsidRDefault="00DE0DA1" w:rsidP="002A3DB1">
            <w:pPr>
              <w:tabs>
                <w:tab w:val="left" w:pos="480"/>
              </w:tabs>
              <w:ind w:firstLine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Хосписи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01A7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42E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1252</w:t>
            </w:r>
          </w:p>
        </w:tc>
      </w:tr>
      <w:tr w:rsidR="00DE0DA1" w:rsidRPr="00211D3D" w14:paraId="7FAA07FA" w14:textId="77777777" w:rsidTr="002A3DB1">
        <w:trPr>
          <w:trHeight w:val="438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02E6" w14:textId="77777777" w:rsidR="00DE0DA1" w:rsidRPr="002A3DB1" w:rsidRDefault="00DE0DA1" w:rsidP="00F11F70">
            <w:pPr>
              <w:ind w:left="206" w:hanging="1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Центрове за комплексно обслужване на деца с увреждания и хронични заболявания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A9B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91D" w14:textId="77777777" w:rsidR="00DE0DA1" w:rsidRPr="002A3DB1" w:rsidRDefault="00DE0DA1" w:rsidP="002A3DB1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2A3DB1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70</w:t>
            </w:r>
          </w:p>
        </w:tc>
      </w:tr>
    </w:tbl>
    <w:p w14:paraId="3900F5BC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74E00722" w14:textId="77777777" w:rsidR="0052785D" w:rsidRDefault="0052785D" w:rsidP="00DE0DA1">
      <w:pPr>
        <w:ind w:firstLine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17E9B63" w14:textId="77777777" w:rsidR="00DE0DA1" w:rsidRPr="001F4E7C" w:rsidRDefault="00DE0DA1" w:rsidP="00256AC8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proofErr w:type="spellStart"/>
      <w:r w:rsidRPr="001F4E7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Многопрофилните</w:t>
      </w:r>
      <w:proofErr w:type="spellEnd"/>
      <w:r w:rsidRPr="001F4E7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болници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са 1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81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 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 xml:space="preserve">39 168 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>легла, или в 5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6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7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% от болниците е съсредоточен 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73.2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% от </w:t>
      </w:r>
      <w:proofErr w:type="spellStart"/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>легловия</w:t>
      </w:r>
      <w:proofErr w:type="spellEnd"/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им фонд в страната. </w:t>
      </w:r>
    </w:p>
    <w:p w14:paraId="011BFE82" w14:textId="77777777" w:rsidR="00DE0DA1" w:rsidRPr="001F4E7C" w:rsidRDefault="00DE0DA1" w:rsidP="00256AC8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1F4E7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Специализираните болници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са </w:t>
      </w:r>
      <w:r w:rsidRPr="008B0DFB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138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 1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4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 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3</w:t>
      </w:r>
      <w:r w:rsidRPr="008B0DFB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04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 xml:space="preserve"> 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>легла. Разпределението им по видове е следното:</w:t>
      </w:r>
    </w:p>
    <w:p w14:paraId="29FF7707" w14:textId="77777777" w:rsidR="00DE0DA1" w:rsidRPr="001F4E7C" w:rsidRDefault="00DE0DA1" w:rsidP="005E2C41">
      <w:pPr>
        <w:numPr>
          <w:ilvl w:val="0"/>
          <w:numId w:val="3"/>
        </w:num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за активно лечение - 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7</w:t>
      </w:r>
      <w:r w:rsidRPr="008B0DFB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1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 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4 4</w:t>
      </w:r>
      <w:r w:rsidRPr="008B0DFB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19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легла;</w:t>
      </w:r>
    </w:p>
    <w:p w14:paraId="48860B0E" w14:textId="77777777" w:rsidR="00DE0DA1" w:rsidRPr="001F4E7C" w:rsidRDefault="00DE0DA1" w:rsidP="005E2C41">
      <w:pPr>
        <w:numPr>
          <w:ilvl w:val="0"/>
          <w:numId w:val="3"/>
        </w:num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за продължително лечение - една със 14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5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легла;</w:t>
      </w:r>
    </w:p>
    <w:p w14:paraId="5962F050" w14:textId="77777777" w:rsidR="00DE0DA1" w:rsidRPr="001F4E7C" w:rsidRDefault="00DE0DA1" w:rsidP="005E2C41">
      <w:pPr>
        <w:numPr>
          <w:ilvl w:val="0"/>
          <w:numId w:val="3"/>
        </w:num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за продължително лечение и рехабилитация - 1</w:t>
      </w:r>
      <w:r w:rsidRPr="008B0DFB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8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 </w:t>
      </w:r>
      <w:r w:rsidRPr="001F4E7C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 xml:space="preserve">2 </w:t>
      </w:r>
      <w:r w:rsidRPr="008B0DFB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>161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легла;</w:t>
      </w:r>
    </w:p>
    <w:p w14:paraId="43AA1583" w14:textId="77777777" w:rsidR="00DE0DA1" w:rsidRPr="001F4E7C" w:rsidRDefault="00DE0DA1" w:rsidP="005E2C41">
      <w:pPr>
        <w:numPr>
          <w:ilvl w:val="0"/>
          <w:numId w:val="3"/>
        </w:num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за рехабилитация - 3</w:t>
      </w:r>
      <w:r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6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 5 </w:t>
      </w:r>
      <w:r w:rsidR="00A3046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497</w:t>
      </w:r>
      <w:r w:rsidRPr="001F4E7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легла;</w:t>
      </w:r>
    </w:p>
    <w:p w14:paraId="6F08245E" w14:textId="77777777" w:rsidR="00DE0DA1" w:rsidRPr="001F4E7C" w:rsidRDefault="00DE0DA1" w:rsidP="005E2C41">
      <w:pPr>
        <w:numPr>
          <w:ilvl w:val="0"/>
          <w:numId w:val="3"/>
        </w:numPr>
        <w:spacing w:line="360" w:lineRule="auto"/>
        <w:ind w:left="0" w:firstLine="1843"/>
        <w:jc w:val="both"/>
        <w:rPr>
          <w:rFonts w:ascii="Verdana" w:eastAsia="Times New Roman" w:hAnsi="Verdana"/>
          <w:bCs/>
          <w:sz w:val="20"/>
          <w:szCs w:val="20"/>
        </w:rPr>
      </w:pPr>
      <w:r w:rsidRPr="001F4E7C">
        <w:rPr>
          <w:rFonts w:ascii="Verdana" w:eastAsia="Times New Roman" w:hAnsi="Verdana"/>
          <w:bCs/>
          <w:sz w:val="20"/>
          <w:szCs w:val="20"/>
        </w:rPr>
        <w:t>държавни психиатрични болници - 12 с 2 </w:t>
      </w:r>
      <w:r w:rsidRPr="001F4E7C">
        <w:rPr>
          <w:rFonts w:ascii="Verdana" w:eastAsia="Times New Roman" w:hAnsi="Verdana"/>
          <w:bCs/>
          <w:sz w:val="20"/>
          <w:szCs w:val="20"/>
          <w:lang w:val="ru-RU"/>
        </w:rPr>
        <w:t>082</w:t>
      </w:r>
      <w:r w:rsidRPr="001F4E7C">
        <w:rPr>
          <w:rFonts w:ascii="Verdana" w:eastAsia="Times New Roman" w:hAnsi="Verdana"/>
          <w:bCs/>
          <w:sz w:val="20"/>
          <w:szCs w:val="20"/>
        </w:rPr>
        <w:t xml:space="preserve"> легла.</w:t>
      </w:r>
    </w:p>
    <w:p w14:paraId="26682BED" w14:textId="77777777" w:rsidR="00DE0DA1" w:rsidRPr="00540852" w:rsidRDefault="00DE0DA1" w:rsidP="007A02D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Осигуреността на населението с болнични легла към края на 202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е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8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64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.5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100 000 души от населението.</w:t>
      </w:r>
    </w:p>
    <w:p w14:paraId="0569EDA8" w14:textId="77777777" w:rsidR="00DE0DA1" w:rsidRPr="00540852" w:rsidRDefault="00DE0DA1" w:rsidP="007A02D8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val="ru-RU" w:eastAsia="bg-BG"/>
        </w:rPr>
      </w:pP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Най-високи са стойностите на показателя в областите Плевен (1 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297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.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0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100 000 души от населението)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,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Смолян (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1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150.8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) и Пловдив (1 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0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92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.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0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), а най-ниски са в областите Перник (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402.6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), Ямбол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425.1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) и Видин (</w:t>
      </w:r>
      <w:r w:rsidRPr="008B0DFB">
        <w:rPr>
          <w:rFonts w:ascii="Verdana" w:eastAsia="Times New Roman" w:hAnsi="Verdana" w:cs="Times New Roman"/>
          <w:sz w:val="20"/>
          <w:szCs w:val="20"/>
          <w:lang w:val="ru-RU" w:eastAsia="bg-BG"/>
        </w:rPr>
        <w:t>431.9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) (</w:t>
      </w:r>
      <w:r w:rsidR="00D6452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</w:t>
      </w:r>
      <w:r w:rsidR="00D64526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  <w:r w:rsidRPr="00540852">
        <w:rPr>
          <w:rFonts w:ascii="Verdana" w:eastAsia="Μοντέρνα" w:hAnsi="Verdana" w:cs="Times New Roman"/>
          <w:bCs/>
          <w:color w:val="000000"/>
          <w:sz w:val="20"/>
          <w:szCs w:val="20"/>
          <w:lang w:val="ru-RU" w:eastAsia="bg-BG"/>
        </w:rPr>
        <w:t>.</w:t>
      </w:r>
    </w:p>
    <w:p w14:paraId="57DAC2EC" w14:textId="2A1478A2" w:rsidR="00DE0DA1" w:rsidRDefault="00DE0DA1" w:rsidP="00195374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</w:pPr>
      <w:r w:rsidRPr="005408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Фиг. </w:t>
      </w:r>
      <w:r w:rsidR="00D6452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1</w:t>
      </w:r>
      <w:r w:rsidRPr="005408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. Осигуреност с болнични легла на 100 000 души от населението</w:t>
      </w:r>
      <w:r w:rsidR="000271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5408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към 31.12.202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>3</w:t>
      </w:r>
      <w:r w:rsidRPr="005408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г. по области</w:t>
      </w:r>
      <w:r w:rsidRPr="00211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</w:p>
    <w:p w14:paraId="7E74BF5B" w14:textId="77777777" w:rsidR="0026698B" w:rsidRPr="00540852" w:rsidRDefault="009B2129" w:rsidP="00795B40">
      <w:pPr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F2FA1CD" wp14:editId="715F1F45">
            <wp:extent cx="6029891" cy="362458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D69C52" w14:textId="77777777" w:rsidR="00393721" w:rsidRPr="00540852" w:rsidRDefault="00393721" w:rsidP="00195374">
      <w:pPr>
        <w:spacing w:before="16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Към 31.12.202</w:t>
      </w:r>
      <w:r w:rsidRPr="00EC151C"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</w:t>
      </w:r>
      <w:r w:rsidRPr="0054085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заведенията за </w:t>
      </w:r>
      <w:proofErr w:type="spellStart"/>
      <w:r w:rsidRPr="0054085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извънболнична</w:t>
      </w:r>
      <w:proofErr w:type="spellEnd"/>
      <w:r w:rsidRPr="0054085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помощ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страната са 2 </w:t>
      </w:r>
      <w:r w:rsidRPr="00EC151C">
        <w:rPr>
          <w:rFonts w:ascii="Verdana" w:eastAsia="Times New Roman" w:hAnsi="Verdana" w:cs="Times New Roman"/>
          <w:sz w:val="20"/>
          <w:szCs w:val="20"/>
          <w:lang w:val="ru-RU" w:eastAsia="bg-BG"/>
        </w:rPr>
        <w:t>237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1 30</w:t>
      </w:r>
      <w:r w:rsidRPr="00EC151C">
        <w:rPr>
          <w:rFonts w:ascii="Verdana" w:eastAsia="Times New Roman" w:hAnsi="Verdana" w:cs="Times New Roman"/>
          <w:sz w:val="20"/>
          <w:szCs w:val="20"/>
          <w:lang w:val="ru-RU" w:eastAsia="bg-BG"/>
        </w:rPr>
        <w:t>7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 за краткосрочно наблюдение и престой. </w:t>
      </w:r>
    </w:p>
    <w:p w14:paraId="1837F086" w14:textId="29E409F1" w:rsidR="00393721" w:rsidRPr="00540852" w:rsidRDefault="00393721" w:rsidP="00256AC8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Сред заведения</w:t>
      </w:r>
      <w:r w:rsidR="008F1529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дейности по клинична медицина най-голям</w:t>
      </w:r>
      <w:r w:rsidRPr="004E0F2A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e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броят и </w:t>
      </w:r>
      <w:proofErr w:type="spellStart"/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легловият</w:t>
      </w:r>
      <w:proofErr w:type="spellEnd"/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фонд на медицинските центрове -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834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заведения с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9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22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егла, следвани от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диагностично-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консултативните центрове - 1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1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93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легла. Денталните центрове са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6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7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9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легла, а медико-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денталните центрове -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6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7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83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легла.</w:t>
      </w:r>
    </w:p>
    <w:p w14:paraId="35130C63" w14:textId="77777777" w:rsidR="00393721" w:rsidRDefault="00393721" w:rsidP="00256AC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края на </w:t>
      </w:r>
      <w:r w:rsidR="008F1529" w:rsidRPr="00540852">
        <w:rPr>
          <w:rFonts w:ascii="Verdana" w:eastAsia="Times New Roman" w:hAnsi="Verdana" w:cs="Times New Roman"/>
          <w:sz w:val="20"/>
          <w:szCs w:val="20"/>
          <w:lang w:eastAsia="bg-BG"/>
        </w:rPr>
        <w:t>202</w:t>
      </w:r>
      <w:r w:rsidR="008F1529"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="008F1529"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г. </w:t>
      </w:r>
      <w:r w:rsidRPr="00540852">
        <w:rPr>
          <w:rFonts w:ascii="Verdana" w:eastAsia="Times New Roman" w:hAnsi="Verdana" w:cs="Times New Roman"/>
          <w:b/>
          <w:sz w:val="20"/>
          <w:szCs w:val="20"/>
          <w:lang w:eastAsia="bg-BG"/>
        </w:rPr>
        <w:t>другите лечебни и здравни заведения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са 1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4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9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1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7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42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легла. </w:t>
      </w:r>
    </w:p>
    <w:p w14:paraId="36CF0549" w14:textId="77777777" w:rsidR="00393721" w:rsidRPr="00540852" w:rsidRDefault="00393721" w:rsidP="002A78D9">
      <w:pPr>
        <w:numPr>
          <w:ilvl w:val="0"/>
          <w:numId w:val="1"/>
        </w:numPr>
        <w:tabs>
          <w:tab w:val="clear" w:pos="720"/>
          <w:tab w:val="num" w:pos="709"/>
        </w:tabs>
        <w:spacing w:before="160" w:after="160" w:line="360" w:lineRule="auto"/>
        <w:ind w:left="936" w:hanging="369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b/>
          <w:sz w:val="20"/>
          <w:szCs w:val="20"/>
          <w:lang w:eastAsia="bg-BG"/>
        </w:rPr>
        <w:t>Медицински персонал</w:t>
      </w:r>
    </w:p>
    <w:p w14:paraId="3F0A9AC2" w14:textId="40A272A3" w:rsidR="00393721" w:rsidRPr="00540852" w:rsidRDefault="00393721" w:rsidP="00CA75C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В края на 202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на основен договор в лечебните и здравните заведения в страната практикуват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29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911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лекари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8642B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2). Лекарите по дентална медицина са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7 60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7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като 6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583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тях работят в практики със сключен договор с НЗОК. </w:t>
      </w:r>
      <w:r w:rsidR="0074479E">
        <w:rPr>
          <w:rFonts w:ascii="Verdana" w:eastAsia="Times New Roman" w:hAnsi="Verdana" w:cs="Times New Roman"/>
          <w:sz w:val="20"/>
          <w:szCs w:val="20"/>
          <w:lang w:eastAsia="bg-BG"/>
        </w:rPr>
        <w:t>Професионалистите по здравни грижи и другите м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>едицински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пециалисти са 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44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523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от които 28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570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медицински сестри и 3 </w:t>
      </w:r>
      <w:r w:rsidRPr="00540852">
        <w:rPr>
          <w:rFonts w:ascii="Verdana" w:eastAsia="Times New Roman" w:hAnsi="Verdana" w:cs="Times New Roman"/>
          <w:sz w:val="20"/>
          <w:szCs w:val="20"/>
          <w:lang w:val="ru-RU" w:eastAsia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53</w:t>
      </w:r>
      <w:r w:rsidRPr="0054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акушерки. </w:t>
      </w:r>
    </w:p>
    <w:p w14:paraId="14DFEB22" w14:textId="77777777" w:rsidR="00393721" w:rsidRPr="008335A0" w:rsidRDefault="00AA6E83" w:rsidP="00195374">
      <w:pPr>
        <w:pStyle w:val="ListParagraph"/>
        <w:autoSpaceDE w:val="0"/>
        <w:autoSpaceDN w:val="0"/>
        <w:adjustRightInd w:val="0"/>
        <w:spacing w:before="160" w:after="160" w:line="360" w:lineRule="auto"/>
        <w:ind w:left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Таблица 2. </w:t>
      </w:r>
      <w:r w:rsidR="00393721" w:rsidRPr="008335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Медицински персонал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00"/>
        <w:gridCol w:w="1200"/>
        <w:gridCol w:w="1200"/>
        <w:gridCol w:w="1200"/>
      </w:tblGrid>
      <w:tr w:rsidR="00393721" w:rsidRPr="00032B12" w14:paraId="5D42E891" w14:textId="77777777" w:rsidTr="00650708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4FB" w14:textId="74FCA172" w:rsidR="00393721" w:rsidRPr="00650708" w:rsidRDefault="00650708" w:rsidP="0074479E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65070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 xml:space="preserve">Медицински </w:t>
            </w:r>
            <w:r w:rsidR="0074479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A2C7" w14:textId="77777777" w:rsidR="00393721" w:rsidRPr="00032B12" w:rsidRDefault="00393721" w:rsidP="000452D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6DDB" w14:textId="77777777" w:rsidR="00393721" w:rsidRPr="00032B12" w:rsidRDefault="00393721" w:rsidP="000452D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41ED" w14:textId="77777777" w:rsidR="00393721" w:rsidRPr="00032B12" w:rsidRDefault="00393721" w:rsidP="000452D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2FF" w14:textId="77777777" w:rsidR="00393721" w:rsidRPr="00032B12" w:rsidRDefault="00393721" w:rsidP="000452D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</w:tr>
      <w:tr w:rsidR="00393721" w:rsidRPr="00032B12" w14:paraId="02E690DB" w14:textId="77777777" w:rsidTr="000452D7">
        <w:trPr>
          <w:trHeight w:val="58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EAE6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6CCB" w14:textId="77777777" w:rsidR="00393721" w:rsidRPr="00032B12" w:rsidRDefault="00393721" w:rsidP="000452D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FAD" w14:textId="77777777" w:rsidR="00393721" w:rsidRPr="00032B12" w:rsidRDefault="00393721" w:rsidP="000452D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на 10 000 души от населението</w:t>
            </w:r>
          </w:p>
        </w:tc>
      </w:tr>
      <w:tr w:rsidR="00393721" w:rsidRPr="00032B12" w14:paraId="11042461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D17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Лекари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9A7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29599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488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AF94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45.9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A970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46.4</w:t>
            </w:r>
          </w:p>
        </w:tc>
      </w:tr>
      <w:tr w:rsidR="00393721" w:rsidRPr="00032B12" w14:paraId="32AD6FF9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5EC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Лекари по дентална медицина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60C6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774D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A9F9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AFF7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11.8</w:t>
            </w:r>
          </w:p>
        </w:tc>
      </w:tr>
      <w:tr w:rsidR="00393721" w:rsidRPr="00032B12" w14:paraId="056DA546" w14:textId="77777777" w:rsidTr="00D36C09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3BF" w14:textId="6FC42FCF" w:rsidR="00393721" w:rsidRPr="00032B12" w:rsidRDefault="0074479E" w:rsidP="0074479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Професионалисти по здравни грижи и други медицински специалисти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A62" w14:textId="77777777" w:rsidR="00393721" w:rsidRPr="00032B12" w:rsidRDefault="00393721" w:rsidP="00D36C0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44493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FCD4" w14:textId="77777777" w:rsidR="00393721" w:rsidRPr="00032B12" w:rsidRDefault="00393721" w:rsidP="00D36C0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44523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8F2" w14:textId="77777777" w:rsidR="00393721" w:rsidRPr="00032B12" w:rsidRDefault="00393721" w:rsidP="00D36C0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69.0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4CEA" w14:textId="77777777" w:rsidR="00393721" w:rsidRPr="00032B12" w:rsidRDefault="00393721" w:rsidP="00D36C0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69.1</w:t>
            </w:r>
          </w:p>
        </w:tc>
      </w:tr>
      <w:tr w:rsidR="00393721" w:rsidRPr="00032B12" w14:paraId="272744CC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1012" w14:textId="77777777" w:rsidR="00393721" w:rsidRPr="00032B12" w:rsidRDefault="00393721" w:rsidP="00032B12">
            <w:pPr>
              <w:ind w:firstLine="20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Фелдшери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1BC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020D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94DF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1B6E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2.7</w:t>
            </w:r>
          </w:p>
        </w:tc>
      </w:tr>
      <w:tr w:rsidR="00393721" w:rsidRPr="00032B12" w14:paraId="23763809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713" w14:textId="77777777" w:rsidR="00393721" w:rsidRPr="00032B12" w:rsidRDefault="00393721" w:rsidP="00032B12">
            <w:pPr>
              <w:ind w:firstLineChars="128" w:firstLine="20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Акушерки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29E2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B5F7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B008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DA94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5.0</w:t>
            </w:r>
          </w:p>
        </w:tc>
      </w:tr>
      <w:tr w:rsidR="00393721" w:rsidRPr="00032B12" w14:paraId="78463F07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63B3" w14:textId="77777777" w:rsidR="00393721" w:rsidRPr="00032B12" w:rsidRDefault="00393721" w:rsidP="00032B12">
            <w:pPr>
              <w:ind w:firstLineChars="128" w:firstLine="20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Медицински сестри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86DE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28827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DF5E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28570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0892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44.7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057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44.3</w:t>
            </w:r>
          </w:p>
        </w:tc>
      </w:tr>
      <w:tr w:rsidR="00393721" w:rsidRPr="00032B12" w14:paraId="7454934F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CF0" w14:textId="77777777" w:rsidR="00393721" w:rsidRPr="00032B12" w:rsidRDefault="00393721" w:rsidP="00032B12">
            <w:pPr>
              <w:ind w:firstLine="20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Лаборанти (медицински и рентгенови)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C485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FA48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F6F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903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9.4</w:t>
            </w:r>
          </w:p>
        </w:tc>
      </w:tr>
      <w:tr w:rsidR="00393721" w:rsidRPr="00032B12" w14:paraId="376CA6CD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3B34" w14:textId="77777777" w:rsidR="00393721" w:rsidRPr="00032B12" w:rsidRDefault="00393721" w:rsidP="00032B12">
            <w:pPr>
              <w:ind w:firstLine="20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Зъботехници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D53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AE20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EB94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A18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2.6</w:t>
            </w:r>
          </w:p>
        </w:tc>
      </w:tr>
      <w:tr w:rsidR="00393721" w:rsidRPr="00032B12" w14:paraId="4B7630CC" w14:textId="77777777" w:rsidTr="00156F89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885" w14:textId="26A6960E" w:rsidR="00393721" w:rsidRPr="00032B12" w:rsidRDefault="00393721" w:rsidP="00156F89">
            <w:pPr>
              <w:ind w:left="20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Други </w:t>
            </w:r>
            <w:r w:rsidR="001D6E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професионалисти и </w:t>
            </w: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медицински специалисти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3C30" w14:textId="77777777" w:rsidR="00393721" w:rsidRPr="00032B12" w:rsidRDefault="00393721" w:rsidP="00156F8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B710" w14:textId="77777777" w:rsidR="00393721" w:rsidRPr="00032B12" w:rsidRDefault="00393721" w:rsidP="00156F8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814" w14:textId="77777777" w:rsidR="00393721" w:rsidRPr="00032B12" w:rsidRDefault="00393721" w:rsidP="00156F8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1A4" w14:textId="77777777" w:rsidR="00393721" w:rsidRPr="00032B12" w:rsidRDefault="00393721" w:rsidP="00156F8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5.0</w:t>
            </w:r>
          </w:p>
        </w:tc>
      </w:tr>
      <w:tr w:rsidR="00393721" w:rsidRPr="00032B12" w14:paraId="151C25EC" w14:textId="77777777" w:rsidTr="000452D7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DFFF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Население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03F7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FBC4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4A4D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303" w14:textId="77777777" w:rsidR="00393721" w:rsidRPr="00032B12" w:rsidRDefault="00393721" w:rsidP="000452D7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393721" w:rsidRPr="00032B12" w14:paraId="3631AA16" w14:textId="77777777" w:rsidTr="000452D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251" w14:textId="77777777" w:rsidR="00393721" w:rsidRPr="00032B12" w:rsidRDefault="00393721" w:rsidP="00032B12">
            <w:pPr>
              <w:ind w:firstLineChars="128" w:firstLine="20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На един лекар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77D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5D8" w14:textId="77777777" w:rsidR="00393721" w:rsidRPr="00032B12" w:rsidRDefault="00393721" w:rsidP="00576904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</w:t>
            </w:r>
            <w:r w:rsidR="00576904"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3220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102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</w:t>
            </w:r>
          </w:p>
        </w:tc>
      </w:tr>
      <w:tr w:rsidR="00393721" w:rsidRPr="00032B12" w14:paraId="25F41EEC" w14:textId="77777777" w:rsidTr="000452D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819" w14:textId="77777777" w:rsidR="00393721" w:rsidRPr="00032B12" w:rsidRDefault="00393721" w:rsidP="00032B12">
            <w:pPr>
              <w:ind w:firstLineChars="128" w:firstLine="20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На един лекар по дентална медицина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0335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712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602D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9B1B" w14:textId="77777777" w:rsidR="00393721" w:rsidRPr="00032B12" w:rsidRDefault="00393721" w:rsidP="000452D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32B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</w:t>
            </w:r>
          </w:p>
        </w:tc>
      </w:tr>
    </w:tbl>
    <w:p w14:paraId="2152FB7C" w14:textId="77777777" w:rsidR="00393721" w:rsidRPr="00540852" w:rsidRDefault="00393721" w:rsidP="00393721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07867CEC" w14:textId="3A45BF45" w:rsidR="00393721" w:rsidRPr="008335A0" w:rsidRDefault="00393721" w:rsidP="00256AC8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В заведенията за болнична помощ (болници и центрове със стационар) практикуват 17 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825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лекари и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37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лекари по дентална медицина. </w:t>
      </w:r>
      <w:r w:rsidR="002C1C53">
        <w:rPr>
          <w:rFonts w:ascii="Verdana" w:eastAsia="Times New Roman" w:hAnsi="Verdana" w:cs="Times New Roman"/>
          <w:sz w:val="20"/>
          <w:szCs w:val="20"/>
          <w:lang w:eastAsia="bg-BG"/>
        </w:rPr>
        <w:t>Професионалистите по здравни грижи и другите м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едицински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пециалисти са 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928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, от които 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977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медицински сестри.</w:t>
      </w:r>
    </w:p>
    <w:p w14:paraId="4D73180A" w14:textId="69D99B6C" w:rsidR="00393721" w:rsidRPr="008335A0" w:rsidRDefault="00393721" w:rsidP="00256AC8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заведенията за </w:t>
      </w:r>
      <w:proofErr w:type="spellStart"/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извънболнична</w:t>
      </w:r>
      <w:proofErr w:type="spellEnd"/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помощ на основен договор работят 10 </w:t>
      </w:r>
      <w:r w:rsidRPr="008335A0">
        <w:rPr>
          <w:rFonts w:ascii="Verdana" w:eastAsia="Times New Roman" w:hAnsi="Verdana" w:cs="Times New Roman"/>
          <w:sz w:val="20"/>
          <w:szCs w:val="20"/>
          <w:lang w:val="ru-RU" w:eastAsia="bg-BG"/>
        </w:rPr>
        <w:t>0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33</w:t>
      </w:r>
      <w:r w:rsidRPr="008335A0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лекари 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7 183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лекари по дентална медицина, включително всички лекари (6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554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 и лекари по дентална медицина (6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583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), които работят в индивидуални и групови практики по договор с НЗОК.</w:t>
      </w:r>
      <w:r w:rsidRPr="008335A0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856C5D">
        <w:rPr>
          <w:rFonts w:ascii="Verdana" w:eastAsia="Times New Roman" w:hAnsi="Verdana" w:cs="Times New Roman"/>
          <w:sz w:val="20"/>
          <w:szCs w:val="20"/>
          <w:lang w:val="ru-RU" w:eastAsia="bg-BG"/>
        </w:rPr>
        <w:t>Професионалистите по здравни грижи и другите м</w:t>
      </w:r>
      <w:proofErr w:type="spellStart"/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едицински</w:t>
      </w:r>
      <w:proofErr w:type="spellEnd"/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специалисти са 6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948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като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55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тях работят на основен договор в амбулатории за индивидуални и групови практики за здравни грижи.</w:t>
      </w:r>
    </w:p>
    <w:p w14:paraId="4216CFD1" w14:textId="489515AF" w:rsidR="007211A5" w:rsidRPr="00EE67C2" w:rsidRDefault="00393721" w:rsidP="00F50329">
      <w:pPr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EE67C2">
        <w:rPr>
          <w:rFonts w:ascii="Verdana" w:eastAsia="Times New Roman" w:hAnsi="Verdana" w:cs="Times New Roman"/>
          <w:sz w:val="20"/>
          <w:szCs w:val="20"/>
          <w:lang w:eastAsia="bg-BG"/>
        </w:rPr>
        <w:t>В други лечебни и здравни заведения (вкл. детски ясли и кабинети в училища) на основен договор работят 2 053 лекари и 387 лекари по дентална медицина.</w:t>
      </w:r>
      <w:r w:rsidR="007211A5" w:rsidRPr="00EE67C2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br w:type="page"/>
      </w:r>
    </w:p>
    <w:p w14:paraId="002F5FAB" w14:textId="77777777" w:rsidR="00393721" w:rsidRPr="008335A0" w:rsidRDefault="00393721" w:rsidP="0015102D">
      <w:pPr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8335A0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lastRenderedPageBreak/>
        <w:t>Практикуващи лекари по пол и възраст</w:t>
      </w:r>
    </w:p>
    <w:p w14:paraId="3475D553" w14:textId="77777777" w:rsidR="00393721" w:rsidRPr="008335A0" w:rsidRDefault="00393721" w:rsidP="00256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Към 31 декември 202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разпределението на практикуващите лекари по пол е следното - мъжете са 13 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260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(44.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%), а жените - 16 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651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(55.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7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%). </w:t>
      </w:r>
    </w:p>
    <w:p w14:paraId="27859F75" w14:textId="0BD8BC9D" w:rsidR="00393721" w:rsidRPr="008335A0" w:rsidRDefault="00393721" w:rsidP="00256AC8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структурата на лекарите по възраст най-голям е броят и делът им във възрастовата група 55 - 64 години </w:t>
      </w:r>
      <w:r w:rsidR="00BA4B5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9 755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или 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32.6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На второ място е групата на най-възрастните лекари (на 65 и повече години) </w:t>
      </w:r>
      <w:r w:rsidR="00BA4B5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6 545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или </w:t>
      </w:r>
      <w:r w:rsidRPr="002F42EC">
        <w:rPr>
          <w:rFonts w:ascii="Verdana" w:eastAsia="Times New Roman" w:hAnsi="Verdana" w:cs="Times New Roman"/>
          <w:sz w:val="20"/>
          <w:szCs w:val="20"/>
          <w:lang w:val="ru-RU" w:eastAsia="bg-BG"/>
        </w:rPr>
        <w:t>21.9</w:t>
      </w:r>
      <w:r w:rsidRPr="008335A0">
        <w:rPr>
          <w:rFonts w:ascii="Verdana" w:eastAsia="Times New Roman" w:hAnsi="Verdana" w:cs="Times New Roman"/>
          <w:sz w:val="20"/>
          <w:szCs w:val="20"/>
          <w:lang w:val="ru-RU" w:eastAsia="bg-BG"/>
        </w:rPr>
        <w:t>%.</w:t>
      </w:r>
      <w:r w:rsidRPr="008335A0">
        <w:rPr>
          <w:rFonts w:ascii="Verdana" w:eastAsia="Times New Roman" w:hAnsi="Verdana" w:cs="Times New Roman"/>
          <w:color w:val="FF0000"/>
          <w:sz w:val="20"/>
          <w:szCs w:val="20"/>
          <w:lang w:val="ru-RU" w:eastAsia="bg-BG"/>
        </w:rPr>
        <w:t xml:space="preserve"> 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Младите практикуващи лекари</w:t>
      </w:r>
      <w:r w:rsidR="00BA4B57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възраст до 35 години, са </w:t>
      </w:r>
      <w:r w:rsidRPr="008335A0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5 </w:t>
      </w:r>
      <w:r w:rsidRPr="00393721">
        <w:rPr>
          <w:rFonts w:ascii="Verdana" w:eastAsia="Times New Roman" w:hAnsi="Verdana" w:cs="Times New Roman"/>
          <w:sz w:val="20"/>
          <w:szCs w:val="20"/>
          <w:lang w:val="ru-RU" w:eastAsia="bg-BG"/>
        </w:rPr>
        <w:t>457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или </w:t>
      </w:r>
      <w:r w:rsidRPr="00393721">
        <w:rPr>
          <w:rFonts w:ascii="Verdana" w:eastAsia="Times New Roman" w:hAnsi="Verdana" w:cs="Times New Roman"/>
          <w:sz w:val="20"/>
          <w:szCs w:val="20"/>
          <w:lang w:val="ru-RU" w:eastAsia="bg-BG"/>
        </w:rPr>
        <w:t>18.2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>%. (</w:t>
      </w:r>
      <w:r w:rsidR="00BA4B5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8335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3) </w:t>
      </w:r>
    </w:p>
    <w:p w14:paraId="4C43063F" w14:textId="30FECC2F" w:rsidR="00393721" w:rsidRDefault="00FF3EF5" w:rsidP="00195374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Таблица 3. </w:t>
      </w:r>
      <w:r w:rsidR="00393721" w:rsidRPr="008335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Практикуващи лекари по пол и възрастови групи към 31.12.20</w:t>
      </w:r>
      <w:r w:rsidR="00393721" w:rsidRPr="008335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>2</w:t>
      </w:r>
      <w:r w:rsidR="00393721" w:rsidRPr="002F42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>3</w:t>
      </w:r>
      <w:r w:rsidR="000271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 </w:t>
      </w:r>
      <w:r w:rsidR="00393721" w:rsidRPr="008335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година</w:t>
      </w:r>
    </w:p>
    <w:tbl>
      <w:tblPr>
        <w:tblW w:w="83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887"/>
        <w:gridCol w:w="1491"/>
        <w:gridCol w:w="816"/>
        <w:gridCol w:w="1403"/>
        <w:gridCol w:w="869"/>
        <w:gridCol w:w="1414"/>
      </w:tblGrid>
      <w:tr w:rsidR="00393721" w:rsidRPr="00FF3EF5" w14:paraId="22FBB14D" w14:textId="77777777" w:rsidTr="00FF3EF5">
        <w:trPr>
          <w:trHeight w:val="294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850" w14:textId="77777777" w:rsidR="00393721" w:rsidRPr="00FF3EF5" w:rsidRDefault="00393721" w:rsidP="000452D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Възраст (в навършени години)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E58" w14:textId="77777777" w:rsidR="00393721" w:rsidRPr="00FF3EF5" w:rsidRDefault="00393721" w:rsidP="000452D7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22B" w14:textId="77777777" w:rsidR="00393721" w:rsidRPr="00FF3EF5" w:rsidRDefault="00393721" w:rsidP="000452D7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Мъже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169" w14:textId="77777777" w:rsidR="00393721" w:rsidRPr="00FF3EF5" w:rsidRDefault="00393721" w:rsidP="000452D7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Жени</w:t>
            </w:r>
          </w:p>
        </w:tc>
      </w:tr>
      <w:tr w:rsidR="00393721" w:rsidRPr="00FF3EF5" w14:paraId="32DD2C9F" w14:textId="77777777" w:rsidTr="00FF3EF5">
        <w:trPr>
          <w:trHeight w:val="500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ADBE" w14:textId="77777777" w:rsidR="00393721" w:rsidRPr="00FF3EF5" w:rsidRDefault="00393721" w:rsidP="000452D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1289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FAAC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относителен дял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5759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DA61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относителен дял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AE67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863A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относителен дял</w:t>
            </w:r>
          </w:p>
        </w:tc>
      </w:tr>
      <w:tr w:rsidR="00393721" w:rsidRPr="00FF3EF5" w14:paraId="77ADF01D" w14:textId="77777777" w:rsidTr="00FF3EF5">
        <w:trPr>
          <w:trHeight w:val="294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986" w14:textId="77777777" w:rsidR="00393721" w:rsidRPr="00FF3EF5" w:rsidRDefault="00393721" w:rsidP="000452D7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ABE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29</w:t>
            </w:r>
            <w:r w:rsidR="00393721"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911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EE5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100.0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B68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13</w:t>
            </w:r>
            <w:r w:rsidR="00393721"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260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E40E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100.0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CDAB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16</w:t>
            </w:r>
            <w:r w:rsidR="00393721"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651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820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100.0</w:t>
            </w:r>
          </w:p>
        </w:tc>
      </w:tr>
      <w:tr w:rsidR="00393721" w:rsidRPr="00FF3EF5" w14:paraId="3A421F5C" w14:textId="77777777" w:rsidTr="00FF3EF5">
        <w:trPr>
          <w:trHeight w:val="294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88D" w14:textId="77777777" w:rsidR="00393721" w:rsidRPr="00FF3EF5" w:rsidRDefault="00393721" w:rsidP="000452D7">
            <w:pPr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до 35 години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A857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5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457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9C1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18.2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D89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2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43D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18.0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F55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073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4BB" w14:textId="77777777" w:rsidR="00393721" w:rsidRPr="00FF3EF5" w:rsidRDefault="00393721" w:rsidP="0057690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18.</w:t>
            </w:r>
            <w:r w:rsidR="00576904"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4</w:t>
            </w:r>
          </w:p>
        </w:tc>
      </w:tr>
      <w:tr w:rsidR="00393721" w:rsidRPr="00FF3EF5" w14:paraId="44603234" w14:textId="77777777" w:rsidTr="00FF3EF5">
        <w:trPr>
          <w:trHeight w:val="294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375" w14:textId="77777777" w:rsidR="00393721" w:rsidRPr="00FF3EF5" w:rsidRDefault="00393721" w:rsidP="000452D7">
            <w:pPr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35 - 44 години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EA7A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BED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11.4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004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562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16C7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11.8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BB85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E05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11.1</w:t>
            </w:r>
          </w:p>
        </w:tc>
      </w:tr>
      <w:tr w:rsidR="00393721" w:rsidRPr="00FF3EF5" w14:paraId="3C7FE227" w14:textId="77777777" w:rsidTr="00FF3EF5">
        <w:trPr>
          <w:trHeight w:val="294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D4F" w14:textId="77777777" w:rsidR="00393721" w:rsidRPr="00FF3EF5" w:rsidRDefault="00393721" w:rsidP="000452D7">
            <w:pPr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45 - 54 години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011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4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742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0C6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15.9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967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2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064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565A" w14:textId="77777777" w:rsidR="00393721" w:rsidRPr="00FF3EF5" w:rsidRDefault="00393721" w:rsidP="003B0323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val="en-US"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15.</w:t>
            </w:r>
            <w:r w:rsidR="003B0323" w:rsidRPr="00FF3EF5">
              <w:rPr>
                <w:rFonts w:ascii="Verdana" w:eastAsia="Times New Roman" w:hAnsi="Verdana" w:cs="Calibri"/>
                <w:sz w:val="16"/>
                <w:szCs w:val="16"/>
                <w:lang w:val="en-US" w:eastAsia="bg-BG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4E6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2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678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5A5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16.1</w:t>
            </w:r>
          </w:p>
        </w:tc>
      </w:tr>
      <w:tr w:rsidR="00393721" w:rsidRPr="00FF3EF5" w14:paraId="3B82773C" w14:textId="77777777" w:rsidTr="00FF3EF5">
        <w:trPr>
          <w:trHeight w:val="294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BA3" w14:textId="77777777" w:rsidR="00393721" w:rsidRPr="00FF3EF5" w:rsidRDefault="00393721" w:rsidP="000452D7">
            <w:pPr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55 - 64 години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B0C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9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755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2FD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32.6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6A0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4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615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590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34.8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C31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5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D90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30.9</w:t>
            </w:r>
          </w:p>
        </w:tc>
      </w:tr>
      <w:tr w:rsidR="00393721" w:rsidRPr="00FF3EF5" w14:paraId="44E1E581" w14:textId="77777777" w:rsidTr="00FF3EF5">
        <w:trPr>
          <w:trHeight w:val="294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BEF" w14:textId="77777777" w:rsidR="00393721" w:rsidRPr="00FF3EF5" w:rsidRDefault="00393721" w:rsidP="000452D7">
            <w:pPr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65 и повече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D014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6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545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30FB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21.9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0358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2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635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3D96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19.9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535" w14:textId="77777777" w:rsidR="00393721" w:rsidRPr="00FF3EF5" w:rsidRDefault="00576904" w:rsidP="000452D7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</w:t>
            </w:r>
            <w:r w:rsidR="00393721" w:rsidRPr="00FF3EF5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910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86B" w14:textId="77777777" w:rsidR="00393721" w:rsidRPr="00FF3EF5" w:rsidRDefault="00393721" w:rsidP="000452D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FF3EF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23.5</w:t>
            </w:r>
          </w:p>
        </w:tc>
      </w:tr>
    </w:tbl>
    <w:p w14:paraId="292E6E64" w14:textId="77777777" w:rsidR="00256AC8" w:rsidRDefault="00256AC8" w:rsidP="00256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54DB4B6" w14:textId="77777777" w:rsidR="00393721" w:rsidRPr="00840B2C" w:rsidRDefault="00393721" w:rsidP="00256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Разпределението на практикуващите лекари по възрастови групи и видове заведения (</w:t>
      </w:r>
      <w:r w:rsidR="000C183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</w:t>
      </w:r>
      <w:r w:rsidR="00E21E01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 показва, че най-голям е делът на младите лекари на основен договор в болнични заведения (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26.2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%), а най-малък 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-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заведенията за </w:t>
      </w:r>
      <w:proofErr w:type="spellStart"/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извънболнична</w:t>
      </w:r>
      <w:proofErr w:type="spellEnd"/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помощ (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4.4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%). Повече от две трети от лекарите на основен договор в заведенията за доболнична помощ са на възраст над 55 години (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73.2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%).  </w:t>
      </w:r>
    </w:p>
    <w:p w14:paraId="411AA7C6" w14:textId="77777777" w:rsidR="00393721" w:rsidRDefault="00393721" w:rsidP="00195374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840B2C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Фиг. </w:t>
      </w:r>
      <w:r w:rsidR="00E21E01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840B2C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. Практикуващи лекари на основен договор по видове заведения и възрастови групи към 31.12.202</w:t>
      </w:r>
      <w:r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3</w:t>
      </w:r>
      <w:r w:rsidRPr="00840B2C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година</w:t>
      </w:r>
    </w:p>
    <w:p w14:paraId="36A321EF" w14:textId="77777777" w:rsidR="00393721" w:rsidRDefault="00393721" w:rsidP="00393721">
      <w:pPr>
        <w:autoSpaceDE w:val="0"/>
        <w:autoSpaceDN w:val="0"/>
        <w:adjustRightInd w:val="0"/>
        <w:ind w:firstLine="142"/>
        <w:jc w:val="center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2B3397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693F8630" wp14:editId="450BBD79">
            <wp:extent cx="5189220" cy="2584174"/>
            <wp:effectExtent l="0" t="0" r="0" b="698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59A0D9" w14:textId="77777777" w:rsidR="004451E3" w:rsidRPr="00840B2C" w:rsidRDefault="004451E3" w:rsidP="008F1AB4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40B2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Лекари по специалности</w:t>
      </w:r>
    </w:p>
    <w:p w14:paraId="287C6233" w14:textId="77777777" w:rsidR="004451E3" w:rsidRPr="00840B2C" w:rsidRDefault="004451E3" w:rsidP="008F1AB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В структурата на лекарите по специалности</w:t>
      </w:r>
      <w:r w:rsidRPr="00840B2C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най-голям 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делът на общопрактикуващите - 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3 </w:t>
      </w:r>
      <w:r>
        <w:rPr>
          <w:rFonts w:ascii="Verdana" w:eastAsia="Μοντέρνα" w:hAnsi="Verdana" w:cs="Times New Roman"/>
          <w:sz w:val="20"/>
          <w:szCs w:val="20"/>
          <w:lang w:val="ru-RU" w:eastAsia="bg-BG"/>
        </w:rPr>
        <w:t>790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</w:t>
      </w:r>
      <w:r>
        <w:rPr>
          <w:rFonts w:ascii="Verdana" w:eastAsia="Μοντέρνα" w:hAnsi="Verdana" w:cs="Times New Roman"/>
          <w:sz w:val="20"/>
          <w:szCs w:val="20"/>
          <w:lang w:val="ru-RU" w:eastAsia="bg-BG"/>
        </w:rPr>
        <w:t>12.7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% от всички лекари в страната.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На второ място се нареждат практикуващите кардиология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- 6.</w:t>
      </w:r>
      <w:r>
        <w:rPr>
          <w:rFonts w:ascii="Verdana" w:eastAsia="Μοντέρνα" w:hAnsi="Verdana" w:cs="Times New Roman"/>
          <w:sz w:val="20"/>
          <w:szCs w:val="20"/>
          <w:lang w:val="ru-RU" w:eastAsia="bg-BG"/>
        </w:rPr>
        <w:t>4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%, 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следвани от акушерство и гинекология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5.9%, анестезиология и интензивно лечение 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- 5.8%, 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хирургия 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>- 5.</w:t>
      </w:r>
      <w:r>
        <w:rPr>
          <w:rFonts w:ascii="Verdana" w:eastAsia="Μοντέρνα" w:hAnsi="Verdana" w:cs="Times New Roman"/>
          <w:sz w:val="20"/>
          <w:szCs w:val="20"/>
          <w:lang w:val="ru-RU" w:eastAsia="bg-BG"/>
        </w:rPr>
        <w:t>0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>%,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педиатрия -</w:t>
      </w:r>
      <w:r w:rsidRPr="00840B2C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4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val="ru-RU" w:eastAsia="bg-BG"/>
        </w:rPr>
        <w:t>8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% и нервни болести - 4.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40B2C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46D00F4D" w14:textId="77777777" w:rsidR="004451E3" w:rsidRPr="00840B2C" w:rsidRDefault="004451E3" w:rsidP="00176CCD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>Осигуреност с лекари</w:t>
      </w:r>
      <w:r w:rsidRPr="00840B2C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</w:t>
      </w: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>и лекари по дентална медицина</w:t>
      </w:r>
    </w:p>
    <w:p w14:paraId="36E7CF78" w14:textId="77777777" w:rsidR="004451E3" w:rsidRDefault="004451E3" w:rsidP="00256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Осигуреността с лекари в края на 20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общо за страната е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46.4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10 000 души от населението, а с лекари по дентална медицина 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-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11.8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</w:p>
    <w:p w14:paraId="760F07E8" w14:textId="0FFF7815" w:rsidR="004451E3" w:rsidRDefault="00176CCD" w:rsidP="00176CC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Осигуреността</w:t>
      </w:r>
      <w:r w:rsidRPr="00840B2C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2"/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населението с лекари по области варира от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25.5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76.7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</w:t>
      </w:r>
      <w:r w:rsidR="00BA4B57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000 души, като най-висока е в областите, в чиито центрове има медицински университети и университетски болници (</w:t>
      </w:r>
      <w:r w:rsidR="008331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</w:t>
      </w:r>
      <w:r w:rsidR="008331BC"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 - Плевен (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76.7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10 000 души от населението), София (столица) (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5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6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.9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,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Пловдив (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5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6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.3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 и Варна (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54.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5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Най-нисък е показателят за областите Кърджали (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5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5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10 000 души от населението), Разград (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29.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0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Ямбол (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29.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) и Добрич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30.1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7378CC37" w14:textId="48CB35C5" w:rsidR="004451E3" w:rsidRPr="00840B2C" w:rsidRDefault="004451E3" w:rsidP="00195374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="004C48E9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3</w:t>
      </w: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>. Осигуреност с лекари на 10 000 души от населението</w:t>
      </w:r>
      <w:r w:rsidR="00027170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>към 31.12.202</w:t>
      </w:r>
      <w:r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3</w:t>
      </w: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по области</w:t>
      </w:r>
    </w:p>
    <w:p w14:paraId="7C3F60A0" w14:textId="77777777" w:rsidR="00171C36" w:rsidRDefault="009B78D4" w:rsidP="002B3397">
      <w:pPr>
        <w:spacing w:line="360" w:lineRule="auto"/>
        <w:ind w:left="-142" w:hanging="142"/>
        <w:jc w:val="center"/>
      </w:pPr>
      <w:r>
        <w:rPr>
          <w:noProof/>
          <w:lang w:eastAsia="bg-BG"/>
        </w:rPr>
        <w:drawing>
          <wp:inline distT="0" distB="0" distL="0" distR="0" wp14:anchorId="6E70A338" wp14:editId="72329A7F">
            <wp:extent cx="5321300" cy="3220278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66AC3B3" w14:textId="77777777" w:rsidR="004451E3" w:rsidRDefault="004451E3" w:rsidP="002B3397">
      <w:pPr>
        <w:spacing w:after="6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Осигуреността</w:t>
      </w:r>
      <w:r w:rsidRPr="00840B2C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3"/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лекари по дентална медицина за страната е 11.8 на 10 000 души от населението. Най-висок е показателят за областите Пловдив (18.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10 000 души), 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Варна (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16.1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),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София 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(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столица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) (</w:t>
      </w:r>
      <w:r w:rsidR="001D782A" w:rsidRPr="001D782A">
        <w:rPr>
          <w:rFonts w:ascii="Verdana" w:eastAsia="Times New Roman" w:hAnsi="Verdana" w:cs="Times New Roman"/>
          <w:sz w:val="20"/>
          <w:szCs w:val="20"/>
          <w:lang w:val="ru-RU" w:eastAsia="bg-BG"/>
        </w:rPr>
        <w:t>14.9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) и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Перник 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(</w:t>
      </w:r>
      <w:r w:rsidR="001D782A" w:rsidRPr="001D782A">
        <w:rPr>
          <w:rFonts w:ascii="Verdana" w:eastAsia="Times New Roman" w:hAnsi="Verdana" w:cs="Times New Roman"/>
          <w:sz w:val="20"/>
          <w:szCs w:val="20"/>
          <w:lang w:val="ru-RU" w:eastAsia="bg-BG"/>
        </w:rPr>
        <w:t>13.7</w:t>
      </w:r>
      <w:r w:rsidRPr="00840B2C">
        <w:rPr>
          <w:rFonts w:ascii="Verdana" w:eastAsia="Times New Roman" w:hAnsi="Verdana" w:cs="Times New Roman"/>
          <w:sz w:val="20"/>
          <w:szCs w:val="20"/>
          <w:lang w:val="ru-RU" w:eastAsia="bg-BG"/>
        </w:rPr>
        <w:t>)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. Най-ниска е осигуреността на населението с лекари по дентална медицина в областите София (5.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),</w:t>
      </w:r>
      <w:r w:rsidR="001D782A" w:rsidRPr="001D78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D78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Силистра </w:t>
      </w:r>
      <w:r w:rsidR="001D782A" w:rsidRPr="00840B2C">
        <w:rPr>
          <w:rFonts w:ascii="Verdana" w:eastAsia="Times New Roman" w:hAnsi="Verdana" w:cs="Times New Roman"/>
          <w:sz w:val="20"/>
          <w:szCs w:val="20"/>
          <w:lang w:eastAsia="bg-BG"/>
        </w:rPr>
        <w:t>(6.</w:t>
      </w:r>
      <w:r w:rsidR="001D782A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1D782A" w:rsidRPr="00840B2C"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  <w:r w:rsidR="001D782A" w:rsidRPr="001D782A">
        <w:rPr>
          <w:rFonts w:ascii="Verdana" w:eastAsia="Times New Roman" w:hAnsi="Verdana" w:cs="Times New Roman"/>
          <w:sz w:val="20"/>
          <w:szCs w:val="20"/>
          <w:lang w:val="ru-RU" w:eastAsia="bg-BG"/>
        </w:rPr>
        <w:t>,</w:t>
      </w:r>
      <w:r w:rsidR="001D782A"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Разград (6.</w:t>
      </w:r>
      <w:r w:rsidR="001D782A" w:rsidRPr="001D782A">
        <w:rPr>
          <w:rFonts w:ascii="Verdana" w:eastAsia="Times New Roman" w:hAnsi="Verdana" w:cs="Times New Roman"/>
          <w:sz w:val="20"/>
          <w:szCs w:val="20"/>
          <w:lang w:val="ru-RU" w:eastAsia="bg-BG"/>
        </w:rPr>
        <w:t>5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 и Монтана (6.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10 000 души от населението) (</w:t>
      </w:r>
      <w:r w:rsidR="00B540B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</w:t>
      </w:r>
      <w:r w:rsidR="004C48E9">
        <w:rPr>
          <w:rFonts w:ascii="Verdana" w:eastAsia="Times New Roman" w:hAnsi="Verdana" w:cs="Times New Roman"/>
          <w:sz w:val="20"/>
          <w:szCs w:val="20"/>
          <w:lang w:val="ru-RU" w:eastAsia="bg-BG"/>
        </w:rPr>
        <w:t>4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487F1B7" w14:textId="003D4582" w:rsidR="004451E3" w:rsidRPr="00840B2C" w:rsidRDefault="004451E3" w:rsidP="00195374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="004C48E9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4</w:t>
      </w:r>
      <w:r w:rsidRPr="00840B2C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840B2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40B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Осигуреност с лекари по дентална медицина на 10 000 души от</w:t>
      </w:r>
      <w:r w:rsidR="007A0D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840B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населението към 31.12.202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>3</w:t>
      </w:r>
      <w:r w:rsidRPr="00840B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г. по области</w:t>
      </w:r>
    </w:p>
    <w:p w14:paraId="7E50EBE4" w14:textId="77777777" w:rsidR="004451E3" w:rsidRPr="00840B2C" w:rsidRDefault="009B78D4" w:rsidP="003C152A">
      <w:pPr>
        <w:ind w:left="-284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A5DDD6B" wp14:editId="1E041F46">
            <wp:extent cx="5634681" cy="3698789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176980C" w14:textId="77777777" w:rsidR="004451E3" w:rsidRPr="00840B2C" w:rsidRDefault="004451E3" w:rsidP="004451E3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DB3AE8B" w14:textId="77777777" w:rsidR="00F51F8E" w:rsidRDefault="00F51F8E">
      <w:pPr>
        <w:rPr>
          <w:lang w:val="ru-RU"/>
        </w:rPr>
      </w:pPr>
      <w:r>
        <w:rPr>
          <w:lang w:val="ru-RU"/>
        </w:rPr>
        <w:br w:type="page"/>
      </w:r>
      <w:bookmarkStart w:id="0" w:name="_GoBack"/>
      <w:bookmarkEnd w:id="0"/>
    </w:p>
    <w:p w14:paraId="313BEE74" w14:textId="77777777" w:rsidR="004451E3" w:rsidRPr="00840B2C" w:rsidRDefault="004451E3" w:rsidP="00195374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40B2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6337A2EB" w14:textId="77777777" w:rsidR="004451E3" w:rsidRPr="00AF697D" w:rsidRDefault="004451E3" w:rsidP="00275DA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757AB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Статистическото изследване на лечебните и здравните заведения осигурява информация за здравната мрежа по видове лечебни и здравни заведения и териториалното им разпределение, както и за медицинския персонал по специалности и категории. </w:t>
      </w:r>
      <w:r w:rsidRPr="006757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Провежда се в изпълнение на Регламент (ЕС) 2022/2294 на Комисията </w:t>
      </w:r>
      <w:r w:rsidRPr="006757AB">
        <w:rPr>
          <w:rFonts w:ascii="Verdana" w:eastAsia="Calibri" w:hAnsi="Verdana" w:cs="Times New Roman"/>
          <w:sz w:val="20"/>
          <w:szCs w:val="20"/>
        </w:rPr>
        <w:t>по отношение на статистиката за заведенията за здравно обслужване, човешките ресурси в областта на здравното обслужване и използването на здравното обслужване,</w:t>
      </w: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F697D">
        <w:rPr>
          <w:rFonts w:ascii="Verdana" w:eastAsia="Μοντέρνα" w:hAnsi="Verdana" w:cs="Times New Roman"/>
          <w:sz w:val="20"/>
          <w:szCs w:val="20"/>
          <w:lang w:eastAsia="bg-BG"/>
        </w:rPr>
        <w:t>при стриктно спазване на заложените в нормативния документ дефиниции</w:t>
      </w: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6871F5D9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Данните от изследването се отнасят към 31.12. на съответната година. </w:t>
      </w:r>
    </w:p>
    <w:p w14:paraId="76F175EC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Легловият</w:t>
      </w:r>
      <w:proofErr w:type="spellEnd"/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фонд включва броя на действително разкритите и временно закритите за срок по-малък от шест месеца легла, но не включва временно разкритите легла.</w:t>
      </w:r>
    </w:p>
    <w:p w14:paraId="2845D4C0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Място за краткотраен престой е специално определена в правилника за устройството, дейността и вътрешния ред на лечебното заведение за болнична помощ, обособена и обозначена площ/територия/пространство в клиника/отделение с легла или без легла за настаняване на пациента, специално съоръжена/о с необходимото битово и техническо оборудване за извършване на определени медицински дейности по диагностика и лечение, които изискват престой на пациента не по-дълъг от 12 часа.</w:t>
      </w:r>
    </w:p>
    <w:p w14:paraId="19FF8086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При анализ на данните за здравната мрежа трябва да се има предвид, че броят на заведенията и </w:t>
      </w:r>
      <w:proofErr w:type="spellStart"/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легловият</w:t>
      </w:r>
      <w:proofErr w:type="spellEnd"/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фонд се променят не само в резултат на разкриване и закриване на заведения, но и поради промени, свързани с преобразуване на заведенията от един вид в друг или обединяване на заведения.</w:t>
      </w:r>
    </w:p>
    <w:p w14:paraId="79F2660C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При анализиране на данните за осигуреност на населението с медицинска помощ по области трябва да се имат предвид специфичните особености на медицинското обслужване. Лечебните заведения не са свързани пряко само с обслужването на населението на едно населено място или община и достъпът до медицинска помощ е свободен. Голяма част от заведенията обслужват населението на една област или група общини, а специализираните заведения обслужват населението на няколко области. Заведенията с национален обхват, независимо от тяхното </w:t>
      </w:r>
      <w:proofErr w:type="spellStart"/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местонамиране</w:t>
      </w:r>
      <w:proofErr w:type="spellEnd"/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, обслужват населението на цялата страна.</w:t>
      </w:r>
    </w:p>
    <w:p w14:paraId="6341E49A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броя на медицинския персонал (физически лица) се включват практикуващите в лечебните и здравните заведения, независимо от ведомствената им подчиненост. Не са включени данни за работещите извън страната медицински специалисти и за тези, които не работят непосредствено в </w:t>
      </w: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>лечебните заведения - например във фармацевтичната промишленост.</w:t>
      </w:r>
    </w:p>
    <w:p w14:paraId="71EBC6BA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териториалното разпределение на медицинския персонал е приложено следното: медицинските специалисти, които работят в практики по договор с НЗОК, обслужващи повече от една област, респ. община, са включени в общия брой на </w:t>
      </w: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медицинските специалисти за страната (областта), но не са разпределени по области (общини). </w:t>
      </w:r>
    </w:p>
    <w:p w14:paraId="7D33C527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Разпределението на лекарите по специалности е в съответствие с Наредба № 1 от 22 януари 2015 г. на Министерството на здравеопазването (изм. и доп., ДВ, бр. </w:t>
      </w:r>
      <w:r w:rsidRPr="00AF697D">
        <w:rPr>
          <w:rFonts w:ascii="Verdana" w:eastAsia="Times New Roman" w:hAnsi="Verdana" w:cs="Times New Roman"/>
          <w:sz w:val="20"/>
          <w:szCs w:val="20"/>
          <w:lang w:val="ru-RU" w:eastAsia="bg-BG"/>
        </w:rPr>
        <w:t>51</w:t>
      </w: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13 юни 2023</w:t>
      </w:r>
      <w:r w:rsidRPr="00AF697D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>г.) и се отнася до практикуваната специалност. Лекарите, работещи в практики за специализирана медицинска помощ по договор с НЗОК, са разпределени по специалността, по която практикуват. В случай че работят по повече от една специалност, са включени в общия брой на лекарите, но не са разпределени по специалности.</w:t>
      </w:r>
    </w:p>
    <w:p w14:paraId="461F6579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>Показателите за осигуреност на населението с болнични легла и с медицински специалисти са изчислени с броя на населението в края на годината.</w:t>
      </w:r>
    </w:p>
    <w:p w14:paraId="3D84B9FC" w14:textId="77777777" w:rsidR="004451E3" w:rsidRPr="00AF697D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>Оценката за населението към 31.12.2022 г. отразява промените в броя и структурите на населението регистрирани при Преброяване 2021. В тази връзка е налице прекъсване в динамичния ред за всички коефициенти за 2022 година.</w:t>
      </w:r>
    </w:p>
    <w:p w14:paraId="27DFC906" w14:textId="1CF86453" w:rsidR="004451E3" w:rsidRPr="00195374" w:rsidRDefault="004451E3" w:rsidP="00275D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Повече информация и данни от изследването „Лечебни заведения за болнична и </w:t>
      </w:r>
      <w:proofErr w:type="spellStart"/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>извънболнична</w:t>
      </w:r>
      <w:proofErr w:type="spellEnd"/>
      <w:r w:rsidRPr="00AF69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помощ и здравни заведения“ </w:t>
      </w:r>
      <w:r w:rsidRPr="00AF697D">
        <w:rPr>
          <w:rFonts w:ascii="Verdana" w:eastAsia="Μοντέρνα" w:hAnsi="Verdana" w:cs="Times New Roman"/>
          <w:sz w:val="20"/>
          <w:szCs w:val="20"/>
          <w:lang w:eastAsia="bg-BG"/>
        </w:rPr>
        <w:t>са достъпни в Информационна система „</w:t>
      </w:r>
      <w:proofErr w:type="spellStart"/>
      <w:r w:rsidRPr="00AF697D">
        <w:rPr>
          <w:rFonts w:ascii="Verdana" w:eastAsia="Μοντέρνα" w:hAnsi="Verdana" w:cs="Times New Roman"/>
          <w:sz w:val="20"/>
          <w:szCs w:val="20"/>
          <w:lang w:eastAsia="bg-BG"/>
        </w:rPr>
        <w:t>Инфостат</w:t>
      </w:r>
      <w:proofErr w:type="spellEnd"/>
      <w:r w:rsidRPr="00AF697D">
        <w:rPr>
          <w:rFonts w:ascii="Verdana" w:eastAsia="Μοντέρνα" w:hAnsi="Verdana" w:cs="Times New Roman"/>
          <w:sz w:val="20"/>
          <w:szCs w:val="20"/>
          <w:lang w:eastAsia="bg-BG"/>
        </w:rPr>
        <w:t>“ (</w:t>
      </w:r>
      <w:hyperlink r:id="rId16" w:history="1">
        <w:r w:rsidRPr="00AF697D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https://infostat.nsi.bg/infostat/pages/module.jsf?x_2=58</w:t>
        </w:r>
      </w:hyperlink>
      <w:r w:rsidRPr="006757AB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 (</w:t>
      </w:r>
      <w:hyperlink r:id="rId17" w:history="1">
        <w:r w:rsidR="00574C56" w:rsidRPr="004B2655">
          <w:rPr>
            <w:rStyle w:val="Hyperlink"/>
            <w:rFonts w:ascii="Verdana" w:hAnsi="Verdana"/>
            <w:sz w:val="20"/>
            <w:szCs w:val="20"/>
          </w:rPr>
          <w:t>www.nsi.bg</w:t>
        </w:r>
      </w:hyperlink>
      <w:r w:rsidRPr="006757AB">
        <w:rPr>
          <w:rFonts w:ascii="Verdana" w:eastAsia="Μοντέρνα" w:hAnsi="Verdana" w:cs="Times New Roman"/>
          <w:sz w:val="20"/>
          <w:szCs w:val="20"/>
          <w:lang w:eastAsia="bg-BG"/>
        </w:rPr>
        <w:t>), раздел „Здравеопазване“</w:t>
      </w:r>
      <w:r w:rsidRPr="006757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</w:p>
    <w:sectPr w:rsidR="004451E3" w:rsidRPr="00195374" w:rsidSect="00DE0DA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418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80D03" w14:textId="77777777" w:rsidR="00253F32" w:rsidRDefault="00253F32" w:rsidP="00214ACA">
      <w:r>
        <w:separator/>
      </w:r>
    </w:p>
  </w:endnote>
  <w:endnote w:type="continuationSeparator" w:id="0">
    <w:p w14:paraId="6DBEB082" w14:textId="77777777" w:rsidR="00253F32" w:rsidRDefault="00253F32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ED3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2C0C22" wp14:editId="75DA5348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F08E7" w14:textId="112935E7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49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2C0C2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62F08E7" w14:textId="112935E7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149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3B9F6AD" wp14:editId="20393F1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F351816" wp14:editId="42E9E49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2B9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F463C6E" wp14:editId="34890601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7B81721" wp14:editId="3C5BFA6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754EB" w14:textId="45FEA658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49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817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C1754EB" w14:textId="45FEA658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149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A23A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E697B9E" wp14:editId="5FB8613F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F7789AD" wp14:editId="67E978E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3B4D7" w14:textId="1C36129D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49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7789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CD3B4D7" w14:textId="1C36129D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149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2CF3113" wp14:editId="619A578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5E697431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F543A" w14:textId="77777777" w:rsidR="00253F32" w:rsidRDefault="00253F32" w:rsidP="00214ACA">
      <w:r>
        <w:separator/>
      </w:r>
    </w:p>
  </w:footnote>
  <w:footnote w:type="continuationSeparator" w:id="0">
    <w:p w14:paraId="75E7A491" w14:textId="77777777" w:rsidR="00253F32" w:rsidRDefault="00253F32" w:rsidP="00214ACA">
      <w:r>
        <w:continuationSeparator/>
      </w:r>
    </w:p>
  </w:footnote>
  <w:footnote w:id="1">
    <w:p w14:paraId="791BD324" w14:textId="77777777" w:rsidR="004451E3" w:rsidRPr="00195374" w:rsidRDefault="004451E3" w:rsidP="004451E3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95374">
        <w:rPr>
          <w:rStyle w:val="FootnoteReference"/>
          <w:rFonts w:ascii="Verdana" w:hAnsi="Verdana"/>
          <w:sz w:val="16"/>
          <w:szCs w:val="16"/>
        </w:rPr>
        <w:footnoteRef/>
      </w:r>
      <w:r w:rsidRPr="00195374">
        <w:rPr>
          <w:rFonts w:ascii="Verdana" w:hAnsi="Verdana"/>
          <w:sz w:val="16"/>
          <w:szCs w:val="16"/>
          <w:lang w:val="ru-RU"/>
        </w:rPr>
        <w:t xml:space="preserve"> </w:t>
      </w:r>
      <w:r w:rsidRPr="006757AB">
        <w:rPr>
          <w:rFonts w:ascii="Verdana" w:hAnsi="Verdana"/>
          <w:sz w:val="16"/>
          <w:szCs w:val="16"/>
          <w:lang w:val="bg-BG"/>
        </w:rPr>
        <w:t>Разпределението на лекарите по специалности се отнася до практикуваната специалност. Включени са и лекарите, работещи в практики за специализирана медицинска помощ. Не са разпределени лекарите, които практикуват по повече от една специалност</w:t>
      </w:r>
      <w:r w:rsidRPr="00195374">
        <w:rPr>
          <w:rFonts w:ascii="Verdana" w:hAnsi="Verdana"/>
          <w:sz w:val="16"/>
          <w:szCs w:val="16"/>
          <w:lang w:val="bg-BG"/>
        </w:rPr>
        <w:t>.</w:t>
      </w:r>
    </w:p>
  </w:footnote>
  <w:footnote w:id="2">
    <w:p w14:paraId="3B8016C5" w14:textId="77777777" w:rsidR="00176CCD" w:rsidRPr="005704E9" w:rsidRDefault="00176CCD" w:rsidP="00176CC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6757AB">
        <w:rPr>
          <w:rStyle w:val="FootnoteReference"/>
          <w:rFonts w:ascii="Verdana" w:hAnsi="Verdana"/>
          <w:sz w:val="16"/>
          <w:szCs w:val="16"/>
          <w:lang w:val="ru-RU"/>
        </w:rPr>
        <w:t>2</w:t>
      </w:r>
      <w:r w:rsidRPr="006757AB">
        <w:rPr>
          <w:rFonts w:ascii="Verdana" w:hAnsi="Verdana"/>
          <w:sz w:val="16"/>
          <w:szCs w:val="16"/>
          <w:lang w:val="ru-RU"/>
        </w:rPr>
        <w:t xml:space="preserve"> </w:t>
      </w:r>
      <w:r w:rsidRPr="006757AB">
        <w:rPr>
          <w:rFonts w:ascii="Verdana" w:hAnsi="Verdana"/>
          <w:sz w:val="16"/>
          <w:szCs w:val="16"/>
          <w:lang w:val="bg-BG"/>
        </w:rPr>
        <w:t>При изчисляването на показателя за страната са включени лекарите, които обслужват населението на повече от една област.</w:t>
      </w:r>
      <w:r w:rsidRPr="005704E9">
        <w:rPr>
          <w:rStyle w:val="FootnoteReference"/>
          <w:rFonts w:ascii="Verdana" w:hAnsi="Verdana"/>
          <w:sz w:val="16"/>
          <w:szCs w:val="16"/>
          <w:lang w:val="ru-RU"/>
        </w:rPr>
        <w:t xml:space="preserve"> </w:t>
      </w:r>
    </w:p>
  </w:footnote>
  <w:footnote w:id="3">
    <w:p w14:paraId="3BF665CC" w14:textId="3C313204" w:rsidR="004451E3" w:rsidRPr="005704E9" w:rsidRDefault="0031495C" w:rsidP="004451E3">
      <w:pPr>
        <w:pStyle w:val="FootnoteText"/>
        <w:tabs>
          <w:tab w:val="left" w:pos="142"/>
          <w:tab w:val="left" w:pos="284"/>
        </w:tabs>
        <w:spacing w:after="120"/>
        <w:jc w:val="both"/>
        <w:rPr>
          <w:rFonts w:ascii="Verdana" w:hAnsi="Verdana"/>
          <w:sz w:val="16"/>
          <w:szCs w:val="16"/>
          <w:lang w:val="bg-BG"/>
        </w:rPr>
      </w:pPr>
      <w:r>
        <w:rPr>
          <w:rStyle w:val="FootnoteReference"/>
          <w:rFonts w:ascii="Verdana" w:hAnsi="Verdana"/>
          <w:sz w:val="16"/>
          <w:szCs w:val="16"/>
          <w:lang w:val="en-US"/>
        </w:rPr>
        <w:t>1</w:t>
      </w:r>
      <w:r w:rsidR="004451E3" w:rsidRPr="005704E9">
        <w:rPr>
          <w:rFonts w:ascii="Verdana" w:hAnsi="Verdana"/>
          <w:sz w:val="16"/>
          <w:szCs w:val="16"/>
          <w:lang w:val="bg-BG"/>
        </w:rPr>
        <w:t xml:space="preserve"> </w:t>
      </w:r>
      <w:r w:rsidR="004451E3" w:rsidRPr="005704E9">
        <w:rPr>
          <w:rFonts w:ascii="Verdana" w:hAnsi="Verdana"/>
          <w:sz w:val="16"/>
          <w:szCs w:val="16"/>
          <w:lang w:val="bg-BG"/>
        </w:rPr>
        <w:t>При изчисляването на показателя за страната са включени лекарите по дентална медицина, които обслужват населението на повече от една област.</w:t>
      </w:r>
      <w:r w:rsidR="004451E3" w:rsidRPr="005704E9">
        <w:rPr>
          <w:rStyle w:val="FootnoteReference"/>
          <w:rFonts w:ascii="Verdana" w:hAnsi="Verdana"/>
          <w:sz w:val="16"/>
          <w:szCs w:val="16"/>
          <w:lang w:val="ru-RU"/>
        </w:rPr>
        <w:t xml:space="preserve"> </w:t>
      </w:r>
      <w:r w:rsidR="004451E3" w:rsidRPr="005704E9">
        <w:rPr>
          <w:rFonts w:ascii="Verdana" w:hAnsi="Verdana"/>
          <w:sz w:val="16"/>
          <w:szCs w:val="16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C6F0" w14:textId="77777777" w:rsidR="00B77149" w:rsidRPr="00B77149" w:rsidRDefault="0002717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2C338F68" wp14:editId="51115F79">
              <wp:simplePos x="0" y="0"/>
              <wp:positionH relativeFrom="margin">
                <wp:posOffset>-84151</wp:posOffset>
              </wp:positionH>
              <wp:positionV relativeFrom="paragraph">
                <wp:posOffset>134620</wp:posOffset>
              </wp:positionV>
              <wp:extent cx="6066790" cy="1270"/>
              <wp:effectExtent l="0" t="0" r="10160" b="17780"/>
              <wp:wrapTopAndBottom/>
              <wp:docPr id="1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0FB14D" id="Graphic 7" o:spid="_x0000_s1026" style="position:absolute;margin-left:-6.65pt;margin-top:10.6pt;width:477.7pt;height:.1pt;z-index:-2516162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8748F1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28884DE" wp14:editId="6A5DFF4E">
              <wp:simplePos x="0" y="0"/>
              <wp:positionH relativeFrom="margin">
                <wp:posOffset>-508635</wp:posOffset>
              </wp:positionH>
              <wp:positionV relativeFrom="paragraph">
                <wp:posOffset>-366395</wp:posOffset>
              </wp:positionV>
              <wp:extent cx="6667500" cy="4953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FFF49" w14:textId="77777777" w:rsidR="00DE0DA1" w:rsidRPr="00540852" w:rsidRDefault="00DE0DA1" w:rsidP="00DE0DA1">
                          <w:pPr>
                            <w:autoSpaceDE w:val="0"/>
                            <w:autoSpaceDN w:val="0"/>
                            <w:adjustRightInd w:val="0"/>
                            <w:ind w:left="-142" w:firstLine="142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ЛЕЧЕБНИ ЗАВЕДЕНИЯ ЗА БОЛНИЧНА И ИЗВЪНБОЛНИЧНА ПОМОЩ И</w:t>
                          </w:r>
                        </w:p>
                        <w:p w14:paraId="4911656A" w14:textId="77777777" w:rsidR="00DE0DA1" w:rsidRPr="00DD11CB" w:rsidRDefault="00DE0DA1" w:rsidP="00DE0DA1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ind w:firstLine="567"/>
                            <w:jc w:val="center"/>
                            <w:rPr>
                              <w:rFonts w:ascii="Verdana" w:eastAsia="Μοντέρνα" w:hAnsi="Verdana" w:cs="Times New Roman"/>
                              <w:sz w:val="20"/>
                              <w:szCs w:val="20"/>
                              <w:lang w:eastAsia="bg-BG"/>
                            </w:rPr>
                          </w:pP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ЗДРАВНИ ЗАВЕДЕНИЯ КЪМ 31.12.</w:t>
                          </w: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 w:eastAsia="bg-BG"/>
                            </w:rPr>
                            <w:t>202</w:t>
                          </w:r>
                          <w:r w:rsidRPr="00DE0DA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 w:eastAsia="bg-BG"/>
                            </w:rPr>
                            <w:t>3</w:t>
                          </w: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ГОДИНА</w:t>
                          </w:r>
                        </w:p>
                        <w:p w14:paraId="3B6C81CE" w14:textId="77777777" w:rsidR="00101DE0" w:rsidRPr="00101DE0" w:rsidRDefault="00101DE0" w:rsidP="00DE0DA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05pt;margin-top:-28.85pt;width:525pt;height:3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" stroked="f">
              <v:textbox>
                <w:txbxContent>
                  <w:p w:rsidR="00DE0DA1" w:rsidRPr="00540852" w:rsidRDefault="00DE0DA1" w:rsidP="00DE0DA1">
                    <w:pPr>
                      <w:autoSpaceDE w:val="0"/>
                      <w:autoSpaceDN w:val="0"/>
                      <w:adjustRightInd w:val="0"/>
                      <w:ind w:left="-142" w:firstLine="142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</w:pP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ЛЕЧЕБНИ ЗАВЕДЕНИЯ ЗА БОЛНИЧНА И ИЗВЪНБОЛНИЧНА ПОМОЩ И</w:t>
                    </w:r>
                  </w:p>
                  <w:p w:rsidR="00DE0DA1" w:rsidRPr="00DD11CB" w:rsidRDefault="00DE0DA1" w:rsidP="00DE0DA1">
                    <w:pPr>
                      <w:tabs>
                        <w:tab w:val="left" w:pos="3123"/>
                      </w:tabs>
                      <w:spacing w:line="360" w:lineRule="auto"/>
                      <w:ind w:firstLine="567"/>
                      <w:jc w:val="center"/>
                      <w:rPr>
                        <w:rFonts w:ascii="Verdana" w:eastAsia="Μοντέρνα" w:hAnsi="Verdana" w:cs="Times New Roman"/>
                        <w:sz w:val="20"/>
                        <w:szCs w:val="20"/>
                        <w:lang w:eastAsia="bg-BG"/>
                      </w:rPr>
                    </w:pP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ЗДРАВНИ ЗАВЕДЕНИЯ КЪМ 31.12.</w:t>
                    </w: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 w:eastAsia="bg-BG"/>
                      </w:rPr>
                      <w:t>202</w:t>
                    </w:r>
                    <w:r w:rsidRPr="00DE0DA1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 w:eastAsia="bg-BG"/>
                      </w:rPr>
                      <w:t>3</w:t>
                    </w: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ГОДИНА</w:t>
                    </w:r>
                  </w:p>
                  <w:p w:rsidR="00101DE0" w:rsidRPr="00101DE0" w:rsidRDefault="00101DE0" w:rsidP="00DE0DA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3183831" wp14:editId="43307602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E9CD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1F2BA6A" wp14:editId="77E6344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702B02" wp14:editId="4B2ED3F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E860484" wp14:editId="566823B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E0F2C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198C5BB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42F865C" wp14:editId="5E4277E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6FF865B" wp14:editId="03D220F0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00AF4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7058" w14:textId="77777777" w:rsidR="008748F1" w:rsidRPr="004F064E" w:rsidRDefault="00DE0DA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FA1D161" wp14:editId="6DEA4429">
              <wp:simplePos x="0" y="0"/>
              <wp:positionH relativeFrom="margin">
                <wp:posOffset>-158750</wp:posOffset>
              </wp:positionH>
              <wp:positionV relativeFrom="paragraph">
                <wp:posOffset>237490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532D49" id="Graphic 7" o:spid="_x0000_s1026" style="position:absolute;margin-left:-12.5pt;margin-top:18.7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fDfrpt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F45D580" wp14:editId="451C6C09">
              <wp:simplePos x="0" y="0"/>
              <wp:positionH relativeFrom="margin">
                <wp:posOffset>-51435</wp:posOffset>
              </wp:positionH>
              <wp:positionV relativeFrom="paragraph">
                <wp:posOffset>-309245</wp:posOffset>
              </wp:positionV>
              <wp:extent cx="5514975" cy="42862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0A192" w14:textId="77777777" w:rsidR="00DE0DA1" w:rsidRPr="00540852" w:rsidRDefault="00DE0DA1" w:rsidP="00DE0DA1">
                          <w:pPr>
                            <w:autoSpaceDE w:val="0"/>
                            <w:autoSpaceDN w:val="0"/>
                            <w:adjustRightInd w:val="0"/>
                            <w:ind w:left="-142" w:firstLine="142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ЛЕЧЕБНИ ЗАВЕДЕНИЯ ЗА БОЛНИЧНА И ИЗВЪНБОЛНИЧНА ПОМОЩ И</w:t>
                          </w:r>
                        </w:p>
                        <w:p w14:paraId="59231DF4" w14:textId="77777777" w:rsidR="00DE0DA1" w:rsidRPr="00DD11CB" w:rsidRDefault="00DE0DA1" w:rsidP="00DE0DA1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ind w:firstLine="567"/>
                            <w:jc w:val="center"/>
                            <w:rPr>
                              <w:rFonts w:ascii="Verdana" w:eastAsia="Μοντέρνα" w:hAnsi="Verdana" w:cs="Times New Roman"/>
                              <w:sz w:val="20"/>
                              <w:szCs w:val="20"/>
                              <w:lang w:eastAsia="bg-BG"/>
                            </w:rPr>
                          </w:pP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ЗДРАВНИ ЗАВЕДЕНИЯ КЪМ 31.12.</w:t>
                          </w: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 w:eastAsia="bg-BG"/>
                            </w:rPr>
                            <w:t>202</w:t>
                          </w:r>
                          <w:r w:rsidRPr="00DE0DA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 w:eastAsia="bg-BG"/>
                            </w:rPr>
                            <w:t>3</w:t>
                          </w: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 w:rsidRPr="00540852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ГОДИНА</w:t>
                          </w:r>
                        </w:p>
                        <w:p w14:paraId="3340F128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аглавие</w:t>
                          </w:r>
                          <w:proofErr w:type="spellEnd"/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.05pt;margin-top:-24.35pt;width:434.25pt;height:3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" stroked="f">
              <v:textbox>
                <w:txbxContent>
                  <w:p w:rsidR="00DE0DA1" w:rsidRPr="00540852" w:rsidRDefault="00DE0DA1" w:rsidP="00DE0DA1">
                    <w:pPr>
                      <w:autoSpaceDE w:val="0"/>
                      <w:autoSpaceDN w:val="0"/>
                      <w:adjustRightInd w:val="0"/>
                      <w:ind w:left="-142" w:firstLine="142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</w:pP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ЛЕЧЕБНИ ЗАВЕДЕНИЯ ЗА БОЛНИЧНА И ИЗВЪНБОЛНИЧНА ПОМОЩ И</w:t>
                    </w:r>
                  </w:p>
                  <w:p w:rsidR="00DE0DA1" w:rsidRPr="00DD11CB" w:rsidRDefault="00DE0DA1" w:rsidP="00DE0DA1">
                    <w:pPr>
                      <w:tabs>
                        <w:tab w:val="left" w:pos="3123"/>
                      </w:tabs>
                      <w:spacing w:line="360" w:lineRule="auto"/>
                      <w:ind w:firstLine="567"/>
                      <w:jc w:val="center"/>
                      <w:rPr>
                        <w:rFonts w:ascii="Verdana" w:eastAsia="Μοντέρνα" w:hAnsi="Verdana" w:cs="Times New Roman"/>
                        <w:sz w:val="20"/>
                        <w:szCs w:val="20"/>
                        <w:lang w:eastAsia="bg-BG"/>
                      </w:rPr>
                    </w:pP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ЗДРАВНИ ЗАВЕДЕНИЯ КЪМ 31.12.</w:t>
                    </w: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 w:eastAsia="bg-BG"/>
                      </w:rPr>
                      <w:t>202</w:t>
                    </w:r>
                    <w:r w:rsidRPr="00DE0DA1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 w:eastAsia="bg-BG"/>
                      </w:rPr>
                      <w:t>3</w:t>
                    </w: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 w:rsidRPr="0054085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ГОДИНА</w:t>
                    </w:r>
                  </w:p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0EE"/>
    <w:multiLevelType w:val="hybridMultilevel"/>
    <w:tmpl w:val="B970ACC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633744"/>
    <w:multiLevelType w:val="hybridMultilevel"/>
    <w:tmpl w:val="EC6A4D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2566"/>
    <w:multiLevelType w:val="hybridMultilevel"/>
    <w:tmpl w:val="DFFC82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87724"/>
    <w:multiLevelType w:val="hybridMultilevel"/>
    <w:tmpl w:val="C58C0A4C"/>
    <w:lvl w:ilvl="0" w:tplc="6F50D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09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A6DAA"/>
    <w:multiLevelType w:val="hybridMultilevel"/>
    <w:tmpl w:val="69100516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7EE3"/>
    <w:rsid w:val="00027170"/>
    <w:rsid w:val="00032B12"/>
    <w:rsid w:val="0004466A"/>
    <w:rsid w:val="0006051E"/>
    <w:rsid w:val="000607BC"/>
    <w:rsid w:val="00077C97"/>
    <w:rsid w:val="000B17C2"/>
    <w:rsid w:val="000B2B10"/>
    <w:rsid w:val="000C0D56"/>
    <w:rsid w:val="000C1837"/>
    <w:rsid w:val="000C5A21"/>
    <w:rsid w:val="000F0B88"/>
    <w:rsid w:val="00101DE0"/>
    <w:rsid w:val="001131CB"/>
    <w:rsid w:val="001350E1"/>
    <w:rsid w:val="00137848"/>
    <w:rsid w:val="00150A41"/>
    <w:rsid w:val="0015102D"/>
    <w:rsid w:val="00156F89"/>
    <w:rsid w:val="00171C36"/>
    <w:rsid w:val="00176CCD"/>
    <w:rsid w:val="001901A0"/>
    <w:rsid w:val="00195374"/>
    <w:rsid w:val="001B03D8"/>
    <w:rsid w:val="001C61C8"/>
    <w:rsid w:val="001D6EF6"/>
    <w:rsid w:val="001D782A"/>
    <w:rsid w:val="001E5BA2"/>
    <w:rsid w:val="001E7AC3"/>
    <w:rsid w:val="00200A0E"/>
    <w:rsid w:val="00214ACA"/>
    <w:rsid w:val="00253F32"/>
    <w:rsid w:val="00255630"/>
    <w:rsid w:val="00256AC8"/>
    <w:rsid w:val="0026698B"/>
    <w:rsid w:val="00275DAB"/>
    <w:rsid w:val="002A3DB1"/>
    <w:rsid w:val="002A78D9"/>
    <w:rsid w:val="002B3397"/>
    <w:rsid w:val="002C1C53"/>
    <w:rsid w:val="002C72D4"/>
    <w:rsid w:val="0031495C"/>
    <w:rsid w:val="00332C88"/>
    <w:rsid w:val="00336556"/>
    <w:rsid w:val="00364357"/>
    <w:rsid w:val="0038746A"/>
    <w:rsid w:val="00393721"/>
    <w:rsid w:val="003B0323"/>
    <w:rsid w:val="003B2503"/>
    <w:rsid w:val="003B42F8"/>
    <w:rsid w:val="003B4365"/>
    <w:rsid w:val="003B46BA"/>
    <w:rsid w:val="003C152A"/>
    <w:rsid w:val="003C2111"/>
    <w:rsid w:val="003D2BD1"/>
    <w:rsid w:val="003D5F6D"/>
    <w:rsid w:val="00441F74"/>
    <w:rsid w:val="004451E3"/>
    <w:rsid w:val="00446CF4"/>
    <w:rsid w:val="004741B9"/>
    <w:rsid w:val="00474948"/>
    <w:rsid w:val="004760D3"/>
    <w:rsid w:val="00486232"/>
    <w:rsid w:val="004C48E9"/>
    <w:rsid w:val="004F064E"/>
    <w:rsid w:val="005024B9"/>
    <w:rsid w:val="00520539"/>
    <w:rsid w:val="0052785D"/>
    <w:rsid w:val="005704E9"/>
    <w:rsid w:val="00574C56"/>
    <w:rsid w:val="00576904"/>
    <w:rsid w:val="005B4023"/>
    <w:rsid w:val="005E2C41"/>
    <w:rsid w:val="006120F5"/>
    <w:rsid w:val="006421A7"/>
    <w:rsid w:val="00644D53"/>
    <w:rsid w:val="00650708"/>
    <w:rsid w:val="00654814"/>
    <w:rsid w:val="00673736"/>
    <w:rsid w:val="006757AB"/>
    <w:rsid w:val="006A212D"/>
    <w:rsid w:val="006D1BE4"/>
    <w:rsid w:val="006E37A8"/>
    <w:rsid w:val="00704539"/>
    <w:rsid w:val="007211A5"/>
    <w:rsid w:val="0074479E"/>
    <w:rsid w:val="00764226"/>
    <w:rsid w:val="00795B40"/>
    <w:rsid w:val="007A02D8"/>
    <w:rsid w:val="007A0D9B"/>
    <w:rsid w:val="007C61E0"/>
    <w:rsid w:val="007C7A6A"/>
    <w:rsid w:val="007D012C"/>
    <w:rsid w:val="007F116A"/>
    <w:rsid w:val="007F17B3"/>
    <w:rsid w:val="008331BC"/>
    <w:rsid w:val="00856C5D"/>
    <w:rsid w:val="008642B0"/>
    <w:rsid w:val="00870559"/>
    <w:rsid w:val="008748F1"/>
    <w:rsid w:val="00881B14"/>
    <w:rsid w:val="00883238"/>
    <w:rsid w:val="008A1BDB"/>
    <w:rsid w:val="008D3797"/>
    <w:rsid w:val="008E71E8"/>
    <w:rsid w:val="008F1529"/>
    <w:rsid w:val="008F1AB4"/>
    <w:rsid w:val="00924139"/>
    <w:rsid w:val="0094060D"/>
    <w:rsid w:val="00947EBF"/>
    <w:rsid w:val="009B129C"/>
    <w:rsid w:val="009B2129"/>
    <w:rsid w:val="009B78D4"/>
    <w:rsid w:val="009E4021"/>
    <w:rsid w:val="00A14E83"/>
    <w:rsid w:val="00A15D9D"/>
    <w:rsid w:val="00A30467"/>
    <w:rsid w:val="00A7142A"/>
    <w:rsid w:val="00A772E2"/>
    <w:rsid w:val="00A869E9"/>
    <w:rsid w:val="00A912DA"/>
    <w:rsid w:val="00AA124C"/>
    <w:rsid w:val="00AA6E83"/>
    <w:rsid w:val="00AC3D78"/>
    <w:rsid w:val="00AE4196"/>
    <w:rsid w:val="00AF2D94"/>
    <w:rsid w:val="00AF697D"/>
    <w:rsid w:val="00AF788F"/>
    <w:rsid w:val="00B0333E"/>
    <w:rsid w:val="00B07D27"/>
    <w:rsid w:val="00B3122D"/>
    <w:rsid w:val="00B540B2"/>
    <w:rsid w:val="00B55B11"/>
    <w:rsid w:val="00B77149"/>
    <w:rsid w:val="00BA4B57"/>
    <w:rsid w:val="00C075F2"/>
    <w:rsid w:val="00C14799"/>
    <w:rsid w:val="00C22E8B"/>
    <w:rsid w:val="00C27F38"/>
    <w:rsid w:val="00C339D9"/>
    <w:rsid w:val="00C50AB1"/>
    <w:rsid w:val="00C616FD"/>
    <w:rsid w:val="00C71711"/>
    <w:rsid w:val="00C93974"/>
    <w:rsid w:val="00CA0766"/>
    <w:rsid w:val="00CA75C9"/>
    <w:rsid w:val="00CD29B1"/>
    <w:rsid w:val="00CF10A9"/>
    <w:rsid w:val="00D14431"/>
    <w:rsid w:val="00D36C09"/>
    <w:rsid w:val="00D42911"/>
    <w:rsid w:val="00D57F5B"/>
    <w:rsid w:val="00D64526"/>
    <w:rsid w:val="00D82477"/>
    <w:rsid w:val="00DD11CB"/>
    <w:rsid w:val="00DE0DA1"/>
    <w:rsid w:val="00DE20CA"/>
    <w:rsid w:val="00DE4F56"/>
    <w:rsid w:val="00DF3DFE"/>
    <w:rsid w:val="00E13DB4"/>
    <w:rsid w:val="00E21E01"/>
    <w:rsid w:val="00E23878"/>
    <w:rsid w:val="00E41EFF"/>
    <w:rsid w:val="00E459D8"/>
    <w:rsid w:val="00E563C3"/>
    <w:rsid w:val="00E655EA"/>
    <w:rsid w:val="00E67823"/>
    <w:rsid w:val="00E90E9C"/>
    <w:rsid w:val="00EB5089"/>
    <w:rsid w:val="00EE67C2"/>
    <w:rsid w:val="00F11F70"/>
    <w:rsid w:val="00F328C1"/>
    <w:rsid w:val="00F51F8E"/>
    <w:rsid w:val="00F54CBC"/>
    <w:rsid w:val="00F7596C"/>
    <w:rsid w:val="00FA00EF"/>
    <w:rsid w:val="00FD731D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0C94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0DA1"/>
    <w:pPr>
      <w:ind w:left="720"/>
      <w:contextualSpacing/>
    </w:pPr>
  </w:style>
  <w:style w:type="paragraph" w:styleId="Revision">
    <w:name w:val="Revision"/>
    <w:hidden/>
    <w:uiPriority w:val="99"/>
    <w:semiHidden/>
    <w:rsid w:val="00C075F2"/>
  </w:style>
  <w:style w:type="character" w:styleId="CommentReference">
    <w:name w:val="annotation reference"/>
    <w:basedOn w:val="DefaultParagraphFont"/>
    <w:uiPriority w:val="99"/>
    <w:semiHidden/>
    <w:unhideWhenUsed/>
    <w:rsid w:val="00027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4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www.nsi.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stat.nsi.bg/infostat/pages/module.jsf?x_2=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8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Брой</a:t>
            </a:r>
            <a:endParaRPr lang="en-US" sz="8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6.4260095450154042E-2"/>
          <c:y val="9.10284777822534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0676522577534956E-2"/>
          <c:y val="6.0019373535429056E-2"/>
          <c:w val="0.88423139506611559"/>
          <c:h val="0.62550595929607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легла!$B$1</c:f>
              <c:strCache>
                <c:ptCount val="1"/>
                <c:pt idx="0">
                  <c:v>864.5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8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B58-44D0-B38F-074D59751A45}"/>
              </c:ext>
            </c:extLst>
          </c:dPt>
          <c:cat>
            <c:strRef>
              <c:f>легла!$A$2:$A$30</c:f>
              <c:strCache>
                <c:ptCount val="29"/>
                <c:pt idx="0">
                  <c:v>Перник</c:v>
                </c:pt>
                <c:pt idx="1">
                  <c:v>Ямбол</c:v>
                </c:pt>
                <c:pt idx="2">
                  <c:v>Видин</c:v>
                </c:pt>
                <c:pt idx="3">
                  <c:v>Разград</c:v>
                </c:pt>
                <c:pt idx="4">
                  <c:v>Силистра</c:v>
                </c:pt>
                <c:pt idx="5">
                  <c:v>Хасково</c:v>
                </c:pt>
                <c:pt idx="6">
                  <c:v>Добрич</c:v>
                </c:pt>
                <c:pt idx="7">
                  <c:v>Кърджали</c:v>
                </c:pt>
                <c:pt idx="8">
                  <c:v>Шумен</c:v>
                </c:pt>
                <c:pt idx="9">
                  <c:v>Сливен</c:v>
                </c:pt>
                <c:pt idx="10">
                  <c:v>Благоевград</c:v>
                </c:pt>
                <c:pt idx="11">
                  <c:v>Варна</c:v>
                </c:pt>
                <c:pt idx="12">
                  <c:v>Търговище</c:v>
                </c:pt>
                <c:pt idx="13">
                  <c:v>София</c:v>
                </c:pt>
                <c:pt idx="14">
                  <c:v>Велико Търново</c:v>
                </c:pt>
                <c:pt idx="15">
                  <c:v>Враца</c:v>
                </c:pt>
                <c:pt idx="16">
                  <c:v>Стара Загора</c:v>
                </c:pt>
                <c:pt idx="17">
                  <c:v>София (столица)</c:v>
                </c:pt>
                <c:pt idx="18">
                  <c:v>Средно за страната</c:v>
                </c:pt>
                <c:pt idx="19">
                  <c:v>Монтана</c:v>
                </c:pt>
                <c:pt idx="20">
                  <c:v>Ловеч</c:v>
                </c:pt>
                <c:pt idx="21">
                  <c:v>Кюстендил</c:v>
                </c:pt>
                <c:pt idx="22">
                  <c:v>Пазарджик</c:v>
                </c:pt>
                <c:pt idx="23">
                  <c:v>Бургас</c:v>
                </c:pt>
                <c:pt idx="24">
                  <c:v>Габрово</c:v>
                </c:pt>
                <c:pt idx="25">
                  <c:v>Русе</c:v>
                </c:pt>
                <c:pt idx="26">
                  <c:v>Пловдив</c:v>
                </c:pt>
                <c:pt idx="27">
                  <c:v>Смолян</c:v>
                </c:pt>
                <c:pt idx="28">
                  <c:v>Плевен</c:v>
                </c:pt>
              </c:strCache>
            </c:strRef>
          </c:cat>
          <c:val>
            <c:numRef>
              <c:f>легла!$B$2:$B$30</c:f>
              <c:numCache>
                <c:formatCode>0</c:formatCode>
                <c:ptCount val="29"/>
                <c:pt idx="0">
                  <c:v>402.58664168888248</c:v>
                </c:pt>
                <c:pt idx="1">
                  <c:v>425.1316779533484</c:v>
                </c:pt>
                <c:pt idx="2">
                  <c:v>431.91729480445292</c:v>
                </c:pt>
                <c:pt idx="3">
                  <c:v>444.90347183602131</c:v>
                </c:pt>
                <c:pt idx="4">
                  <c:v>502.4330001372191</c:v>
                </c:pt>
                <c:pt idx="5">
                  <c:v>509.86413279643108</c:v>
                </c:pt>
                <c:pt idx="6">
                  <c:v>535.34285811709356</c:v>
                </c:pt>
                <c:pt idx="7">
                  <c:v>536.29180824497485</c:v>
                </c:pt>
                <c:pt idx="8">
                  <c:v>574.48613551192727</c:v>
                </c:pt>
                <c:pt idx="9">
                  <c:v>590.99917083698415</c:v>
                </c:pt>
                <c:pt idx="10">
                  <c:v>601.92909916154895</c:v>
                </c:pt>
                <c:pt idx="11">
                  <c:v>639.81059027018068</c:v>
                </c:pt>
                <c:pt idx="12">
                  <c:v>641.15302952650904</c:v>
                </c:pt>
                <c:pt idx="13">
                  <c:v>760.53352177369493</c:v>
                </c:pt>
                <c:pt idx="14">
                  <c:v>761.99612326436966</c:v>
                </c:pt>
                <c:pt idx="15">
                  <c:v>810.87122931329975</c:v>
                </c:pt>
                <c:pt idx="16">
                  <c:v>828.31065954882035</c:v>
                </c:pt>
                <c:pt idx="17">
                  <c:v>857.8321865785008</c:v>
                </c:pt>
                <c:pt idx="18">
                  <c:v>864.54370123812339</c:v>
                </c:pt>
                <c:pt idx="19">
                  <c:v>867.925187293715</c:v>
                </c:pt>
                <c:pt idx="20">
                  <c:v>900.86879037647554</c:v>
                </c:pt>
                <c:pt idx="21">
                  <c:v>917.59308275983767</c:v>
                </c:pt>
                <c:pt idx="22">
                  <c:v>922.92940189380317</c:v>
                </c:pt>
                <c:pt idx="23">
                  <c:v>955.14064393959097</c:v>
                </c:pt>
                <c:pt idx="24">
                  <c:v>964.55904366342691</c:v>
                </c:pt>
                <c:pt idx="25">
                  <c:v>1043.4967790022893</c:v>
                </c:pt>
                <c:pt idx="26">
                  <c:v>1092.0380185168233</c:v>
                </c:pt>
                <c:pt idx="27">
                  <c:v>1150.8354413888196</c:v>
                </c:pt>
                <c:pt idx="28">
                  <c:v>1297.0382915444666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B58-44D0-B38F-074D59751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overlap val="-27"/>
        <c:axId val="716535136"/>
        <c:axId val="716540712"/>
      </c:barChart>
      <c:lineChart>
        <c:grouping val="standard"/>
        <c:varyColors val="0"/>
        <c:ser>
          <c:idx val="1"/>
          <c:order val="1"/>
          <c:tx>
            <c:strRef>
              <c:f>легла!$E$1</c:f>
              <c:strCache>
                <c:ptCount val="1"/>
                <c:pt idx="0">
                  <c:v>Средно за страната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легла!$A$2:$A$30</c:f>
              <c:strCache>
                <c:ptCount val="29"/>
                <c:pt idx="0">
                  <c:v>Перник</c:v>
                </c:pt>
                <c:pt idx="1">
                  <c:v>Ямбол</c:v>
                </c:pt>
                <c:pt idx="2">
                  <c:v>Видин</c:v>
                </c:pt>
                <c:pt idx="3">
                  <c:v>Разград</c:v>
                </c:pt>
                <c:pt idx="4">
                  <c:v>Силистра</c:v>
                </c:pt>
                <c:pt idx="5">
                  <c:v>Хасково</c:v>
                </c:pt>
                <c:pt idx="6">
                  <c:v>Добрич</c:v>
                </c:pt>
                <c:pt idx="7">
                  <c:v>Кърджали</c:v>
                </c:pt>
                <c:pt idx="8">
                  <c:v>Шумен</c:v>
                </c:pt>
                <c:pt idx="9">
                  <c:v>Сливен</c:v>
                </c:pt>
                <c:pt idx="10">
                  <c:v>Благоевград</c:v>
                </c:pt>
                <c:pt idx="11">
                  <c:v>Варна</c:v>
                </c:pt>
                <c:pt idx="12">
                  <c:v>Търговище</c:v>
                </c:pt>
                <c:pt idx="13">
                  <c:v>София</c:v>
                </c:pt>
                <c:pt idx="14">
                  <c:v>Велико Търново</c:v>
                </c:pt>
                <c:pt idx="15">
                  <c:v>Враца</c:v>
                </c:pt>
                <c:pt idx="16">
                  <c:v>Стара Загора</c:v>
                </c:pt>
                <c:pt idx="17">
                  <c:v>София (столица)</c:v>
                </c:pt>
                <c:pt idx="18">
                  <c:v>Средно за страната</c:v>
                </c:pt>
                <c:pt idx="19">
                  <c:v>Монтана</c:v>
                </c:pt>
                <c:pt idx="20">
                  <c:v>Ловеч</c:v>
                </c:pt>
                <c:pt idx="21">
                  <c:v>Кюстендил</c:v>
                </c:pt>
                <c:pt idx="22">
                  <c:v>Пазарджик</c:v>
                </c:pt>
                <c:pt idx="23">
                  <c:v>Бургас</c:v>
                </c:pt>
                <c:pt idx="24">
                  <c:v>Габрово</c:v>
                </c:pt>
                <c:pt idx="25">
                  <c:v>Русе</c:v>
                </c:pt>
                <c:pt idx="26">
                  <c:v>Пловдив</c:v>
                </c:pt>
                <c:pt idx="27">
                  <c:v>Смолян</c:v>
                </c:pt>
                <c:pt idx="28">
                  <c:v>Плевен</c:v>
                </c:pt>
              </c:strCache>
            </c:strRef>
          </c:cat>
          <c:val>
            <c:numRef>
              <c:f>легла!#REF!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B58-44D0-B38F-074D59751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6535136"/>
        <c:axId val="716540712"/>
      </c:lineChart>
      <c:catAx>
        <c:axId val="71653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716540712"/>
        <c:crosses val="autoZero"/>
        <c:auto val="0"/>
        <c:lblAlgn val="ctr"/>
        <c:lblOffset val="100"/>
        <c:noMultiLvlLbl val="0"/>
      </c:catAx>
      <c:valAx>
        <c:axId val="716540712"/>
        <c:scaling>
          <c:orientation val="minMax"/>
          <c:max val="13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716535136"/>
        <c:crosses val="autoZero"/>
        <c:crossBetween val="between"/>
        <c:majorUnit val="150"/>
      </c:valAx>
      <c:spPr>
        <a:noFill/>
        <a:ln>
          <a:noFill/>
        </a:ln>
        <a:effectLst>
          <a:softEdge rad="76200"/>
        </a:effectLst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  <a:endParaRPr lang="en-US" sz="800">
              <a:solidFill>
                <a:srgbClr val="FF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962170615236972"/>
          <c:y val="0.60080052493438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25665051780421722"/>
          <c:y val="0.13854512977544473"/>
          <c:w val="0.70784337530495911"/>
          <c:h val="0.5290489209682123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'pol_vozrast 2023 вид заведен'!$I$5</c:f>
              <c:strCache>
                <c:ptCount val="1"/>
                <c:pt idx="0">
                  <c:v>до 35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'pol_vozrast 2023 вид заведен'!$J$4:$M$4</c:f>
              <c:strCache>
                <c:ptCount val="4"/>
                <c:pt idx="0">
                  <c:v>Общо</c:v>
                </c:pt>
                <c:pt idx="1">
                  <c:v>В заведения за болнична помощ </c:v>
                </c:pt>
                <c:pt idx="2">
                  <c:v>В заведения за извънболнична помощ</c:v>
                </c:pt>
                <c:pt idx="3">
                  <c:v>Други здравни заведения</c:v>
                </c:pt>
              </c:strCache>
            </c:strRef>
          </c:cat>
          <c:val>
            <c:numRef>
              <c:f>'pol_vozrast 2023 вид заведен'!$J$5:$M$5</c:f>
              <c:numCache>
                <c:formatCode>0.0</c:formatCode>
                <c:ptCount val="4"/>
                <c:pt idx="0">
                  <c:v>18.244124235231187</c:v>
                </c:pt>
                <c:pt idx="1">
                  <c:v>26.221598877980366</c:v>
                </c:pt>
                <c:pt idx="2">
                  <c:v>4.355626432771853</c:v>
                </c:pt>
                <c:pt idx="3">
                  <c:v>16.853385289819776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A-4C54-9B70-80FC2419E5E3}"/>
            </c:ext>
          </c:extLst>
        </c:ser>
        <c:ser>
          <c:idx val="1"/>
          <c:order val="1"/>
          <c:tx>
            <c:strRef>
              <c:f>'pol_vozrast 2023 вид заведен'!$I$6</c:f>
              <c:strCache>
                <c:ptCount val="1"/>
                <c:pt idx="0">
                  <c:v>35 - 44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'pol_vozrast 2023 вид заведен'!$J$4:$M$4</c:f>
              <c:strCache>
                <c:ptCount val="4"/>
                <c:pt idx="0">
                  <c:v>Общо</c:v>
                </c:pt>
                <c:pt idx="1">
                  <c:v>В заведения за болнична помощ </c:v>
                </c:pt>
                <c:pt idx="2">
                  <c:v>В заведения за извънболнична помощ</c:v>
                </c:pt>
                <c:pt idx="3">
                  <c:v>Други здравни заведения</c:v>
                </c:pt>
              </c:strCache>
            </c:strRef>
          </c:cat>
          <c:val>
            <c:numRef>
              <c:f>'pol_vozrast 2023 вид заведен'!$J$6:$M$6</c:f>
              <c:numCache>
                <c:formatCode>0.0</c:formatCode>
                <c:ptCount val="4"/>
                <c:pt idx="0">
                  <c:v>11.407174618033499</c:v>
                </c:pt>
                <c:pt idx="1">
                  <c:v>14.726507713884994</c:v>
                </c:pt>
                <c:pt idx="2">
                  <c:v>6.0001993421708359</c:v>
                </c:pt>
                <c:pt idx="3">
                  <c:v>9.0112031173891864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DA-4C54-9B70-80FC2419E5E3}"/>
            </c:ext>
          </c:extLst>
        </c:ser>
        <c:ser>
          <c:idx val="2"/>
          <c:order val="2"/>
          <c:tx>
            <c:strRef>
              <c:f>'pol_vozrast 2023 вид заведен'!$I$7</c:f>
              <c:strCache>
                <c:ptCount val="1"/>
                <c:pt idx="0">
                  <c:v>45 - 54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'pol_vozrast 2023 вид заведен'!$J$4:$M$4</c:f>
              <c:strCache>
                <c:ptCount val="4"/>
                <c:pt idx="0">
                  <c:v>Общо</c:v>
                </c:pt>
                <c:pt idx="1">
                  <c:v>В заведения за болнична помощ </c:v>
                </c:pt>
                <c:pt idx="2">
                  <c:v>В заведения за извънболнична помощ</c:v>
                </c:pt>
                <c:pt idx="3">
                  <c:v>Други здравни заведения</c:v>
                </c:pt>
              </c:strCache>
            </c:strRef>
          </c:cat>
          <c:val>
            <c:numRef>
              <c:f>'pol_vozrast 2023 вид заведен'!$J$7:$M$7</c:f>
              <c:numCache>
                <c:formatCode>0.0</c:formatCode>
                <c:ptCount val="4"/>
                <c:pt idx="0">
                  <c:v>15.85369930794691</c:v>
                </c:pt>
                <c:pt idx="1">
                  <c:v>15.018232819074333</c:v>
                </c:pt>
                <c:pt idx="2">
                  <c:v>16.435761985448021</c:v>
                </c:pt>
                <c:pt idx="3">
                  <c:v>20.263029712615683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DA-4C54-9B70-80FC2419E5E3}"/>
            </c:ext>
          </c:extLst>
        </c:ser>
        <c:ser>
          <c:idx val="3"/>
          <c:order val="3"/>
          <c:tx>
            <c:strRef>
              <c:f>'pol_vozrast 2023 вид заведен'!$I$8</c:f>
              <c:strCache>
                <c:ptCount val="1"/>
                <c:pt idx="0">
                  <c:v>55 - 64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'pol_vozrast 2023 вид заведен'!$J$4:$M$4</c:f>
              <c:strCache>
                <c:ptCount val="4"/>
                <c:pt idx="0">
                  <c:v>Общо</c:v>
                </c:pt>
                <c:pt idx="1">
                  <c:v>В заведения за болнична помощ </c:v>
                </c:pt>
                <c:pt idx="2">
                  <c:v>В заведения за извънболнична помощ</c:v>
                </c:pt>
                <c:pt idx="3">
                  <c:v>Други здравни заведения</c:v>
                </c:pt>
              </c:strCache>
            </c:strRef>
          </c:cat>
          <c:val>
            <c:numRef>
              <c:f>'pol_vozrast 2023 вид заведен'!$J$8:$M$8</c:f>
              <c:numCache>
                <c:formatCode>0.0</c:formatCode>
                <c:ptCount val="4"/>
                <c:pt idx="0">
                  <c:v>32.613419812109257</c:v>
                </c:pt>
                <c:pt idx="1">
                  <c:v>25.53155680224404</c:v>
                </c:pt>
                <c:pt idx="2">
                  <c:v>43.665902521678461</c:v>
                </c:pt>
                <c:pt idx="3">
                  <c:v>40.087676570871892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DA-4C54-9B70-80FC2419E5E3}"/>
            </c:ext>
          </c:extLst>
        </c:ser>
        <c:ser>
          <c:idx val="4"/>
          <c:order val="4"/>
          <c:tx>
            <c:strRef>
              <c:f>'pol_vozrast 2023 вид заведен'!$I$9</c:f>
              <c:strCache>
                <c:ptCount val="1"/>
                <c:pt idx="0">
                  <c:v>65 г. и повече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'pol_vozrast 2023 вид заведен'!$J$4:$M$4</c:f>
              <c:strCache>
                <c:ptCount val="4"/>
                <c:pt idx="0">
                  <c:v>Общо</c:v>
                </c:pt>
                <c:pt idx="1">
                  <c:v>В заведения за болнична помощ </c:v>
                </c:pt>
                <c:pt idx="2">
                  <c:v>В заведения за извънболнична помощ</c:v>
                </c:pt>
                <c:pt idx="3">
                  <c:v>Други здравни заведения</c:v>
                </c:pt>
              </c:strCache>
            </c:strRef>
          </c:cat>
          <c:val>
            <c:numRef>
              <c:f>'pol_vozrast 2023 вид заведен'!$J$9:$M$9</c:f>
              <c:numCache>
                <c:formatCode>0.0</c:formatCode>
                <c:ptCount val="4"/>
                <c:pt idx="0">
                  <c:v>21.881582026679148</c:v>
                </c:pt>
                <c:pt idx="1">
                  <c:v>18.502103786816271</c:v>
                </c:pt>
                <c:pt idx="2">
                  <c:v>29.542509717930827</c:v>
                </c:pt>
                <c:pt idx="3">
                  <c:v>13.784705309303458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DA-4C54-9B70-80FC2419E5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100"/>
        <c:axId val="614780344"/>
        <c:axId val="614770504"/>
      </c:barChart>
      <c:catAx>
        <c:axId val="614780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14770504"/>
        <c:crosses val="autoZero"/>
        <c:auto val="1"/>
        <c:lblAlgn val="ctr"/>
        <c:lblOffset val="100"/>
        <c:noMultiLvlLbl val="0"/>
      </c:catAx>
      <c:valAx>
        <c:axId val="614770504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14780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</c:legendEntry>
      <c:layout>
        <c:manualLayout>
          <c:xMode val="edge"/>
          <c:yMode val="edge"/>
          <c:x val="0.1891015604317472"/>
          <c:y val="0.79136944122294794"/>
          <c:w val="0.72989970273888671"/>
          <c:h val="0.119952838211024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</a:rPr>
              <a:t>Брой</a:t>
            </a:r>
            <a:endParaRPr lang="en-GB" sz="800"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4.0294180182318576E-2"/>
          <c:y val="2.25442834138486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9D4-4E41-A211-B0F37B017D8B}"/>
              </c:ext>
            </c:extLst>
          </c:dPt>
          <c:cat>
            <c:strRef>
              <c:f>Лекари!$A$3:$A$31</c:f>
              <c:strCache>
                <c:ptCount val="29"/>
                <c:pt idx="0">
                  <c:v>Кърджали</c:v>
                </c:pt>
                <c:pt idx="1">
                  <c:v>Разград</c:v>
                </c:pt>
                <c:pt idx="2">
                  <c:v>Ямбол</c:v>
                </c:pt>
                <c:pt idx="3">
                  <c:v>Добрич</c:v>
                </c:pt>
                <c:pt idx="4">
                  <c:v>Сливен</c:v>
                </c:pt>
                <c:pt idx="5">
                  <c:v>Благоевград</c:v>
                </c:pt>
                <c:pt idx="6">
                  <c:v>Хасково</c:v>
                </c:pt>
                <c:pt idx="7">
                  <c:v>Перник</c:v>
                </c:pt>
                <c:pt idx="8">
                  <c:v>Силистра</c:v>
                </c:pt>
                <c:pt idx="9">
                  <c:v>Търговище</c:v>
                </c:pt>
                <c:pt idx="10">
                  <c:v>Смолян</c:v>
                </c:pt>
                <c:pt idx="11">
                  <c:v>Шумен</c:v>
                </c:pt>
                <c:pt idx="12">
                  <c:v>Монтана</c:v>
                </c:pt>
                <c:pt idx="13">
                  <c:v>Велико Търново</c:v>
                </c:pt>
                <c:pt idx="14">
                  <c:v>Ловеч</c:v>
                </c:pt>
                <c:pt idx="15">
                  <c:v>Кюстендил</c:v>
                </c:pt>
                <c:pt idx="16">
                  <c:v>Видин</c:v>
                </c:pt>
                <c:pt idx="17">
                  <c:v>Враца</c:v>
                </c:pt>
                <c:pt idx="18">
                  <c:v>София</c:v>
                </c:pt>
                <c:pt idx="19">
                  <c:v>Бургас</c:v>
                </c:pt>
                <c:pt idx="20">
                  <c:v>Пазарджик</c:v>
                </c:pt>
                <c:pt idx="21">
                  <c:v>Габрово</c:v>
                </c:pt>
                <c:pt idx="22">
                  <c:v>Русе</c:v>
                </c:pt>
                <c:pt idx="23">
                  <c:v>Стара Загора</c:v>
                </c:pt>
                <c:pt idx="24">
                  <c:v>Средно за страната</c:v>
                </c:pt>
                <c:pt idx="25">
                  <c:v>Варна</c:v>
                </c:pt>
                <c:pt idx="26">
                  <c:v>Пловдив</c:v>
                </c:pt>
                <c:pt idx="27">
                  <c:v>София (столица)</c:v>
                </c:pt>
                <c:pt idx="28">
                  <c:v>Плевен</c:v>
                </c:pt>
              </c:strCache>
            </c:strRef>
          </c:cat>
          <c:val>
            <c:numRef>
              <c:f>Лекари!$B$3:$B$31</c:f>
              <c:numCache>
                <c:formatCode>#\ ##0.0</c:formatCode>
                <c:ptCount val="29"/>
                <c:pt idx="0">
                  <c:v>25.518210723106943</c:v>
                </c:pt>
                <c:pt idx="1">
                  <c:v>28.998172717883531</c:v>
                </c:pt>
                <c:pt idx="2">
                  <c:v>29.345372460496613</c:v>
                </c:pt>
                <c:pt idx="3">
                  <c:v>30.074675213966653</c:v>
                </c:pt>
                <c:pt idx="4">
                  <c:v>30.637867463290423</c:v>
                </c:pt>
                <c:pt idx="5">
                  <c:v>30.86279987599146</c:v>
                </c:pt>
                <c:pt idx="6">
                  <c:v>30.949139121450024</c:v>
                </c:pt>
                <c:pt idx="7">
                  <c:v>31.432379854456372</c:v>
                </c:pt>
                <c:pt idx="8">
                  <c:v>31.560392235510193</c:v>
                </c:pt>
                <c:pt idx="9">
                  <c:v>31.900762480519617</c:v>
                </c:pt>
                <c:pt idx="10">
                  <c:v>33.113661285244333</c:v>
                </c:pt>
                <c:pt idx="11">
                  <c:v>34.201965276989156</c:v>
                </c:pt>
                <c:pt idx="12">
                  <c:v>34.664617641408938</c:v>
                </c:pt>
                <c:pt idx="13">
                  <c:v>34.811503619605205</c:v>
                </c:pt>
                <c:pt idx="14">
                  <c:v>37.781243038538648</c:v>
                </c:pt>
                <c:pt idx="15">
                  <c:v>37.98538166485563</c:v>
                </c:pt>
                <c:pt idx="16">
                  <c:v>38.454572053557747</c:v>
                </c:pt>
                <c:pt idx="17">
                  <c:v>38.680657638921822</c:v>
                </c:pt>
                <c:pt idx="18">
                  <c:v>39.086653122515678</c:v>
                </c:pt>
                <c:pt idx="19">
                  <c:v>39.121228989246866</c:v>
                </c:pt>
                <c:pt idx="20">
                  <c:v>40.220011453380742</c:v>
                </c:pt>
                <c:pt idx="21">
                  <c:v>41.11235268073623</c:v>
                </c:pt>
                <c:pt idx="22">
                  <c:v>44.668050897087795</c:v>
                </c:pt>
                <c:pt idx="23">
                  <c:v>44.670225589805405</c:v>
                </c:pt>
                <c:pt idx="24" formatCode="0.0">
                  <c:v>46.4</c:v>
                </c:pt>
                <c:pt idx="25">
                  <c:v>54.469116126313075</c:v>
                </c:pt>
                <c:pt idx="26">
                  <c:v>56.267026102218168</c:v>
                </c:pt>
                <c:pt idx="27">
                  <c:v>56.893544113476281</c:v>
                </c:pt>
                <c:pt idx="28">
                  <c:v>76.693240805760936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D4-4E41-A211-B0F37B017D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-27"/>
        <c:axId val="504367264"/>
        <c:axId val="504369560"/>
      </c:barChart>
      <c:catAx>
        <c:axId val="50436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504369560"/>
        <c:crosses val="autoZero"/>
        <c:auto val="1"/>
        <c:lblAlgn val="ctr"/>
        <c:lblOffset val="100"/>
        <c:noMultiLvlLbl val="0"/>
      </c:catAx>
      <c:valAx>
        <c:axId val="504369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50436726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8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Брой</a:t>
            </a:r>
            <a:endParaRPr lang="en-US" sz="8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6.6639570989048436E-2"/>
          <c:y val="8.145766634939861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6974688644170827E-2"/>
          <c:y val="4.5430780243378668E-2"/>
          <c:w val="0.88215180332600995"/>
          <c:h val="0.64840476619047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Стоматол!$B$1</c:f>
              <c:strCache>
                <c:ptCount val="1"/>
                <c:pt idx="0">
                  <c:v>Осигуреност с стоматолози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3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402-47CE-978B-AF5D1E124A0E}"/>
              </c:ext>
            </c:extLst>
          </c:dPt>
          <c:cat>
            <c:strRef>
              <c:f>Стоматол!$A$2:$A$30</c:f>
              <c:strCache>
                <c:ptCount val="29"/>
                <c:pt idx="0">
                  <c:v>София</c:v>
                </c:pt>
                <c:pt idx="1">
                  <c:v>Силистра</c:v>
                </c:pt>
                <c:pt idx="2">
                  <c:v>Разград</c:v>
                </c:pt>
                <c:pt idx="3">
                  <c:v>Монтана</c:v>
                </c:pt>
                <c:pt idx="4">
                  <c:v>Търговище</c:v>
                </c:pt>
                <c:pt idx="5">
                  <c:v>Плевен</c:v>
                </c:pt>
                <c:pt idx="6">
                  <c:v>Ямбол</c:v>
                </c:pt>
                <c:pt idx="7">
                  <c:v>Сливен</c:v>
                </c:pt>
                <c:pt idx="8">
                  <c:v>Враца</c:v>
                </c:pt>
                <c:pt idx="9">
                  <c:v>Ловеч</c:v>
                </c:pt>
                <c:pt idx="10">
                  <c:v>Добрич</c:v>
                </c:pt>
                <c:pt idx="11">
                  <c:v>Шумен</c:v>
                </c:pt>
                <c:pt idx="12">
                  <c:v>Бургас</c:v>
                </c:pt>
                <c:pt idx="13">
                  <c:v>Кърджали</c:v>
                </c:pt>
                <c:pt idx="14">
                  <c:v>Габрово</c:v>
                </c:pt>
                <c:pt idx="15">
                  <c:v>Хасково</c:v>
                </c:pt>
                <c:pt idx="16">
                  <c:v>Пазарджик</c:v>
                </c:pt>
                <c:pt idx="17">
                  <c:v>Кюстендил</c:v>
                </c:pt>
                <c:pt idx="18">
                  <c:v>Стара Загора</c:v>
                </c:pt>
                <c:pt idx="19">
                  <c:v>Видин</c:v>
                </c:pt>
                <c:pt idx="20">
                  <c:v>Велико Търново</c:v>
                </c:pt>
                <c:pt idx="21">
                  <c:v>Русе</c:v>
                </c:pt>
                <c:pt idx="22">
                  <c:v>Благоевград</c:v>
                </c:pt>
                <c:pt idx="23">
                  <c:v>Средно за страната</c:v>
                </c:pt>
                <c:pt idx="24">
                  <c:v>Смолян</c:v>
                </c:pt>
                <c:pt idx="25">
                  <c:v>Перник</c:v>
                </c:pt>
                <c:pt idx="26">
                  <c:v>София (столица)</c:v>
                </c:pt>
                <c:pt idx="27">
                  <c:v>Варна</c:v>
                </c:pt>
                <c:pt idx="28">
                  <c:v>Пловдив</c:v>
                </c:pt>
              </c:strCache>
            </c:strRef>
          </c:cat>
          <c:val>
            <c:numRef>
              <c:f>Стоматол!$B$2:$B$30</c:f>
              <c:numCache>
                <c:formatCode>#\ ##0.0</c:formatCode>
                <c:ptCount val="29"/>
                <c:pt idx="0">
                  <c:v>5.741542266584224</c:v>
                </c:pt>
                <c:pt idx="1">
                  <c:v>6.3331890773599042</c:v>
                </c:pt>
                <c:pt idx="2">
                  <c:v>6.4550726940494156</c:v>
                </c:pt>
                <c:pt idx="3">
                  <c:v>6.7233641269231441</c:v>
                </c:pt>
                <c:pt idx="4">
                  <c:v>6.7985231515861475</c:v>
                </c:pt>
                <c:pt idx="5">
                  <c:v>7.2057682863581496</c:v>
                </c:pt>
                <c:pt idx="6">
                  <c:v>7.2422874341610237</c:v>
                </c:pt>
                <c:pt idx="7">
                  <c:v>7.3507359556838834</c:v>
                </c:pt>
                <c:pt idx="8">
                  <c:v>7.5193572643087947</c:v>
                </c:pt>
                <c:pt idx="9">
                  <c:v>7.8413900646023613</c:v>
                </c:pt>
                <c:pt idx="10">
                  <c:v>7.842602380059331</c:v>
                </c:pt>
                <c:pt idx="11">
                  <c:v>7.9492848983627145</c:v>
                </c:pt>
                <c:pt idx="12">
                  <c:v>8.2456313760580162</c:v>
                </c:pt>
                <c:pt idx="13">
                  <c:v>9.1428883339474076</c:v>
                </c:pt>
                <c:pt idx="14">
                  <c:v>9.1712171364719275</c:v>
                </c:pt>
                <c:pt idx="15">
                  <c:v>9.5116699016000847</c:v>
                </c:pt>
                <c:pt idx="16">
                  <c:v>9.8108416459129639</c:v>
                </c:pt>
                <c:pt idx="17">
                  <c:v>9.937495936771521</c:v>
                </c:pt>
                <c:pt idx="18">
                  <c:v>10.160151541243327</c:v>
                </c:pt>
                <c:pt idx="19">
                  <c:v>10.170955651846795</c:v>
                </c:pt>
                <c:pt idx="20">
                  <c:v>10.28521697851972</c:v>
                </c:pt>
                <c:pt idx="21">
                  <c:v>10.328488526859394</c:v>
                </c:pt>
                <c:pt idx="22">
                  <c:v>11.216502889468678</c:v>
                </c:pt>
                <c:pt idx="23">
                  <c:v>11.8</c:v>
                </c:pt>
                <c:pt idx="24">
                  <c:v>12.919756370308445</c:v>
                </c:pt>
                <c:pt idx="25">
                  <c:v>13.689747099935154</c:v>
                </c:pt>
                <c:pt idx="26">
                  <c:v>14.949901512473144</c:v>
                </c:pt>
                <c:pt idx="27">
                  <c:v>16.098905781096338</c:v>
                </c:pt>
                <c:pt idx="28">
                  <c:v>18.687281600287886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02-47CE-978B-AF5D1E124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overlap val="-32"/>
        <c:axId val="511762704"/>
        <c:axId val="511764344"/>
      </c:barChart>
      <c:lineChart>
        <c:grouping val="standard"/>
        <c:varyColors val="0"/>
        <c:ser>
          <c:idx val="1"/>
          <c:order val="1"/>
          <c:tx>
            <c:strRef>
              <c:f>Стоматол!#REF!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Стоматол!$A$2:$A$30</c:f>
              <c:strCache>
                <c:ptCount val="29"/>
                <c:pt idx="0">
                  <c:v>София</c:v>
                </c:pt>
                <c:pt idx="1">
                  <c:v>Силистра</c:v>
                </c:pt>
                <c:pt idx="2">
                  <c:v>Разград</c:v>
                </c:pt>
                <c:pt idx="3">
                  <c:v>Монтана</c:v>
                </c:pt>
                <c:pt idx="4">
                  <c:v>Търговище</c:v>
                </c:pt>
                <c:pt idx="5">
                  <c:v>Плевен</c:v>
                </c:pt>
                <c:pt idx="6">
                  <c:v>Ямбол</c:v>
                </c:pt>
                <c:pt idx="7">
                  <c:v>Сливен</c:v>
                </c:pt>
                <c:pt idx="8">
                  <c:v>Враца</c:v>
                </c:pt>
                <c:pt idx="9">
                  <c:v>Ловеч</c:v>
                </c:pt>
                <c:pt idx="10">
                  <c:v>Добрич</c:v>
                </c:pt>
                <c:pt idx="11">
                  <c:v>Шумен</c:v>
                </c:pt>
                <c:pt idx="12">
                  <c:v>Бургас</c:v>
                </c:pt>
                <c:pt idx="13">
                  <c:v>Кърджали</c:v>
                </c:pt>
                <c:pt idx="14">
                  <c:v>Габрово</c:v>
                </c:pt>
                <c:pt idx="15">
                  <c:v>Хасково</c:v>
                </c:pt>
                <c:pt idx="16">
                  <c:v>Пазарджик</c:v>
                </c:pt>
                <c:pt idx="17">
                  <c:v>Кюстендил</c:v>
                </c:pt>
                <c:pt idx="18">
                  <c:v>Стара Загора</c:v>
                </c:pt>
                <c:pt idx="19">
                  <c:v>Видин</c:v>
                </c:pt>
                <c:pt idx="20">
                  <c:v>Велико Търново</c:v>
                </c:pt>
                <c:pt idx="21">
                  <c:v>Русе</c:v>
                </c:pt>
                <c:pt idx="22">
                  <c:v>Благоевград</c:v>
                </c:pt>
                <c:pt idx="23">
                  <c:v>Средно за страната</c:v>
                </c:pt>
                <c:pt idx="24">
                  <c:v>Смолян</c:v>
                </c:pt>
                <c:pt idx="25">
                  <c:v>Перник</c:v>
                </c:pt>
                <c:pt idx="26">
                  <c:v>София (столица)</c:v>
                </c:pt>
                <c:pt idx="27">
                  <c:v>Варна</c:v>
                </c:pt>
                <c:pt idx="28">
                  <c:v>Пловдив</c:v>
                </c:pt>
              </c:strCache>
            </c:strRef>
          </c:cat>
          <c:val>
            <c:numRef>
              <c:f>Стоматол!#REF!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402-47CE-978B-AF5D1E124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1762704"/>
        <c:axId val="511764344"/>
      </c:lineChart>
      <c:catAx>
        <c:axId val="51176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511764344"/>
        <c:crosses val="autoZero"/>
        <c:auto val="1"/>
        <c:lblAlgn val="ctr"/>
        <c:lblOffset val="100"/>
        <c:noMultiLvlLbl val="0"/>
      </c:catAx>
      <c:valAx>
        <c:axId val="511764344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51176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3DCC-1816-4E7C-B907-8C6F17F3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Chavdar Beyazov</cp:lastModifiedBy>
  <cp:revision>13</cp:revision>
  <cp:lastPrinted>2024-06-11T11:28:00Z</cp:lastPrinted>
  <dcterms:created xsi:type="dcterms:W3CDTF">2024-06-13T08:33:00Z</dcterms:created>
  <dcterms:modified xsi:type="dcterms:W3CDTF">2024-06-13T13:13:00Z</dcterms:modified>
</cp:coreProperties>
</file>