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52C05" w14:textId="77777777" w:rsidR="007F32AE" w:rsidRDefault="007F32AE" w:rsidP="00605C14">
      <w:pPr>
        <w:spacing w:line="276" w:lineRule="auto"/>
        <w:ind w:right="272"/>
        <w:rPr>
          <w:rFonts w:asciiTheme="minorHAnsi" w:hAnsiTheme="minorHAnsi" w:cstheme="minorHAnsi"/>
          <w:b/>
          <w:bCs/>
          <w:sz w:val="32"/>
          <w:szCs w:val="32"/>
          <w:lang w:val="bg-BG"/>
        </w:rPr>
      </w:pPr>
    </w:p>
    <w:p w14:paraId="133B4152" w14:textId="6075EB6A" w:rsidR="00C5788F" w:rsidRPr="00605C14" w:rsidRDefault="00C5788F" w:rsidP="00C5788F">
      <w:pPr>
        <w:spacing w:line="276" w:lineRule="auto"/>
        <w:ind w:right="272"/>
        <w:jc w:val="center"/>
        <w:rPr>
          <w:b/>
          <w:bCs/>
          <w:sz w:val="32"/>
          <w:szCs w:val="32"/>
          <w:lang w:val="bg-BG"/>
        </w:rPr>
      </w:pPr>
      <w:r w:rsidRPr="00605C14">
        <w:rPr>
          <w:b/>
          <w:bCs/>
          <w:sz w:val="32"/>
          <w:szCs w:val="32"/>
          <w:lang w:val="bg-BG"/>
        </w:rPr>
        <w:t>ПОЗИЦИЯ</w:t>
      </w:r>
    </w:p>
    <w:p w14:paraId="5CC245F0" w14:textId="5FB73A0F" w:rsidR="00C5788F" w:rsidRPr="00605C14" w:rsidRDefault="00C5788F" w:rsidP="00C5788F">
      <w:pPr>
        <w:spacing w:line="276" w:lineRule="auto"/>
        <w:ind w:right="272"/>
        <w:jc w:val="center"/>
        <w:rPr>
          <w:b/>
          <w:bCs/>
          <w:sz w:val="28"/>
          <w:szCs w:val="28"/>
          <w:lang w:val="bg-BG"/>
        </w:rPr>
      </w:pPr>
      <w:r w:rsidRPr="00605C14">
        <w:rPr>
          <w:b/>
          <w:bCs/>
          <w:sz w:val="28"/>
          <w:szCs w:val="28"/>
          <w:lang w:val="bg-BG"/>
        </w:rPr>
        <w:t>на Конфедерация на труда „Подкрепа“</w:t>
      </w:r>
    </w:p>
    <w:p w14:paraId="33576629" w14:textId="1D70379D" w:rsidR="00C5788F" w:rsidRPr="00605C14" w:rsidRDefault="00C5788F" w:rsidP="00605C14">
      <w:pPr>
        <w:spacing w:line="276" w:lineRule="auto"/>
        <w:ind w:right="272"/>
        <w:jc w:val="center"/>
        <w:rPr>
          <w:sz w:val="28"/>
          <w:szCs w:val="28"/>
          <w:lang w:val="bg-BG"/>
        </w:rPr>
      </w:pPr>
      <w:r w:rsidRPr="00605C14">
        <w:rPr>
          <w:b/>
          <w:bCs/>
          <w:sz w:val="28"/>
          <w:szCs w:val="28"/>
          <w:lang w:val="bg-BG"/>
        </w:rPr>
        <w:t>Относно</w:t>
      </w:r>
      <w:r w:rsidRPr="00605C14">
        <w:rPr>
          <w:sz w:val="28"/>
          <w:szCs w:val="28"/>
          <w:lang w:val="bg-BG"/>
        </w:rPr>
        <w:t>:</w:t>
      </w:r>
      <w:r w:rsidR="00605C14" w:rsidRPr="00605C14">
        <w:rPr>
          <w:sz w:val="22"/>
          <w:szCs w:val="22"/>
        </w:rPr>
        <w:t xml:space="preserve"> </w:t>
      </w:r>
      <w:r w:rsidR="00605C14" w:rsidRPr="00605C14">
        <w:rPr>
          <w:sz w:val="28"/>
          <w:szCs w:val="28"/>
          <w:lang w:val="bg-BG"/>
        </w:rPr>
        <w:t>Либерализация на пазара на електроенергия– премахване на регулираните цени за битови потребители</w:t>
      </w:r>
    </w:p>
    <w:p w14:paraId="699A014B" w14:textId="24D94513" w:rsidR="00C5788F" w:rsidRDefault="00C5788F" w:rsidP="00C5788F">
      <w:pPr>
        <w:ind w:right="272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3E3BAE03" w14:textId="77777777" w:rsidR="00C5788F" w:rsidRDefault="00C5788F" w:rsidP="00C5788F">
      <w:pPr>
        <w:ind w:right="272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5894C580" w14:textId="77777777" w:rsidR="00605C14" w:rsidRPr="00605C14" w:rsidRDefault="00605C14" w:rsidP="00605C14">
      <w:pPr>
        <w:suppressAutoHyphens w:val="0"/>
        <w:spacing w:after="160" w:line="259" w:lineRule="auto"/>
        <w:ind w:firstLine="720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В условията на висока инфлация и неясноти относно енергийните цени, във връзка с протичащите геополитически конфликти, санкции и паралелно закриване на част от българската енергийна система (мини и ТЕЦ-ове), както и отчитайки равнището на доходите на домакинствата спрямо необходимата издръжка на живот и прогнозите за инфлационните процеси и ръста на доходите, предлагаме:</w:t>
      </w:r>
    </w:p>
    <w:p w14:paraId="5E69A434" w14:textId="77777777" w:rsidR="00605C14" w:rsidRPr="00605C14" w:rsidRDefault="00605C14" w:rsidP="00605C14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bookmarkStart w:id="0" w:name="_Hlk161057084"/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Отлагане на влизането в сила на либерализацията на цените за битови потребители с поне една година</w:t>
      </w:r>
      <w:bookmarkEnd w:id="0"/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.</w:t>
      </w:r>
    </w:p>
    <w:p w14:paraId="15CD3D87" w14:textId="77777777" w:rsidR="00605C14" w:rsidRPr="00605C14" w:rsidRDefault="00605C14" w:rsidP="00605C14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 Ясно разписани и одобрени от социалните партньори планове за бъдещето на българската енергетика, работещите в сектора и цените на електроенергията, на база мощности, потребление, съхранение, внос.</w:t>
      </w:r>
    </w:p>
    <w:p w14:paraId="7DBE2753" w14:textId="77777777" w:rsidR="00605C14" w:rsidRPr="00605C14" w:rsidRDefault="00605C14" w:rsidP="00605C14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Ясен механизъм за определяне на цената за всички битови потребители и начина на компенсиране на битовите потребители за преходния период между регулирани цени и борсови цени на електроенергията, който да защити максимално потребителите от чувствителен скок в цената.</w:t>
      </w:r>
    </w:p>
    <w:p w14:paraId="02F79FB4" w14:textId="77777777" w:rsidR="00605C14" w:rsidRPr="00605C14" w:rsidRDefault="00605C14" w:rsidP="00605C14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Да се гарантира, че компенсациите са финансово обезпечени.</w:t>
      </w:r>
    </w:p>
    <w:p w14:paraId="70B67C4D" w14:textId="77777777" w:rsidR="00605C14" w:rsidRPr="00605C14" w:rsidRDefault="00605C14" w:rsidP="00605C14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Премахване на автоматичния механизъм за увеличение на цената на електроенергията на база инфлация, който е в интерес единствено на доставчиците, но не и на потребителите.</w:t>
      </w:r>
    </w:p>
    <w:p w14:paraId="23CB93DB" w14:textId="77777777" w:rsidR="00605C14" w:rsidRPr="00605C14" w:rsidRDefault="00605C14" w:rsidP="00605C14">
      <w:pPr>
        <w:suppressAutoHyphens w:val="0"/>
        <w:spacing w:after="160" w:line="259" w:lineRule="auto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53F4091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МОТИВИ:</w:t>
      </w:r>
    </w:p>
    <w:p w14:paraId="540E34C3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По т.1 от предложенията - Отлагане на влизането в сила на либерализацията на цените за битови потребители с поне една година:</w:t>
      </w:r>
    </w:p>
    <w:p w14:paraId="400B0285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Нормативната уредба не гарантира прозрачност, предсказуемост и сигурност за потребителите - каква ще е цената на електроенергията за преходния период, като нормативната уредба предвижда:</w:t>
      </w:r>
    </w:p>
    <w:p w14:paraId="016C6E74" w14:textId="77777777" w:rsidR="00605C14" w:rsidRPr="00605C14" w:rsidRDefault="00605C14" w:rsidP="00605C14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Да се определя ежемесечна компенсация на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част от разходите на битовите потребители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 (чл.21, ал.1, т.8в от ЗЕ) с Решение на МС или със Закона за Държавния бюджет;</w:t>
      </w:r>
    </w:p>
    <w:p w14:paraId="37D60C37" w14:textId="77777777" w:rsidR="00605C14" w:rsidRPr="00605C14" w:rsidRDefault="00605C14" w:rsidP="00605C14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lastRenderedPageBreak/>
        <w:t xml:space="preserve">Компенсацията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„може“ да бъде за част или за цялото количество енергия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 (чл.21, ал.1, т.8в от ЗЕ);</w:t>
      </w:r>
    </w:p>
    <w:p w14:paraId="299F7D0A" w14:textId="77777777" w:rsidR="00605C14" w:rsidRPr="00605C14" w:rsidRDefault="00605C14" w:rsidP="00605C14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Компенсацията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„може“ да бъде диференцирана според количеството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 потребена ел.енергия.</w:t>
      </w:r>
    </w:p>
    <w:p w14:paraId="668CAC84" w14:textId="77777777" w:rsidR="00605C14" w:rsidRPr="00605C14" w:rsidRDefault="00605C14" w:rsidP="00605C14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Съгласно чл.36б от ЗЕ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 xml:space="preserve">компенсациите за битовите потребители ще се поемат от Фонд </w:t>
      </w:r>
      <w:bookmarkStart w:id="1" w:name="_Hlk161054673"/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„Сигурност на електроенергийните системи“</w:t>
      </w:r>
      <w:bookmarkEnd w:id="1"/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 на база договор между фонда и крайния снабдител. В същото време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Фондът няма ресурс, за да поеме подобни плащания към днешна дата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.</w:t>
      </w:r>
    </w:p>
    <w:p w14:paraId="3DC33386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049C60E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Нормативната база регламентира ред и условия, които не създават </w:t>
      </w: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достатъчна защита от прекомерно увеличение на цените на електроенергията за бита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, като това ще се извършва с акт на МС или със Закона за ДБ. Вероятно цената на тока за бита се поставя в пряка зависимост от възможностите на бюджета и на Фонда „Сигурност на електроенергийните системи“. Многото „може“ в ЗЕ предполагат, че защитата на битовите потребители може да се окаже неефикасна.</w:t>
      </w:r>
    </w:p>
    <w:p w14:paraId="7E3EC48D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Не става ясно за кого (за всеки, за домакинства под линия на бедност, енергийна бедност и т.н.), за какво количество (част или диференцирано) и най-вече при какви цени ще се изчисляват компенсациите, а остават броени месеци до влизане в сила на разпоредбите на ЗЕ. В допълнение линията на бедност в размер на 526 лева е повече от скромна и всъщност този праг гарантира мизерия.</w:t>
      </w:r>
    </w:p>
    <w:p w14:paraId="4907435E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Предвид, че 2/3 от домакинствата са на жизнен минимум, това ще е пореден удар върху бюджета на домакинствата, отчитайки ръста на цените на хранителните стоки, услугите, горивата и енергийните ресурси, водата, телекомуникационните услуги и т.н. Въпреки, че е налице забавяне на инфлацията, тя продължава да расте, за разлика от доходите, които изостават значително като лишенията ще продължат да нарастват, за сметка на монополните и олигополните цени.</w:t>
      </w:r>
    </w:p>
    <w:p w14:paraId="36B04796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Трябва да се разпише ясен механизъм даващ яснота, прозрачност при определяне на фиксираната цена за преходния период и предвидимост за бюджета на домакинствата.</w:t>
      </w:r>
    </w:p>
    <w:p w14:paraId="23B7288D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449B61A5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 xml:space="preserve">По т.2 от предложенията - </w:t>
      </w:r>
      <w:bookmarkStart w:id="2" w:name="_Hlk161057319"/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Ясно разписани и одобрени от социалните партньори планове за бъдещето на българската енергетика, работещите в сектора и цените на електроенергията, на база мощности, потребление, съхранение, внос</w:t>
      </w:r>
      <w:bookmarkEnd w:id="2"/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:</w:t>
      </w:r>
    </w:p>
    <w:p w14:paraId="17FDC82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Във връзка с предложението по т.1 и с цел да се гарантира националната сигурност - производството, разпространението и потреблението на електроенергия и защита на правата на крайните потребители е необходимо да се разпишат и одобрят дългосрочни и 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lastRenderedPageBreak/>
        <w:t>краткосрочни планове за бъдещето на българската енергийна система, така че да не се поставя под риск обезпечаването на потреблението за бизнеса и бита, на цени, които няма да водят до резки и непланирани сътресения на пазара, както и да се гарантира обезпечаване на нуждите от електроенергия.</w:t>
      </w:r>
    </w:p>
    <w:p w14:paraId="7DF4C932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В свят, в който всяко прекъсване на подаването или недостиг на електроенергията ще носи все по-значителни икономически и социални щети от първостепенна важност е да се планира, управлява, модернизира и разширява производството на електроенергия, за да се гарантира енергийната независимост на страната.</w:t>
      </w:r>
    </w:p>
    <w:p w14:paraId="32D7907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Приемането на стратегически план и гарантирането на политическа устойчивост и приемственост с приоритет националните интереси ще предостави възможност на България да изпълнява целите си, без да изпитва непредвидени сътресения или да се налага да прави необосновани компромиси.</w:t>
      </w:r>
    </w:p>
    <w:p w14:paraId="12CE8857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Към днешна дата липсва адекватна готовност за преформатиране на енергийната система, като бъдат изключени части от нея основно, в резултат на наложените квази данъци върху въглеродните емисии. Загубено бе ценно време както по отношение на визията за развитието на енергетиката – нови мощности и модернизиране на съществуващите, в т.ч. какво се случва с хората, които ще бъдат съкратени, така и по отношение на обществената готовност за преминаване към борсови цени.</w:t>
      </w:r>
    </w:p>
    <w:p w14:paraId="18513A4A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КТ „Подкрепа“ счита, че днешното бързане може да доведе до значителни сътресения по отношение на работещите и до влошаване на бюджетите на домакинствата.</w:t>
      </w:r>
    </w:p>
    <w:p w14:paraId="7F35E3B3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516D3A6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По т.3 от предложенията - ясен механизъм за компенсиране на битовите потребители за преходния период между регулирани цени и борсови цени на електроенергията:</w:t>
      </w:r>
    </w:p>
    <w:p w14:paraId="66670664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Действащата нормативна уредба оставя широко отворена врата за движение на „регулираните“ цени на електроенергията за битовите потребители от изпълнителната власт или Народното събрание, както и за частта, която ще бъде компенсирана. Можем да добавим, че липсват легални дефиниции относно жизнен стандарт/издръжка на живот, налице са опити да се създадат различни категории бедност, което ще създава допълнителни трудности пред хората и още – как, например, ще се прилага „може“ по отношение на количеството консумирана енергия или за част от количеството?</w:t>
      </w:r>
    </w:p>
    <w:p w14:paraId="196D1D45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Липсва предсказуемост и прозрачност в нормативната уредба. Прекалено много „може“ могат да се четат и като „не може“. Дори няма приоритетност на начина на компенсиране. Фактически определянето на цените за битови потребители за преходния период, както и кой, за какво и за колко ще има компенсации са оставени в ръцете на </w:t>
      </w: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lastRenderedPageBreak/>
        <w:t>органи, които ще създават рамки според собствените си разбирания, без да има рамка, в която да се вместят.</w:t>
      </w:r>
    </w:p>
    <w:p w14:paraId="0A08ABF9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09BA2303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По т.4 от предложенията - Да се гарантира, че компенсациите са финансово обезпечени:</w:t>
      </w:r>
    </w:p>
    <w:p w14:paraId="44DDDC5E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 xml:space="preserve">Към днешна дата финансовото състояние на Фонд „Сигурност на електроенергийните системи“ не може да обезпечи предвидените в ЗЕ изменения и допълнения, които влизат в сила от средата на годината. </w:t>
      </w:r>
    </w:p>
    <w:p w14:paraId="0E5BD76C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При подобно състояние на Фонда може да се предположи, че отново Държавният бюджет ще трябва да поеме тежестта, което изисква актуализацията му или е предвиден друг механизъм за финансово обезпечаване на изплащането на компенсациите.</w:t>
      </w:r>
    </w:p>
    <w:p w14:paraId="7463F278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3959D430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b/>
          <w:bCs/>
          <w:kern w:val="2"/>
          <w:sz w:val="28"/>
          <w:szCs w:val="22"/>
          <w:lang w:val="bg-BG" w:eastAsia="en-US"/>
          <w14:ligatures w14:val="standardContextual"/>
        </w:rPr>
        <w:t>По т.5 от предложенията - Премахване на автоматичния механизъм за увеличение на цената на електроенергията на база инфлация, който е в интерес единствено на доставчиците, но не и на потребителите:</w:t>
      </w:r>
    </w:p>
    <w:p w14:paraId="462E132C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70A261BD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КТ „Подкрепа“ е абсолютно против узаконяването на подобен механизъм за повишаване на цените, с който обикновено се злоупотребява в ущърб на потребителите.</w:t>
      </w:r>
    </w:p>
    <w:p w14:paraId="208C78F0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Актуализация на цените на електроенергията може да се прави при ясни процедури, методология и методика, които да отчитат единствено производството и разпространението на електроенергия, а не да се търси общата инфлация.</w:t>
      </w:r>
    </w:p>
    <w:p w14:paraId="48084A9B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  <w:r w:rsidRPr="00605C14"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  <w:t>Напомняме, че всяко изменение на цените на енергоносителите с 10% води до пряко увеличение на инфлацията с 1%. Ако приемем, че за предходен период се отчете инфлация от 10% (средногодишна за 2023 г.) и с толкова се увеличи цената на електроенергията за 2024 г., например, то това ще доведе до нов 1% допълнителна инфлация.</w:t>
      </w:r>
    </w:p>
    <w:p w14:paraId="0122F7BA" w14:textId="77777777" w:rsidR="00605C14" w:rsidRPr="00605C14" w:rsidRDefault="00605C14" w:rsidP="00605C14">
      <w:pPr>
        <w:suppressAutoHyphens w:val="0"/>
        <w:spacing w:after="160" w:line="259" w:lineRule="auto"/>
        <w:ind w:firstLine="709"/>
        <w:jc w:val="both"/>
        <w:rPr>
          <w:rFonts w:eastAsia="Calibri"/>
          <w:kern w:val="2"/>
          <w:sz w:val="28"/>
          <w:szCs w:val="22"/>
          <w:lang w:val="bg-BG" w:eastAsia="en-US"/>
          <w14:ligatures w14:val="standardContextual"/>
        </w:rPr>
      </w:pPr>
    </w:p>
    <w:p w14:paraId="580E18F4" w14:textId="73407010" w:rsidR="00EF5947" w:rsidRPr="00136D7D" w:rsidRDefault="00EF5947" w:rsidP="00605C14">
      <w:pPr>
        <w:ind w:right="272"/>
        <w:rPr>
          <w:sz w:val="24"/>
          <w:szCs w:val="24"/>
          <w:lang w:val="bg-BG"/>
        </w:rPr>
      </w:pPr>
    </w:p>
    <w:sectPr w:rsidR="00EF5947" w:rsidRPr="00136D7D" w:rsidSect="00A70493">
      <w:headerReference w:type="default" r:id="rId8"/>
      <w:footerReference w:type="default" r:id="rId9"/>
      <w:pgSz w:w="11906" w:h="16838"/>
      <w:pgMar w:top="2102" w:right="566" w:bottom="764" w:left="720" w:header="56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A1F0" w14:textId="77777777" w:rsidR="00A70493" w:rsidRDefault="00A70493">
      <w:r>
        <w:separator/>
      </w:r>
    </w:p>
  </w:endnote>
  <w:endnote w:type="continuationSeparator" w:id="0">
    <w:p w14:paraId="558BA65E" w14:textId="77777777" w:rsidR="00A70493" w:rsidRDefault="00A7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DDA72" w14:textId="77777777" w:rsidR="00A02F81" w:rsidRDefault="00A02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1F8DE" w14:textId="77777777" w:rsidR="000501D6" w:rsidRDefault="0005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898D" w14:textId="77777777" w:rsidR="00A70493" w:rsidRDefault="00A70493">
      <w:r>
        <w:separator/>
      </w:r>
    </w:p>
  </w:footnote>
  <w:footnote w:type="continuationSeparator" w:id="0">
    <w:p w14:paraId="00BAF242" w14:textId="77777777" w:rsidR="00A70493" w:rsidRDefault="00A7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C8E" w14:textId="77777777" w:rsidR="004B06C6" w:rsidRDefault="00D466E7" w:rsidP="00410464">
    <w:pPr>
      <w:pStyle w:val="Heading1"/>
      <w:jc w:val="left"/>
    </w:pPr>
    <w:r>
      <w:rPr>
        <w:noProof/>
        <w:lang w:eastAsia="en-US"/>
      </w:rPr>
      <w:drawing>
        <wp:inline distT="0" distB="0" distL="0" distR="0" wp14:anchorId="7B38CC93" wp14:editId="4D0D27E0">
          <wp:extent cx="6657975" cy="1143000"/>
          <wp:effectExtent l="0" t="0" r="9525" b="0"/>
          <wp:docPr id="3" name="Picture 3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810A8" w14:textId="77777777" w:rsidR="004B06C6" w:rsidRDefault="004B06C6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9D6A89"/>
    <w:multiLevelType w:val="hybridMultilevel"/>
    <w:tmpl w:val="F128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3A8"/>
    <w:multiLevelType w:val="hybridMultilevel"/>
    <w:tmpl w:val="C0BECB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8A0514"/>
    <w:multiLevelType w:val="hybridMultilevel"/>
    <w:tmpl w:val="B346123E"/>
    <w:lvl w:ilvl="0" w:tplc="36CEF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911"/>
    <w:multiLevelType w:val="hybridMultilevel"/>
    <w:tmpl w:val="A0C2B794"/>
    <w:lvl w:ilvl="0" w:tplc="362CA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20E"/>
    <w:multiLevelType w:val="hybridMultilevel"/>
    <w:tmpl w:val="E5406B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5639D5"/>
    <w:multiLevelType w:val="hybridMultilevel"/>
    <w:tmpl w:val="22D22412"/>
    <w:lvl w:ilvl="0" w:tplc="291EAFE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E32755"/>
    <w:multiLevelType w:val="hybridMultilevel"/>
    <w:tmpl w:val="86FC1182"/>
    <w:lvl w:ilvl="0" w:tplc="05945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927F7"/>
    <w:multiLevelType w:val="hybridMultilevel"/>
    <w:tmpl w:val="6F5207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6A7146"/>
    <w:multiLevelType w:val="hybridMultilevel"/>
    <w:tmpl w:val="07581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207281">
    <w:abstractNumId w:val="0"/>
  </w:num>
  <w:num w:numId="2" w16cid:durableId="921179375">
    <w:abstractNumId w:val="1"/>
  </w:num>
  <w:num w:numId="3" w16cid:durableId="317614617">
    <w:abstractNumId w:val="2"/>
  </w:num>
  <w:num w:numId="4" w16cid:durableId="875846899">
    <w:abstractNumId w:val="3"/>
  </w:num>
  <w:num w:numId="5" w16cid:durableId="375737769">
    <w:abstractNumId w:val="6"/>
  </w:num>
  <w:num w:numId="6" w16cid:durableId="2122600518">
    <w:abstractNumId w:val="11"/>
  </w:num>
  <w:num w:numId="7" w16cid:durableId="1236670952">
    <w:abstractNumId w:val="7"/>
  </w:num>
  <w:num w:numId="8" w16cid:durableId="686516377">
    <w:abstractNumId w:val="8"/>
  </w:num>
  <w:num w:numId="9" w16cid:durableId="2098285325">
    <w:abstractNumId w:val="5"/>
  </w:num>
  <w:num w:numId="10" w16cid:durableId="86586903">
    <w:abstractNumId w:val="9"/>
  </w:num>
  <w:num w:numId="11" w16cid:durableId="457453336">
    <w:abstractNumId w:val="10"/>
  </w:num>
  <w:num w:numId="12" w16cid:durableId="1844204038">
    <w:abstractNumId w:val="4"/>
  </w:num>
  <w:num w:numId="13" w16cid:durableId="1651207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05"/>
    <w:rsid w:val="0001597F"/>
    <w:rsid w:val="000244E7"/>
    <w:rsid w:val="000501D6"/>
    <w:rsid w:val="00063712"/>
    <w:rsid w:val="000A05DF"/>
    <w:rsid w:val="000A1F80"/>
    <w:rsid w:val="000C2F66"/>
    <w:rsid w:val="000E78E1"/>
    <w:rsid w:val="000F0939"/>
    <w:rsid w:val="000F580F"/>
    <w:rsid w:val="00111E05"/>
    <w:rsid w:val="00136D7D"/>
    <w:rsid w:val="00143B21"/>
    <w:rsid w:val="00166E11"/>
    <w:rsid w:val="0017395B"/>
    <w:rsid w:val="0017481E"/>
    <w:rsid w:val="001825E3"/>
    <w:rsid w:val="001845FE"/>
    <w:rsid w:val="001B2BEB"/>
    <w:rsid w:val="001D0AD1"/>
    <w:rsid w:val="001D10E3"/>
    <w:rsid w:val="001E6C22"/>
    <w:rsid w:val="001F7ECB"/>
    <w:rsid w:val="00204080"/>
    <w:rsid w:val="00204C12"/>
    <w:rsid w:val="00206C23"/>
    <w:rsid w:val="00214948"/>
    <w:rsid w:val="00256C62"/>
    <w:rsid w:val="00275CE0"/>
    <w:rsid w:val="00290B64"/>
    <w:rsid w:val="00295126"/>
    <w:rsid w:val="002D7E37"/>
    <w:rsid w:val="002E194E"/>
    <w:rsid w:val="002E2B94"/>
    <w:rsid w:val="002E3DB0"/>
    <w:rsid w:val="00323D79"/>
    <w:rsid w:val="00325061"/>
    <w:rsid w:val="003255F7"/>
    <w:rsid w:val="00360CB9"/>
    <w:rsid w:val="00373A9D"/>
    <w:rsid w:val="0038788B"/>
    <w:rsid w:val="003A679C"/>
    <w:rsid w:val="003D3F84"/>
    <w:rsid w:val="003D5240"/>
    <w:rsid w:val="0040029E"/>
    <w:rsid w:val="00410464"/>
    <w:rsid w:val="00416F09"/>
    <w:rsid w:val="004607F5"/>
    <w:rsid w:val="0046449E"/>
    <w:rsid w:val="00470962"/>
    <w:rsid w:val="004770F6"/>
    <w:rsid w:val="004836E2"/>
    <w:rsid w:val="00486550"/>
    <w:rsid w:val="004A24C9"/>
    <w:rsid w:val="004A303F"/>
    <w:rsid w:val="004A3FEB"/>
    <w:rsid w:val="004A6C2F"/>
    <w:rsid w:val="004B06C6"/>
    <w:rsid w:val="004B0C3E"/>
    <w:rsid w:val="004B4862"/>
    <w:rsid w:val="004C3AD9"/>
    <w:rsid w:val="00506DBD"/>
    <w:rsid w:val="005450D4"/>
    <w:rsid w:val="005477F3"/>
    <w:rsid w:val="00573FDB"/>
    <w:rsid w:val="00576F33"/>
    <w:rsid w:val="00583698"/>
    <w:rsid w:val="005A2628"/>
    <w:rsid w:val="005A2E74"/>
    <w:rsid w:val="005B784B"/>
    <w:rsid w:val="005D5EEC"/>
    <w:rsid w:val="005E4493"/>
    <w:rsid w:val="005E7E8C"/>
    <w:rsid w:val="005F42BD"/>
    <w:rsid w:val="00605C14"/>
    <w:rsid w:val="00611683"/>
    <w:rsid w:val="0061713B"/>
    <w:rsid w:val="00626299"/>
    <w:rsid w:val="00633B7E"/>
    <w:rsid w:val="00651709"/>
    <w:rsid w:val="0066416C"/>
    <w:rsid w:val="00692A79"/>
    <w:rsid w:val="006A74E8"/>
    <w:rsid w:val="006B112F"/>
    <w:rsid w:val="006B53F9"/>
    <w:rsid w:val="006D2D57"/>
    <w:rsid w:val="00755584"/>
    <w:rsid w:val="00763B6D"/>
    <w:rsid w:val="00776F39"/>
    <w:rsid w:val="00781775"/>
    <w:rsid w:val="007A0F71"/>
    <w:rsid w:val="007E7155"/>
    <w:rsid w:val="007F32AE"/>
    <w:rsid w:val="0080176C"/>
    <w:rsid w:val="00807EEA"/>
    <w:rsid w:val="00830299"/>
    <w:rsid w:val="00830817"/>
    <w:rsid w:val="00835069"/>
    <w:rsid w:val="00851DAD"/>
    <w:rsid w:val="0085535E"/>
    <w:rsid w:val="0085537D"/>
    <w:rsid w:val="0087385D"/>
    <w:rsid w:val="008D457C"/>
    <w:rsid w:val="00910066"/>
    <w:rsid w:val="00921B31"/>
    <w:rsid w:val="009675C2"/>
    <w:rsid w:val="00992E30"/>
    <w:rsid w:val="0099320A"/>
    <w:rsid w:val="009A2EFF"/>
    <w:rsid w:val="009A7CAC"/>
    <w:rsid w:val="009B1E87"/>
    <w:rsid w:val="009C2A00"/>
    <w:rsid w:val="009C5D57"/>
    <w:rsid w:val="009D18F5"/>
    <w:rsid w:val="009F6B72"/>
    <w:rsid w:val="00A02B75"/>
    <w:rsid w:val="00A02F81"/>
    <w:rsid w:val="00A56E64"/>
    <w:rsid w:val="00A70493"/>
    <w:rsid w:val="00AA31E6"/>
    <w:rsid w:val="00AB00C5"/>
    <w:rsid w:val="00AE57D4"/>
    <w:rsid w:val="00AE7984"/>
    <w:rsid w:val="00AF06AB"/>
    <w:rsid w:val="00AF5E9E"/>
    <w:rsid w:val="00AF73E1"/>
    <w:rsid w:val="00B0567C"/>
    <w:rsid w:val="00B074A4"/>
    <w:rsid w:val="00B15B96"/>
    <w:rsid w:val="00B35BAC"/>
    <w:rsid w:val="00B37A22"/>
    <w:rsid w:val="00B452BC"/>
    <w:rsid w:val="00B54BC6"/>
    <w:rsid w:val="00B577AE"/>
    <w:rsid w:val="00B75D92"/>
    <w:rsid w:val="00B917C9"/>
    <w:rsid w:val="00B92712"/>
    <w:rsid w:val="00BA2D96"/>
    <w:rsid w:val="00BA532F"/>
    <w:rsid w:val="00BB1240"/>
    <w:rsid w:val="00BB246A"/>
    <w:rsid w:val="00BB53A6"/>
    <w:rsid w:val="00BC4573"/>
    <w:rsid w:val="00C04F4D"/>
    <w:rsid w:val="00C07F31"/>
    <w:rsid w:val="00C10A1F"/>
    <w:rsid w:val="00C5788F"/>
    <w:rsid w:val="00C609B5"/>
    <w:rsid w:val="00CB659C"/>
    <w:rsid w:val="00CC7A37"/>
    <w:rsid w:val="00CF3B89"/>
    <w:rsid w:val="00D069A4"/>
    <w:rsid w:val="00D11CFE"/>
    <w:rsid w:val="00D466E7"/>
    <w:rsid w:val="00D74923"/>
    <w:rsid w:val="00D80BF4"/>
    <w:rsid w:val="00DA07AB"/>
    <w:rsid w:val="00DD13E0"/>
    <w:rsid w:val="00DF18D0"/>
    <w:rsid w:val="00DF6251"/>
    <w:rsid w:val="00E0085B"/>
    <w:rsid w:val="00E009DD"/>
    <w:rsid w:val="00E16824"/>
    <w:rsid w:val="00E253BB"/>
    <w:rsid w:val="00E341BA"/>
    <w:rsid w:val="00E50FA6"/>
    <w:rsid w:val="00E5126D"/>
    <w:rsid w:val="00E6076D"/>
    <w:rsid w:val="00E6799A"/>
    <w:rsid w:val="00E769B7"/>
    <w:rsid w:val="00E80D18"/>
    <w:rsid w:val="00EB2E06"/>
    <w:rsid w:val="00EB3927"/>
    <w:rsid w:val="00EB49F6"/>
    <w:rsid w:val="00EB5953"/>
    <w:rsid w:val="00EE0D08"/>
    <w:rsid w:val="00EE2989"/>
    <w:rsid w:val="00EE3F14"/>
    <w:rsid w:val="00EF1563"/>
    <w:rsid w:val="00EF5947"/>
    <w:rsid w:val="00EF73DC"/>
    <w:rsid w:val="00F04AE5"/>
    <w:rsid w:val="00F22CEB"/>
    <w:rsid w:val="00F3568E"/>
    <w:rsid w:val="00F53B5C"/>
    <w:rsid w:val="00F8323D"/>
    <w:rsid w:val="00FC4B6F"/>
    <w:rsid w:val="00FE135B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CAA52C"/>
  <w15:docId w15:val="{E727CF5E-E6CA-426F-9DFD-9CEDCBB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jc w:val="center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FF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ntenttitle1">
    <w:name w:val="content_title1"/>
    <w:rPr>
      <w:rFonts w:ascii="Arial" w:hAnsi="Arial" w:cs="Arial"/>
      <w:b/>
      <w:bCs/>
      <w:strike w:val="0"/>
      <w:dstrike w:val="0"/>
      <w:color w:val="0B175D"/>
      <w:sz w:val="20"/>
      <w:szCs w:val="20"/>
      <w:u w:val="none"/>
    </w:rPr>
  </w:style>
  <w:style w:type="character" w:styleId="Strong">
    <w:name w:val="Strong"/>
    <w:qFormat/>
    <w:rPr>
      <w:b/>
      <w:bCs/>
    </w:rPr>
  </w:style>
  <w:style w:type="character" w:customStyle="1" w:styleId="a">
    <w:name w:val="Водачи"/>
    <w:rPr>
      <w:rFonts w:ascii="OpenSymbol" w:eastAsia="OpenSymbol" w:hAnsi="OpenSymbol" w:cs="OpenSymbol"/>
    </w:rPr>
  </w:style>
  <w:style w:type="character" w:customStyle="1" w:styleId="a0">
    <w:name w:val="Символи за номериране"/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16"/>
    </w:pPr>
    <w:rPr>
      <w:rFonts w:ascii="TmsCyr" w:hAnsi="TmsCyr"/>
      <w:color w:val="000000"/>
      <w:lang w:val="en-AU"/>
    </w:r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b/>
      <w:i/>
      <w:lang w:val="bg-BG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CC3300"/>
      <w:spacing w:val="20"/>
      <w:sz w:val="26"/>
      <w:u w:val="single"/>
    </w:rPr>
  </w:style>
  <w:style w:type="paragraph" w:styleId="BodyTextIndent2">
    <w:name w:val="Body Text Indent 2"/>
    <w:basedOn w:val="Normal"/>
    <w:pPr>
      <w:ind w:left="708"/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D466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6E7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E7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D466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92A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08BA-7653-42FD-A3DE-8786FD4F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AQUA TOUR</dc:creator>
  <cp:lastModifiedBy>Az</cp:lastModifiedBy>
  <cp:revision>2</cp:revision>
  <cp:lastPrinted>2010-08-30T06:44:00Z</cp:lastPrinted>
  <dcterms:created xsi:type="dcterms:W3CDTF">2024-03-20T08:07:00Z</dcterms:created>
  <dcterms:modified xsi:type="dcterms:W3CDTF">2024-03-20T08:07:00Z</dcterms:modified>
</cp:coreProperties>
</file>