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FE1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2719F76D" w14:textId="79069FA7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77FC">
        <w:rPr>
          <w:rFonts w:ascii="Times New Roman" w:hAnsi="Times New Roman" w:cs="Times New Roman"/>
          <w:b/>
          <w:sz w:val="24"/>
          <w:szCs w:val="24"/>
        </w:rPr>
        <w:t>Допълнителна информация за ПАВЕЦ Белмекен</w:t>
      </w:r>
      <w:r w:rsidR="000777FC" w:rsidRPr="000777F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79DAA66" w14:textId="269F0736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DE47BA2" w14:textId="0167C79A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56118F2" w14:textId="77777777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35CB1E" w14:textId="0E27C7A9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ПАВЕЦ Белмекен е първото стъпало от най-голямата хидроенергийна каскада в България Белмекен-Сестримо-Момина клисура. Централата има много важна роля за управлението и гарантирането на сигурността и балансирането на електроенергийната система на страната, допринася за енергийната независимост и интегрирането на производството от другите възобновяеми енергийни източници.</w:t>
      </w:r>
    </w:p>
    <w:p w14:paraId="27234788" w14:textId="77777777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CBE126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Централата е разположена в Рила планина, под язовир Белмекен и уползотворява пад на водата от 690 м. В централата са инсталирани 5 турбини тип Пелтон, вертикални с обща инсталирана мощност в генераторен режим 375 МВт и 104 МВт в помпен режим.</w:t>
      </w:r>
    </w:p>
    <w:p w14:paraId="52D56883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През 1973 г. в експлоатация е въведен хидроагрегат 4, който е първи за централата. </w:t>
      </w:r>
    </w:p>
    <w:p w14:paraId="60175B1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Водите от ПАВЕЦ Белмекен постъпват в разположения непосредствено до централата дневен изравнител Станкови бараки. По тунел и подземен напорен тръбопровод с обща дължина 5000 </w:t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водата от изравнителя Станкови бараки достига до ВЕЦ Сестримо, а след това до ВЕЦ Момина клисура.</w:t>
      </w:r>
    </w:p>
    <w:p w14:paraId="7B0EFBC3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Средното годишно производство на електроенергия от централата е 294 GWh. Произведената електрическа енергия от ПАВЕЦ Белмекен от въвеждането ѝ в експлоатация до настоящия момент е 14 700 794 184 kWh. Централата е работила общо 175 040 часа. </w:t>
      </w:r>
    </w:p>
    <w:p w14:paraId="08DD69B2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312C7CE6" w14:textId="0F7BFB89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777FC">
        <w:rPr>
          <w:rFonts w:ascii="Times New Roman" w:hAnsi="Times New Roman" w:cs="Times New Roman"/>
          <w:b/>
          <w:sz w:val="24"/>
          <w:szCs w:val="24"/>
        </w:rPr>
        <w:t>Общо за каскадата и проекта за рехабилитация на каскадата</w:t>
      </w:r>
    </w:p>
    <w:p w14:paraId="226D630E" w14:textId="597DD0F9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AC6C5D6" w14:textId="77777777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2C055F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Каскадата Белмекен – Сестримо – Момина клисура включва ПАВЕЦ Белмекен, ВЕЦ Сестримо, ВЕЦ Момина клисура, язовир Белмекен, дневен изравнител Станкови бараки и дневен изравнител Момина клисура. Разположена е в североизточните склонове на Рила планина и се разпростира от 1920 м.н.в. при яз. Белмекен до 251 м.н.в. при ВЕЦ Момина клисура. </w:t>
      </w:r>
    </w:p>
    <w:p w14:paraId="77AF2A2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Общата инсталирана мощност на каскадата е 735 МВт в генераторен режим и 104 МВт в помпен режим.</w:t>
      </w:r>
    </w:p>
    <w:p w14:paraId="15F17F00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На 18.05.2018 г. е подписан договор между НЕК ЕАД и консорциум KONČAR KET - ČKD BLANSKO – RUDIS за рехабилитацията на трите централи от каскадата. </w:t>
      </w:r>
    </w:p>
    <w:p w14:paraId="6CA1F2A5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Обща стойност на проекта за рехабилитация на каскадата: 19 997 642.45 евро.</w:t>
      </w:r>
    </w:p>
    <w:p w14:paraId="1BE6A75E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Проектът за рехабилитация на ПАВЕЦ Белмекен е изпълнен в рамките на подписно грантово споразумение с Европейската банка за възстановяване и развитие като Администратор на KIDSF за рехабилитацията на хидроенергийния комплекс Белмекен-Сестримо-Чаира и рехабилитация на ОРУ 110 kV на ВЕЦ Въча 1 и други системи на ВЕЦ под общ контрол. Общият бюджет на споразумението е 37 милиона евро, от които 70% се финансират от KIDSF, а 30% от НЕК.</w:t>
      </w:r>
    </w:p>
    <w:p w14:paraId="7AAF8BB3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KIDSF е Международен фонд за подпомагане извеждането от експлоатация на блокове от АЕЦ Козлодуй (KIDSF), администриран от Европейската банка за възстановяване и развитие по Споразумение за безвъзмездна помощ.</w:t>
      </w:r>
    </w:p>
    <w:p w14:paraId="3B8F47F7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lastRenderedPageBreak/>
        <w:t>Проектът има за цел да увеличи експлоатационната надеждност и да подобри възможностите и бързодействието на централите при участие в първичното и вторично регулиране на честотата на мрежата и захранването на коридори за аварийно възстановяване на енергийната система, чрез подмяна на амортизирано оборудване.</w:t>
      </w:r>
    </w:p>
    <w:p w14:paraId="02C8A4F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През настоящата 2024 г. се навършват 50 г. от завършване строителството на Каскада „Белмекен – Сестримо</w:t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“ I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>-ви етап, а именно:</w:t>
      </w:r>
    </w:p>
    <w:p w14:paraId="666DC0E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язовирна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стена Белмекен</w:t>
      </w:r>
    </w:p>
    <w:p w14:paraId="1B8ED6C2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  <w:t>Контрастена Белмекен</w:t>
      </w:r>
    </w:p>
    <w:p w14:paraId="51D1A3B9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  <w:t>Язовир Станкови бараки</w:t>
      </w:r>
    </w:p>
    <w:p w14:paraId="7282C27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  <w:t>Дневен изравнител Момина клисура</w:t>
      </w:r>
    </w:p>
    <w:p w14:paraId="1D6BAD18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  <w:t>Събирателна деривация (СД) Марица 1900</w:t>
      </w:r>
    </w:p>
    <w:p w14:paraId="46DC456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  <w:t>СД Марица 1200</w:t>
      </w:r>
    </w:p>
    <w:p w14:paraId="0B5FC93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Енергийният обем на язовир Белмекен възлиза на 480 GWh. Горен изравнител на ПАВЕЦ Белмекен и ПАВЕЦ Чаира.</w:t>
      </w:r>
    </w:p>
    <w:p w14:paraId="74B7881D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Събирателни деривации на кота 1900 </w:t>
      </w:r>
    </w:p>
    <w:p w14:paraId="3FEDBCC4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Най-горният пояс на каскадата - кота 1900, включва събирателните деривации Марица 1900, Джаферица и Грънчар. Освен от р. Марица, те събират и води от поречията на реките Места и Струма. В общия средногодишен приток на яз. Белмекен водите се разпределят така: 45% Маришки, 32% Местенски и 23% Струмски.</w:t>
      </w:r>
    </w:p>
    <w:p w14:paraId="1E6F8B57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8413DCE" w14:textId="46A0735D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777FC">
        <w:rPr>
          <w:rFonts w:ascii="Times New Roman" w:hAnsi="Times New Roman" w:cs="Times New Roman"/>
          <w:b/>
          <w:sz w:val="24"/>
          <w:szCs w:val="24"/>
        </w:rPr>
        <w:t>Рехабилитация на ХГ2 на ПАВЕЦ Чаира</w:t>
      </w:r>
    </w:p>
    <w:p w14:paraId="1476A1B6" w14:textId="77777777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9ECE054" w14:textId="26C3B25E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Дейностите по възстановяването и рехабилитацията на ХА2 с прилагането на специално иновативно инженерно решение от страна на НЕК и консорциума изпълнител на рехабилитацията вече са започнали и ще могат да бъдат пока</w:t>
      </w:r>
      <w:r w:rsidRPr="000777FC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0777FC">
        <w:rPr>
          <w:rFonts w:ascii="Times New Roman" w:hAnsi="Times New Roman" w:cs="Times New Roman"/>
          <w:sz w:val="24"/>
          <w:szCs w:val="24"/>
        </w:rPr>
        <w:t xml:space="preserve">ни по време на работното посещение на 13 февруари. Дейностите са свързани с подготовка на статора и турбината. Срокът за изпълнение е до края на 2024 г. </w:t>
      </w:r>
    </w:p>
    <w:p w14:paraId="4F66BDD9" w14:textId="29BBE45D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При успешното изпълнение на гореспоменатото инженерно решение, то ще бъде приложено и за ХА3, който е в аналогично на ХА2 техническо състояние. Срокът за изпълнение е до 12 месеца след започване на ремонта. Зa XА1, при който не са извършвани рехабилитационни дейности, </w:t>
      </w:r>
      <w:r w:rsidRPr="000777FC">
        <w:rPr>
          <w:rFonts w:ascii="Times New Roman" w:hAnsi="Times New Roman" w:cs="Times New Roman"/>
          <w:sz w:val="24"/>
          <w:szCs w:val="24"/>
          <w:lang w:val="bg-BG"/>
        </w:rPr>
        <w:t>продължават да се водят преговори</w:t>
      </w:r>
      <w:r w:rsidRPr="000777FC">
        <w:rPr>
          <w:rFonts w:ascii="Times New Roman" w:hAnsi="Times New Roman" w:cs="Times New Roman"/>
          <w:sz w:val="24"/>
          <w:szCs w:val="24"/>
        </w:rPr>
        <w:t>. Срокът за ремонт предстои да бъде дефиниран по време на финалните преговори и след получаване на обвързваща оферта. ХА4 е в процес на обявяване на тръжна процедура за подмяна на турбината, което ще отнеме около три години след сключването на договор с избрания изпълнител.</w:t>
      </w:r>
    </w:p>
    <w:p w14:paraId="338E04AD" w14:textId="26267E50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Общата цена на ремонта на централата ще е около 80 милиона лева, като тази прогнозна стойност е на база направени проучвания за изграждане и рехабилитация на подобен тип съоръжения. Финансирането ще бъде осигурено чрез комбинация от собствени и привлечени средства. В Закона за държавния бюджет на Република България за 2024 г. за "Модернизация и рехабилитация на ПАВЕЦ "Чаира" е предвидено, че Министерски съвет може да одобри или предложи на Народното събрание да издаде държавна гаранция в размер на 80 млн. </w:t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лв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>. На база на държавна гаранция НЕК може да се възползва от възможността за получаване на кредитно финансиране.</w:t>
      </w:r>
    </w:p>
    <w:p w14:paraId="2DC88992" w14:textId="77777777" w:rsidR="000777FC" w:rsidRPr="000777FC" w:rsidRDefault="000777FC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3AA0AA8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A562854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lastRenderedPageBreak/>
        <w:t>ПАВЕЦ Чаира е уникално хидротехническо съоръжение – най-голямата подземна централа на Балканския полуостров и един от най-важните стратегически за страната ни енергийни обекти. За времето на проектиране и изграждане, проектът е класифициран като „нулев“, защото това е била първата в света високо-напорна ПАВЕЦ. Към днешна дата ПАВЕЦ Чаира е на трето място в света по пад за такъв тип ПАВЕЦ (едностъпална обратима турбина). На първо и второ място по напор (пад на водата) са централи, изградени в Япония, но които са построени значително по-късно спрямо построяването на ПАВЕЦ Чаира, поради което централата продължава да бъде уникален обект в световен мащаб.</w:t>
      </w:r>
    </w:p>
    <w:p w14:paraId="0656034C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ПАВЕЦ Чаира има изключително важна роля за управлението и гарантиране на сигурността и балансирането на електроенергийната система на страната. С инсталирана мощност от 864 МВт в генераторен режим и 784 МВт в помпен режим централата дава възможност да бъдат успешно балансирани както традиционните базови мощности – АЕЦ и ТЕЦ, така и да бъдат успешно интегрирани възобновяемите източници на енергия.</w:t>
      </w:r>
    </w:p>
    <w:p w14:paraId="2CC939D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ПАВЕЦ Чаира е от ключово значение за балансирането на електроенергийната система със своето потребление в помпен режим на работа – при свръхпроизводство на електроенергия енергийно преработените води от язовир Чаира се изпомпват (качват) обратно в язовир Белмекен. </w:t>
      </w:r>
    </w:p>
    <w:p w14:paraId="3EBD1F5C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Като обект с голяма значимост за българската енергетика, възстановяването на ПАВЕЦ Чаира е сред основните приоритети на НЕК.</w:t>
      </w:r>
    </w:p>
    <w:p w14:paraId="7868EAFA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C0B81DD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777FC">
        <w:rPr>
          <w:rFonts w:ascii="Times New Roman" w:hAnsi="Times New Roman" w:cs="Times New Roman"/>
          <w:b/>
          <w:sz w:val="24"/>
          <w:szCs w:val="24"/>
        </w:rPr>
        <w:t>Допълнителна информация за споразумението с ЕБВР</w:t>
      </w:r>
    </w:p>
    <w:p w14:paraId="77D85D74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081DDA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Международен фонд Козлодуй, администриран от Европейската банка за възстановяване и развитие, е създаден през м. юни 2001 г. като програма на Европейската комисия и други европейски донори за подпомагане на българското правителство да се справи с предсрочното затваряне и извеждане от експлоатация на четирите блока на АЕЦ Козлодуй и последващи компенсаторни мерки в енергетиката. </w:t>
      </w:r>
    </w:p>
    <w:p w14:paraId="6121AFA0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Проектът за рехабилитация на ПАВЕЦ Белмекен е изпълнен в рамките на подписно грантово споразумение с Европейската банка за възстановяване и развитие като Администратор на KIDSF за рехабилитацията на хидроенергийния комплекс Белмекен-Сестримо-Чаира и рехабилитация на ОРУ 110 kV на ВЕЦ Въча 1 и други системи на ВЕЦ под общ контрол. Общият бюджет на споразумението е 37 милиона евро, от които 70% (26 580 000 евро) се финансират от KIDSF, а 30% от НЕК.</w:t>
      </w:r>
    </w:p>
    <w:p w14:paraId="645B8A67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На 18.05.2018 г. е подписан договор между НЕК ЕАД и консорциум KONČAR KET – ČKD BLANSKO – </w:t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RUDIS  с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предмет „Рехабилитация на ПАВЕЦ Белмекен, ВЕЦ Сестримо и ВЕЦ Момина клисура “.</w:t>
      </w:r>
    </w:p>
    <w:p w14:paraId="26D9863C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Проектът има за цел да увеличи експлоатационната надеждност и да подобри управлението на централата, чрез подмяна на амортизирано оборудване. </w:t>
      </w:r>
    </w:p>
    <w:p w14:paraId="01FF6618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 xml:space="preserve">При изпълнението на рехабилитацията са заложени следните общи цели: </w:t>
      </w:r>
    </w:p>
    <w:p w14:paraId="3DFC6655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възможно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най-добри решения за безопасност и здраве </w:t>
      </w:r>
    </w:p>
    <w:p w14:paraId="16EEACE4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повишаване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на надеждността на съоръженията</w:t>
      </w:r>
    </w:p>
    <w:p w14:paraId="5D6B616C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минимално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въздействие върху околната среда </w:t>
      </w:r>
    </w:p>
    <w:p w14:paraId="7B8547B8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високо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енергийно производство </w:t>
      </w:r>
    </w:p>
    <w:p w14:paraId="431D55BB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ниска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консумация на енергия за собствени нужди </w:t>
      </w:r>
    </w:p>
    <w:p w14:paraId="576EB263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висока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степен на гъвкавост при енергийното производство </w:t>
      </w:r>
    </w:p>
    <w:p w14:paraId="4CBE566F" w14:textId="77777777" w:rsidR="00840376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най-високо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ниво на автоматизация </w:t>
      </w:r>
    </w:p>
    <w:p w14:paraId="18EC8C1A" w14:textId="3D06AB54" w:rsidR="00A83680" w:rsidRPr="000777FC" w:rsidRDefault="00840376" w:rsidP="00840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0777FC">
        <w:rPr>
          <w:rFonts w:ascii="Times New Roman" w:hAnsi="Times New Roman" w:cs="Times New Roman"/>
          <w:sz w:val="24"/>
          <w:szCs w:val="24"/>
        </w:rPr>
        <w:t>-</w:t>
      </w:r>
      <w:r w:rsidRPr="000777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7FC">
        <w:rPr>
          <w:rFonts w:ascii="Times New Roman" w:hAnsi="Times New Roman" w:cs="Times New Roman"/>
          <w:sz w:val="24"/>
          <w:szCs w:val="24"/>
        </w:rPr>
        <w:t>кратко</w:t>
      </w:r>
      <w:proofErr w:type="gramEnd"/>
      <w:r w:rsidRPr="000777FC">
        <w:rPr>
          <w:rFonts w:ascii="Times New Roman" w:hAnsi="Times New Roman" w:cs="Times New Roman"/>
          <w:sz w:val="24"/>
          <w:szCs w:val="24"/>
        </w:rPr>
        <w:t xml:space="preserve"> време за пускане и спиране</w:t>
      </w:r>
    </w:p>
    <w:sectPr w:rsidR="00A83680" w:rsidRPr="0007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76"/>
    <w:rsid w:val="000777FC"/>
    <w:rsid w:val="00840376"/>
    <w:rsid w:val="00A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3B64"/>
  <w15:chartTrackingRefBased/>
  <w15:docId w15:val="{462C299F-E27F-4F4D-895F-E19F894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4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4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40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403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40376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403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4037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403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403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40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4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4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7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4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Hranov</dc:creator>
  <cp:keywords/>
  <dc:description/>
  <cp:lastModifiedBy>Христо Иванов</cp:lastModifiedBy>
  <cp:revision>2</cp:revision>
  <dcterms:created xsi:type="dcterms:W3CDTF">2024-02-13T08:13:00Z</dcterms:created>
  <dcterms:modified xsi:type="dcterms:W3CDTF">2024-02-13T08:13:00Z</dcterms:modified>
</cp:coreProperties>
</file>