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F122" w14:textId="1CB2AB3C" w:rsidR="00684DD4" w:rsidRPr="00200438" w:rsidRDefault="008A570A" w:rsidP="005D04E1">
      <w:pPr>
        <w:autoSpaceDE w:val="0"/>
        <w:autoSpaceDN w:val="0"/>
        <w:adjustRightInd w:val="0"/>
        <w:ind w:firstLine="720"/>
        <w:rPr>
          <w:rFonts w:ascii="Times New Roman" w:eastAsia="Times" w:hAnsi="Times New Roman"/>
          <w:b/>
          <w:bCs/>
          <w:szCs w:val="24"/>
          <w:lang w:val="bg-BG"/>
        </w:rPr>
      </w:pPr>
      <w:r w:rsidRPr="00200438">
        <w:rPr>
          <w:rFonts w:ascii="Times New Roman" w:eastAsia="Times" w:hAnsi="Times New Roman"/>
          <w:b/>
          <w:bCs/>
          <w:szCs w:val="24"/>
          <w:lang w:val="bg-BG"/>
        </w:rPr>
        <w:t>Икономически сметки за селското стопанство през 2023 година</w:t>
      </w:r>
    </w:p>
    <w:p w14:paraId="6A686111" w14:textId="310AB07D" w:rsidR="00684DD4" w:rsidRPr="00200438" w:rsidRDefault="008A570A" w:rsidP="00684DD4">
      <w:pPr>
        <w:autoSpaceDE w:val="0"/>
        <w:autoSpaceDN w:val="0"/>
        <w:adjustRightInd w:val="0"/>
        <w:spacing w:before="120" w:after="24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200438">
        <w:rPr>
          <w:rFonts w:ascii="Times New Roman" w:eastAsia="Times" w:hAnsi="Times New Roman"/>
          <w:b/>
          <w:bCs/>
          <w:szCs w:val="24"/>
          <w:lang w:val="bg-BG"/>
        </w:rPr>
        <w:t>(първа оценка)</w:t>
      </w:r>
    </w:p>
    <w:p w14:paraId="4160C076" w14:textId="77777777" w:rsidR="00AE3A24" w:rsidRPr="00200438" w:rsidRDefault="00AE3A24" w:rsidP="00AE3A24">
      <w:pPr>
        <w:spacing w:before="120"/>
        <w:jc w:val="center"/>
        <w:rPr>
          <w:rFonts w:ascii="Times New Roman" w:hAnsi="Times New Roman"/>
          <w:b/>
          <w:lang w:val="bg-BG"/>
        </w:rPr>
      </w:pPr>
    </w:p>
    <w:p w14:paraId="37C44F4D" w14:textId="77777777" w:rsidR="00164E8D" w:rsidRPr="00200438" w:rsidRDefault="00164E8D" w:rsidP="00164E8D">
      <w:pPr>
        <w:ind w:firstLine="709"/>
        <w:jc w:val="both"/>
        <w:rPr>
          <w:rFonts w:ascii="Times New Roman" w:hAnsi="Times New Roman"/>
          <w:i/>
          <w:lang w:val="bg-BG"/>
        </w:rPr>
      </w:pPr>
      <w:r w:rsidRPr="00200438">
        <w:rPr>
          <w:rFonts w:ascii="Times New Roman" w:hAnsi="Times New Roman"/>
          <w:i/>
          <w:lang w:val="bg-BG"/>
        </w:rPr>
        <w:t>Според първата оценка на икономическите сметки за селското стопанство крайната продукция по базисни цени от отрасъл „Селско стопанство“ през 2023 г. възлиза на 10 445.9</w:t>
      </w:r>
      <w:r>
        <w:rPr>
          <w:rFonts w:ascii="Times New Roman" w:hAnsi="Times New Roman"/>
          <w:i/>
          <w:lang w:val="en-US"/>
        </w:rPr>
        <w:t> </w:t>
      </w:r>
      <w:r w:rsidRPr="00200438">
        <w:rPr>
          <w:rFonts w:ascii="Times New Roman" w:hAnsi="Times New Roman"/>
          <w:i/>
          <w:lang w:val="bg-BG"/>
        </w:rPr>
        <w:t>млн.</w:t>
      </w:r>
      <w:r>
        <w:rPr>
          <w:rFonts w:ascii="Times New Roman" w:hAnsi="Times New Roman"/>
          <w:i/>
          <w:lang w:val="en-US"/>
        </w:rPr>
        <w:t> </w:t>
      </w:r>
      <w:r w:rsidRPr="00200438">
        <w:rPr>
          <w:rFonts w:ascii="Times New Roman" w:hAnsi="Times New Roman"/>
          <w:i/>
          <w:lang w:val="bg-BG"/>
        </w:rPr>
        <w:t>л</w:t>
      </w:r>
      <w:r w:rsidR="00F12E71">
        <w:rPr>
          <w:rFonts w:ascii="Times New Roman" w:hAnsi="Times New Roman"/>
          <w:i/>
          <w:lang w:val="en-US"/>
        </w:rPr>
        <w:t>e</w:t>
      </w:r>
      <w:r w:rsidRPr="00200438">
        <w:rPr>
          <w:rFonts w:ascii="Times New Roman" w:hAnsi="Times New Roman"/>
          <w:i/>
          <w:lang w:val="bg-BG"/>
        </w:rPr>
        <w:t>в</w:t>
      </w:r>
      <w:r w:rsidR="00F12E71">
        <w:rPr>
          <w:rFonts w:ascii="Times New Roman" w:hAnsi="Times New Roman"/>
          <w:i/>
          <w:lang w:val="en-US"/>
        </w:rPr>
        <w:t>a</w:t>
      </w:r>
      <w:r w:rsidRPr="00200438">
        <w:rPr>
          <w:rFonts w:ascii="Times New Roman" w:hAnsi="Times New Roman"/>
          <w:i/>
          <w:lang w:val="bg-BG"/>
        </w:rPr>
        <w:t>.</w:t>
      </w:r>
      <w:r w:rsidRPr="008A570A">
        <w:rPr>
          <w:rFonts w:hint="cs"/>
          <w:lang w:val="bg-BG"/>
          <w:rPrChange w:id="0" w:author="Originalni textove" w:date="2023-12-20T11:01:00Z">
            <w:rPr>
              <w:rFonts w:hint="cs"/>
            </w:rPr>
          </w:rPrChange>
        </w:rPr>
        <w:t xml:space="preserve"> </w:t>
      </w:r>
      <w:r w:rsidRPr="00200438">
        <w:rPr>
          <w:rFonts w:ascii="Times New Roman" w:hAnsi="Times New Roman" w:hint="cs"/>
          <w:i/>
          <w:lang w:val="bg-BG"/>
        </w:rPr>
        <w:t>Брутната</w:t>
      </w:r>
      <w:r w:rsidRPr="00200438">
        <w:rPr>
          <w:rFonts w:ascii="Times New Roman" w:hAnsi="Times New Roman"/>
          <w:i/>
          <w:lang w:val="bg-BG"/>
        </w:rPr>
        <w:t xml:space="preserve"> </w:t>
      </w:r>
      <w:r w:rsidRPr="00200438">
        <w:rPr>
          <w:rFonts w:ascii="Times New Roman" w:hAnsi="Times New Roman" w:hint="cs"/>
          <w:i/>
          <w:lang w:val="bg-BG"/>
        </w:rPr>
        <w:t>добавена</w:t>
      </w:r>
      <w:r w:rsidRPr="00200438">
        <w:rPr>
          <w:rFonts w:ascii="Times New Roman" w:hAnsi="Times New Roman"/>
          <w:i/>
          <w:lang w:val="bg-BG"/>
        </w:rPr>
        <w:t xml:space="preserve"> </w:t>
      </w:r>
      <w:r w:rsidRPr="00200438">
        <w:rPr>
          <w:rFonts w:ascii="Times New Roman" w:hAnsi="Times New Roman" w:hint="cs"/>
          <w:i/>
          <w:lang w:val="bg-BG"/>
        </w:rPr>
        <w:t>стойност</w:t>
      </w:r>
      <w:r w:rsidRPr="00200438">
        <w:rPr>
          <w:rFonts w:ascii="Times New Roman" w:hAnsi="Times New Roman"/>
          <w:i/>
          <w:lang w:val="bg-BG"/>
        </w:rPr>
        <w:t xml:space="preserve"> </w:t>
      </w:r>
      <w:r w:rsidRPr="00200438">
        <w:rPr>
          <w:rFonts w:ascii="Times New Roman" w:hAnsi="Times New Roman" w:hint="cs"/>
          <w:i/>
          <w:lang w:val="bg-BG"/>
        </w:rPr>
        <w:t>по</w:t>
      </w:r>
      <w:r w:rsidRPr="00200438">
        <w:rPr>
          <w:rFonts w:ascii="Times New Roman" w:hAnsi="Times New Roman"/>
          <w:i/>
          <w:lang w:val="bg-BG"/>
        </w:rPr>
        <w:t xml:space="preserve"> </w:t>
      </w:r>
      <w:r w:rsidRPr="00200438">
        <w:rPr>
          <w:rFonts w:ascii="Times New Roman" w:hAnsi="Times New Roman" w:hint="cs"/>
          <w:i/>
          <w:lang w:val="bg-BG"/>
        </w:rPr>
        <w:t>базисни</w:t>
      </w:r>
      <w:r w:rsidRPr="00200438">
        <w:rPr>
          <w:rFonts w:ascii="Times New Roman" w:hAnsi="Times New Roman"/>
          <w:i/>
          <w:lang w:val="bg-BG"/>
        </w:rPr>
        <w:t xml:space="preserve"> </w:t>
      </w:r>
      <w:r w:rsidRPr="00200438">
        <w:rPr>
          <w:rFonts w:ascii="Times New Roman" w:hAnsi="Times New Roman" w:hint="cs"/>
          <w:i/>
          <w:lang w:val="bg-BG"/>
        </w:rPr>
        <w:t>цени</w:t>
      </w:r>
      <w:r w:rsidRPr="00200438">
        <w:rPr>
          <w:rFonts w:ascii="Times New Roman" w:hAnsi="Times New Roman"/>
          <w:i/>
          <w:lang w:val="bg-BG"/>
        </w:rPr>
        <w:t xml:space="preserve"> намалява с 30.4% на годишна база и </w:t>
      </w:r>
      <w:r w:rsidRPr="00200438">
        <w:rPr>
          <w:rFonts w:ascii="Times New Roman" w:hAnsi="Times New Roman" w:hint="cs"/>
          <w:i/>
          <w:lang w:val="bg-BG"/>
        </w:rPr>
        <w:t>достига</w:t>
      </w:r>
      <w:r w:rsidRPr="00200438">
        <w:rPr>
          <w:rFonts w:ascii="Times New Roman" w:hAnsi="Times New Roman"/>
          <w:i/>
          <w:lang w:val="bg-BG"/>
        </w:rPr>
        <w:t xml:space="preserve"> 4</w:t>
      </w:r>
      <w:r w:rsidR="00DE3E8F">
        <w:rPr>
          <w:rFonts w:ascii="Times New Roman" w:hAnsi="Times New Roman"/>
          <w:i/>
          <w:lang w:val="en-US"/>
        </w:rPr>
        <w:t> </w:t>
      </w:r>
      <w:r w:rsidRPr="00200438">
        <w:rPr>
          <w:rFonts w:ascii="Times New Roman" w:hAnsi="Times New Roman"/>
          <w:i/>
          <w:lang w:val="bg-BG"/>
        </w:rPr>
        <w:t>118.8</w:t>
      </w:r>
      <w:r w:rsidR="00DE3E8F">
        <w:rPr>
          <w:rFonts w:ascii="Times New Roman" w:hAnsi="Times New Roman"/>
          <w:i/>
          <w:lang w:val="en-US"/>
        </w:rPr>
        <w:t> </w:t>
      </w:r>
      <w:r w:rsidRPr="00200438">
        <w:rPr>
          <w:rFonts w:ascii="Times New Roman" w:hAnsi="Times New Roman" w:hint="cs"/>
          <w:i/>
          <w:lang w:val="bg-BG"/>
        </w:rPr>
        <w:t>млн</w:t>
      </w:r>
      <w:r w:rsidRPr="00200438">
        <w:rPr>
          <w:rFonts w:ascii="Times New Roman" w:hAnsi="Times New Roman"/>
          <w:i/>
          <w:lang w:val="bg-BG"/>
        </w:rPr>
        <w:t xml:space="preserve">. </w:t>
      </w:r>
      <w:r w:rsidRPr="00200438">
        <w:rPr>
          <w:rFonts w:ascii="Times New Roman" w:hAnsi="Times New Roman" w:hint="cs"/>
          <w:i/>
          <w:lang w:val="bg-BG"/>
        </w:rPr>
        <w:t>лв</w:t>
      </w:r>
      <w:r w:rsidRPr="00200438">
        <w:rPr>
          <w:rFonts w:ascii="Times New Roman" w:hAnsi="Times New Roman"/>
          <w:i/>
          <w:lang w:val="bg-BG"/>
        </w:rPr>
        <w:t>., а нетния</w:t>
      </w:r>
      <w:r>
        <w:rPr>
          <w:rFonts w:ascii="Times New Roman" w:hAnsi="Times New Roman"/>
          <w:i/>
          <w:lang w:val="bg-BG"/>
        </w:rPr>
        <w:t>т</w:t>
      </w:r>
      <w:r w:rsidRPr="00200438">
        <w:rPr>
          <w:rFonts w:ascii="Times New Roman" w:hAnsi="Times New Roman"/>
          <w:i/>
          <w:lang w:val="bg-BG"/>
        </w:rPr>
        <w:t xml:space="preserve"> предприемачески доход възлиза на 1 067.3 млн.</w:t>
      </w:r>
      <w:r>
        <w:rPr>
          <w:rFonts w:ascii="Times New Roman" w:hAnsi="Times New Roman"/>
          <w:i/>
          <w:lang w:val="bg-BG"/>
        </w:rPr>
        <w:t xml:space="preserve"> </w:t>
      </w:r>
      <w:r w:rsidRPr="00200438">
        <w:rPr>
          <w:rFonts w:ascii="Times New Roman" w:hAnsi="Times New Roman"/>
          <w:i/>
          <w:lang w:val="bg-BG"/>
        </w:rPr>
        <w:t>л</w:t>
      </w:r>
      <w:r w:rsidR="00F12E71">
        <w:rPr>
          <w:rFonts w:ascii="Times New Roman" w:hAnsi="Times New Roman"/>
          <w:i/>
          <w:lang w:val="bg-BG"/>
        </w:rPr>
        <w:t>е</w:t>
      </w:r>
      <w:r w:rsidRPr="00200438">
        <w:rPr>
          <w:rFonts w:ascii="Times New Roman" w:hAnsi="Times New Roman"/>
          <w:i/>
          <w:lang w:val="bg-BG"/>
        </w:rPr>
        <w:t>в</w:t>
      </w:r>
      <w:r w:rsidR="00F12E71">
        <w:rPr>
          <w:rFonts w:ascii="Times New Roman" w:hAnsi="Times New Roman"/>
          <w:i/>
          <w:lang w:val="bg-BG"/>
        </w:rPr>
        <w:t>а</w:t>
      </w:r>
      <w:r w:rsidRPr="00200438">
        <w:rPr>
          <w:rFonts w:ascii="Times New Roman" w:hAnsi="Times New Roman"/>
          <w:i/>
          <w:lang w:val="bg-BG"/>
        </w:rPr>
        <w:t>.</w:t>
      </w:r>
    </w:p>
    <w:p w14:paraId="01230E0D" w14:textId="77777777" w:rsidR="00AE3A24" w:rsidRPr="00200438" w:rsidRDefault="00AE3A24" w:rsidP="00AE3A24">
      <w:pPr>
        <w:ind w:firstLine="709"/>
        <w:jc w:val="both"/>
        <w:rPr>
          <w:rFonts w:ascii="Times New Roman" w:hAnsi="Times New Roman"/>
          <w:i/>
          <w:lang w:val="bg-BG"/>
        </w:rPr>
      </w:pPr>
    </w:p>
    <w:p w14:paraId="38DEAA5E" w14:textId="77777777" w:rsidR="00AE3A24" w:rsidRPr="00717200" w:rsidRDefault="00AE3A24" w:rsidP="00AE3A24">
      <w:pPr>
        <w:ind w:firstLine="709"/>
        <w:jc w:val="both"/>
        <w:rPr>
          <w:rFonts w:ascii="Times New Roman" w:hAnsi="Times New Roman"/>
          <w:i/>
          <w:lang w:val="bg-BG"/>
        </w:rPr>
      </w:pPr>
    </w:p>
    <w:p w14:paraId="513AA0FB" w14:textId="77777777" w:rsidR="00A02BBE" w:rsidRPr="00717200" w:rsidRDefault="00684DD4" w:rsidP="00AC1A29">
      <w:pPr>
        <w:autoSpaceDE w:val="0"/>
        <w:autoSpaceDN w:val="0"/>
        <w:adjustRightInd w:val="0"/>
        <w:spacing w:after="60"/>
        <w:ind w:firstLine="720"/>
        <w:jc w:val="both"/>
        <w:rPr>
          <w:rFonts w:ascii="Calibri" w:hAnsi="Calibri"/>
          <w:lang w:val="bg-BG"/>
        </w:rPr>
      </w:pPr>
      <w:r w:rsidRPr="00717200">
        <w:rPr>
          <w:rFonts w:ascii="Times New Roman" w:eastAsia="Times" w:hAnsi="Times New Roman"/>
          <w:szCs w:val="24"/>
          <w:lang w:val="bg-BG"/>
        </w:rPr>
        <w:t>Според първата оценка на икономическите сметки за селското стопанство крайната продукция по базисни цени</w:t>
      </w:r>
      <w:r w:rsidRPr="00717200">
        <w:rPr>
          <w:rFonts w:ascii="Times New Roman" w:eastAsia="Times" w:hAnsi="Times New Roman"/>
          <w:szCs w:val="24"/>
          <w:vertAlign w:val="superscript"/>
          <w:lang w:val="bg-BG"/>
        </w:rPr>
        <w:footnoteReference w:id="1"/>
      </w:r>
      <w:r w:rsidRPr="00717200">
        <w:rPr>
          <w:rFonts w:ascii="Times New Roman" w:eastAsia="Times" w:hAnsi="Times New Roman"/>
          <w:szCs w:val="24"/>
          <w:lang w:val="bg-BG"/>
        </w:rPr>
        <w:t xml:space="preserve"> от отрасъл „Селско стопанство“ през 202</w:t>
      </w:r>
      <w:r w:rsidR="00200438" w:rsidRPr="00717200">
        <w:rPr>
          <w:rFonts w:ascii="Times New Roman" w:eastAsia="Times" w:hAnsi="Times New Roman"/>
          <w:szCs w:val="24"/>
          <w:lang w:val="bg-BG"/>
        </w:rPr>
        <w:t>3</w:t>
      </w:r>
      <w:r w:rsidRPr="00717200">
        <w:rPr>
          <w:rFonts w:ascii="Times New Roman" w:eastAsia="Times" w:hAnsi="Times New Roman"/>
          <w:szCs w:val="24"/>
          <w:lang w:val="bg-BG"/>
        </w:rPr>
        <w:t xml:space="preserve"> г. възлиза на </w:t>
      </w:r>
      <w:r w:rsidR="00200438" w:rsidRPr="00717200">
        <w:rPr>
          <w:rFonts w:ascii="Times New Roman" w:eastAsia="Times" w:hAnsi="Times New Roman"/>
          <w:szCs w:val="24"/>
          <w:lang w:val="bg-BG"/>
        </w:rPr>
        <w:t>10 445.9</w:t>
      </w:r>
      <w:r w:rsidRPr="00717200">
        <w:rPr>
          <w:rFonts w:ascii="Times New Roman" w:eastAsia="Times" w:hAnsi="Times New Roman"/>
          <w:szCs w:val="24"/>
          <w:lang w:val="bg-BG"/>
        </w:rPr>
        <w:t xml:space="preserve"> млн. лв., което е с</w:t>
      </w:r>
      <w:r w:rsidR="00200438" w:rsidRPr="00717200">
        <w:rPr>
          <w:rFonts w:ascii="Times New Roman" w:eastAsia="Times" w:hAnsi="Times New Roman"/>
          <w:szCs w:val="24"/>
          <w:lang w:val="bg-BG"/>
        </w:rPr>
        <w:t xml:space="preserve"> 19.1% по-малко</w:t>
      </w:r>
      <w:r w:rsidRPr="00717200">
        <w:rPr>
          <w:rFonts w:ascii="Times New Roman" w:eastAsia="Times" w:hAnsi="Times New Roman"/>
          <w:szCs w:val="24"/>
          <w:lang w:val="bg-BG"/>
        </w:rPr>
        <w:t xml:space="preserve"> в сравнение с предходната година</w:t>
      </w:r>
      <w:r w:rsidR="003368AC" w:rsidRPr="008A570A">
        <w:rPr>
          <w:rFonts w:ascii="Times New Roman" w:eastAsia="Times" w:hAnsi="Times New Roman"/>
          <w:szCs w:val="24"/>
          <w:lang w:val="bg-BG"/>
          <w:rPrChange w:id="1" w:author="Originalni textove" w:date="2023-12-20T11:01:00Z">
            <w:rPr>
              <w:rFonts w:ascii="Times New Roman" w:eastAsia="Times" w:hAnsi="Times New Roman"/>
              <w:szCs w:val="24"/>
              <w:lang w:val="en-US"/>
            </w:rPr>
          </w:rPrChange>
        </w:rPr>
        <w:t xml:space="preserve">. </w:t>
      </w:r>
      <w:r w:rsidR="00200438" w:rsidRPr="00717200">
        <w:rPr>
          <w:rFonts w:ascii="Times New Roman" w:eastAsia="Times" w:hAnsi="Times New Roman"/>
          <w:szCs w:val="24"/>
          <w:lang w:val="bg-BG"/>
        </w:rPr>
        <w:t>Намалението се дължи на спад</w:t>
      </w:r>
      <w:r w:rsidR="003368AC" w:rsidRPr="00717200">
        <w:rPr>
          <w:rFonts w:ascii="Times New Roman" w:eastAsia="Times" w:hAnsi="Times New Roman"/>
          <w:szCs w:val="24"/>
          <w:lang w:val="bg-BG"/>
        </w:rPr>
        <w:t xml:space="preserve"> в цените с </w:t>
      </w:r>
      <w:r w:rsidR="00200438" w:rsidRPr="00717200">
        <w:rPr>
          <w:rFonts w:ascii="Times New Roman" w:eastAsia="Times" w:hAnsi="Times New Roman"/>
          <w:szCs w:val="24"/>
          <w:lang w:val="bg-BG"/>
        </w:rPr>
        <w:t>15.0</w:t>
      </w:r>
      <w:r w:rsidR="008B2DDD" w:rsidRPr="008A570A">
        <w:rPr>
          <w:rFonts w:ascii="Times New Roman" w:eastAsia="Times" w:hAnsi="Times New Roman"/>
          <w:szCs w:val="24"/>
          <w:lang w:val="bg-BG"/>
          <w:rPrChange w:id="2" w:author="Originalni textove" w:date="2023-12-20T11:01:00Z">
            <w:rPr>
              <w:rFonts w:ascii="Times New Roman" w:eastAsia="Times" w:hAnsi="Times New Roman"/>
              <w:szCs w:val="24"/>
              <w:lang w:val="en-US"/>
            </w:rPr>
          </w:rPrChange>
        </w:rPr>
        <w:t>%</w:t>
      </w:r>
      <w:r w:rsidR="008B2DDD" w:rsidRPr="00717200">
        <w:rPr>
          <w:rFonts w:ascii="Times New Roman" w:eastAsia="Times" w:hAnsi="Times New Roman"/>
          <w:szCs w:val="24"/>
          <w:lang w:val="bg-BG"/>
        </w:rPr>
        <w:t xml:space="preserve"> </w:t>
      </w:r>
      <w:r w:rsidR="00717200" w:rsidRPr="00717200">
        <w:rPr>
          <w:rFonts w:ascii="Times New Roman" w:eastAsia="Times" w:hAnsi="Times New Roman"/>
          <w:szCs w:val="24"/>
          <w:lang w:val="bg-BG"/>
        </w:rPr>
        <w:t xml:space="preserve">и </w:t>
      </w:r>
      <w:r w:rsidR="00164E8D">
        <w:rPr>
          <w:rFonts w:ascii="Times New Roman" w:eastAsia="Times" w:hAnsi="Times New Roman"/>
          <w:szCs w:val="24"/>
          <w:lang w:val="bg-BG"/>
        </w:rPr>
        <w:t xml:space="preserve">на </w:t>
      </w:r>
      <w:r w:rsidR="00717200" w:rsidRPr="00717200">
        <w:rPr>
          <w:rFonts w:ascii="Times New Roman" w:eastAsia="Times" w:hAnsi="Times New Roman"/>
          <w:szCs w:val="24"/>
          <w:lang w:val="bg-BG"/>
        </w:rPr>
        <w:t>намаление при обемите с 4.8</w:t>
      </w:r>
      <w:r w:rsidR="008B2DDD" w:rsidRPr="00717200">
        <w:rPr>
          <w:rFonts w:ascii="Times New Roman" w:eastAsia="Times" w:hAnsi="Times New Roman"/>
          <w:szCs w:val="24"/>
          <w:lang w:val="bg-BG"/>
        </w:rPr>
        <w:t>%.</w:t>
      </w:r>
      <w:r w:rsidR="005E230E" w:rsidRPr="00717200">
        <w:rPr>
          <w:rFonts w:ascii="Times New Roman" w:eastAsia="Times" w:hAnsi="Times New Roman"/>
          <w:szCs w:val="24"/>
          <w:lang w:val="bg-BG"/>
        </w:rPr>
        <w:t xml:space="preserve"> </w:t>
      </w:r>
    </w:p>
    <w:p w14:paraId="513E9167" w14:textId="77777777" w:rsidR="00526F4F" w:rsidRDefault="005846C9" w:rsidP="00AC1A29">
      <w:pPr>
        <w:jc w:val="both"/>
        <w:rPr>
          <w:rFonts w:ascii="Times New Roman" w:hAnsi="Times New Roman"/>
          <w:lang w:val="bg-BG"/>
        </w:rPr>
      </w:pPr>
      <w:r w:rsidRPr="008A570A">
        <w:rPr>
          <w:rFonts w:ascii="Calibri" w:hAnsi="Calibri"/>
          <w:color w:val="FF0000"/>
          <w:lang w:val="bg-BG"/>
          <w:rPrChange w:id="3" w:author="Originalni textove" w:date="2023-12-20T11:01:00Z">
            <w:rPr>
              <w:rFonts w:ascii="Calibri" w:hAnsi="Calibri"/>
              <w:color w:val="FF0000"/>
              <w:lang w:val="en-US"/>
            </w:rPr>
          </w:rPrChange>
        </w:rPr>
        <w:tab/>
      </w:r>
      <w:r w:rsidRPr="00526F4F">
        <w:rPr>
          <w:rFonts w:ascii="Times New Roman" w:hAnsi="Times New Roman"/>
          <w:lang w:val="bg-BG"/>
        </w:rPr>
        <w:t xml:space="preserve">Стойността на продукцията, произведена в растениевъдството, е </w:t>
      </w:r>
      <w:r w:rsidR="00717200" w:rsidRPr="00526F4F">
        <w:rPr>
          <w:rFonts w:ascii="Times New Roman" w:hAnsi="Times New Roman"/>
          <w:lang w:val="bg-BG"/>
        </w:rPr>
        <w:t>6 982.4 млн. лв. и отбелязва намаление</w:t>
      </w:r>
      <w:r w:rsidRPr="00526F4F">
        <w:rPr>
          <w:rFonts w:ascii="Times New Roman" w:hAnsi="Times New Roman"/>
          <w:lang w:val="bg-BG"/>
        </w:rPr>
        <w:t xml:space="preserve"> спрямо</w:t>
      </w:r>
      <w:r w:rsidR="00717200" w:rsidRPr="00526F4F">
        <w:rPr>
          <w:rFonts w:ascii="Times New Roman" w:hAnsi="Times New Roman"/>
          <w:lang w:val="bg-BG"/>
        </w:rPr>
        <w:t xml:space="preserve"> 2022</w:t>
      </w:r>
      <w:r w:rsidRPr="00526F4F">
        <w:rPr>
          <w:rFonts w:ascii="Times New Roman" w:hAnsi="Times New Roman"/>
          <w:lang w:val="bg-BG"/>
        </w:rPr>
        <w:t xml:space="preserve"> г. с</w:t>
      </w:r>
      <w:r w:rsidR="00717200" w:rsidRPr="00526F4F">
        <w:rPr>
          <w:rFonts w:ascii="Times New Roman" w:hAnsi="Times New Roman"/>
          <w:lang w:val="bg-BG"/>
        </w:rPr>
        <w:t xml:space="preserve"> 28.1</w:t>
      </w:r>
      <w:r w:rsidRPr="00526F4F">
        <w:rPr>
          <w:rFonts w:ascii="Times New Roman" w:hAnsi="Times New Roman"/>
          <w:lang w:val="bg-BG"/>
        </w:rPr>
        <w:t xml:space="preserve">%, дължащо се на </w:t>
      </w:r>
      <w:r w:rsidR="00717200" w:rsidRPr="00526F4F">
        <w:rPr>
          <w:rFonts w:ascii="Times New Roman" w:hAnsi="Times New Roman"/>
          <w:lang w:val="bg-BG"/>
        </w:rPr>
        <w:t>значителен спад в цените - с 24.2</w:t>
      </w:r>
      <w:r w:rsidR="001643FD" w:rsidRPr="00526F4F">
        <w:rPr>
          <w:rFonts w:ascii="Times New Roman" w:hAnsi="Times New Roman"/>
          <w:lang w:val="bg-BG"/>
        </w:rPr>
        <w:t xml:space="preserve">%, </w:t>
      </w:r>
      <w:r w:rsidR="00526F4F">
        <w:rPr>
          <w:rFonts w:ascii="Times New Roman" w:hAnsi="Times New Roman"/>
          <w:lang w:val="bg-BG"/>
        </w:rPr>
        <w:t>както и на</w:t>
      </w:r>
      <w:r w:rsidR="00717200" w:rsidRPr="00526F4F">
        <w:rPr>
          <w:rFonts w:ascii="Times New Roman" w:hAnsi="Times New Roman"/>
          <w:lang w:val="bg-BG"/>
        </w:rPr>
        <w:t xml:space="preserve"> по-слабо намаление</w:t>
      </w:r>
      <w:r w:rsidR="00526F4F">
        <w:rPr>
          <w:rFonts w:ascii="Times New Roman" w:hAnsi="Times New Roman"/>
          <w:lang w:val="bg-BG"/>
        </w:rPr>
        <w:t xml:space="preserve"> на</w:t>
      </w:r>
      <w:r w:rsidR="001643FD" w:rsidRPr="00526F4F">
        <w:rPr>
          <w:rFonts w:ascii="Times New Roman" w:hAnsi="Times New Roman"/>
          <w:lang w:val="bg-BG"/>
        </w:rPr>
        <w:t xml:space="preserve"> </w:t>
      </w:r>
      <w:r w:rsidR="00717200" w:rsidRPr="00526F4F">
        <w:rPr>
          <w:rFonts w:ascii="Times New Roman" w:hAnsi="Times New Roman"/>
          <w:lang w:val="bg-BG"/>
        </w:rPr>
        <w:t>обемите - с 5.1</w:t>
      </w:r>
      <w:r w:rsidR="00CC6FA2" w:rsidRPr="00526F4F">
        <w:rPr>
          <w:rFonts w:ascii="Times New Roman" w:hAnsi="Times New Roman"/>
          <w:lang w:val="bg-BG"/>
        </w:rPr>
        <w:t xml:space="preserve">%. </w:t>
      </w:r>
      <w:r w:rsidR="00946EBB">
        <w:rPr>
          <w:rFonts w:ascii="Times New Roman" w:hAnsi="Times New Roman"/>
          <w:lang w:val="bg-BG"/>
        </w:rPr>
        <w:t>Спадът на</w:t>
      </w:r>
      <w:r w:rsidR="00717200" w:rsidRPr="00526F4F">
        <w:rPr>
          <w:rFonts w:ascii="Times New Roman" w:hAnsi="Times New Roman"/>
          <w:lang w:val="bg-BG"/>
        </w:rPr>
        <w:t xml:space="preserve"> цените на растениевъдната продукция </w:t>
      </w:r>
      <w:r w:rsidR="00946EBB">
        <w:rPr>
          <w:rFonts w:ascii="Times New Roman" w:hAnsi="Times New Roman"/>
          <w:lang w:val="bg-BG"/>
        </w:rPr>
        <w:t>е в резултат от намалението</w:t>
      </w:r>
      <w:r w:rsidR="00717200" w:rsidRPr="00526F4F">
        <w:rPr>
          <w:rFonts w:ascii="Times New Roman" w:hAnsi="Times New Roman"/>
          <w:lang w:val="bg-BG"/>
        </w:rPr>
        <w:t xml:space="preserve"> на цените на зърнените култури </w:t>
      </w:r>
      <w:r w:rsidR="00526F4F" w:rsidRPr="00526F4F">
        <w:rPr>
          <w:rFonts w:ascii="Times New Roman" w:hAnsi="Times New Roman"/>
          <w:lang w:val="bg-BG"/>
        </w:rPr>
        <w:t>с 30.0%</w:t>
      </w:r>
      <w:r w:rsidR="00EA329D">
        <w:rPr>
          <w:rFonts w:ascii="Times New Roman" w:hAnsi="Times New Roman"/>
          <w:lang w:val="bg-BG"/>
        </w:rPr>
        <w:t xml:space="preserve"> и </w:t>
      </w:r>
      <w:r w:rsidR="00164E8D">
        <w:rPr>
          <w:rFonts w:ascii="Times New Roman" w:hAnsi="Times New Roman"/>
          <w:lang w:val="bg-BG"/>
        </w:rPr>
        <w:t xml:space="preserve">на </w:t>
      </w:r>
      <w:r w:rsidR="00EA329D">
        <w:rPr>
          <w:rFonts w:ascii="Times New Roman" w:hAnsi="Times New Roman"/>
          <w:lang w:val="bg-BG"/>
        </w:rPr>
        <w:t xml:space="preserve">техническите култури </w:t>
      </w:r>
      <w:r w:rsidR="00AD61C1">
        <w:rPr>
          <w:rFonts w:ascii="Times New Roman" w:hAnsi="Times New Roman"/>
          <w:lang w:val="bg-BG"/>
        </w:rPr>
        <w:t>-</w:t>
      </w:r>
      <w:r w:rsidR="00EA329D">
        <w:rPr>
          <w:rFonts w:ascii="Times New Roman" w:hAnsi="Times New Roman"/>
          <w:lang w:val="bg-BG"/>
        </w:rPr>
        <w:t xml:space="preserve"> с 26.7</w:t>
      </w:r>
      <w:r w:rsidR="00526F4F" w:rsidRPr="00526F4F">
        <w:rPr>
          <w:rFonts w:ascii="Times New Roman" w:hAnsi="Times New Roman"/>
          <w:lang w:val="bg-BG"/>
        </w:rPr>
        <w:t>%</w:t>
      </w:r>
      <w:r w:rsidR="00E01D77">
        <w:rPr>
          <w:rFonts w:ascii="Times New Roman" w:hAnsi="Times New Roman"/>
          <w:lang w:val="bg-BG"/>
        </w:rPr>
        <w:t>.</w:t>
      </w:r>
      <w:r w:rsidR="00526F4F" w:rsidRPr="00526F4F">
        <w:rPr>
          <w:rFonts w:ascii="Times New Roman" w:hAnsi="Times New Roman"/>
          <w:lang w:val="bg-BG"/>
        </w:rPr>
        <w:t xml:space="preserve"> </w:t>
      </w:r>
    </w:p>
    <w:p w14:paraId="685CFC8D" w14:textId="77777777" w:rsidR="00164E8D" w:rsidRPr="008A570A" w:rsidRDefault="00164E8D" w:rsidP="00AC1A29">
      <w:pPr>
        <w:ind w:firstLine="709"/>
        <w:jc w:val="both"/>
        <w:rPr>
          <w:rFonts w:ascii="Calibri" w:hAnsi="Calibri"/>
          <w:lang w:val="bg-BG"/>
          <w:rPrChange w:id="4" w:author="Originalni textove" w:date="2023-12-20T11:01:00Z">
            <w:rPr>
              <w:rFonts w:ascii="Calibri" w:hAnsi="Calibri"/>
              <w:lang w:val="en-US"/>
            </w:rPr>
          </w:rPrChange>
        </w:rPr>
      </w:pPr>
      <w:r>
        <w:rPr>
          <w:rFonts w:ascii="Times New Roman" w:hAnsi="Times New Roman"/>
          <w:lang w:val="bg-BG"/>
        </w:rPr>
        <w:t>Спрямо предходна година се наблюдава увеличение на цените на зеленчуци</w:t>
      </w:r>
      <w:r w:rsidR="00563D1C">
        <w:rPr>
          <w:rFonts w:ascii="Times New Roman" w:hAnsi="Times New Roman"/>
          <w:lang w:val="bg-BG"/>
        </w:rPr>
        <w:t>те</w:t>
      </w:r>
      <w:r>
        <w:rPr>
          <w:rFonts w:ascii="Times New Roman" w:hAnsi="Times New Roman"/>
          <w:lang w:val="bg-BG"/>
        </w:rPr>
        <w:t xml:space="preserve"> с </w:t>
      </w:r>
      <w:r w:rsidR="00563D1C">
        <w:rPr>
          <w:rFonts w:ascii="Times New Roman" w:hAnsi="Times New Roman"/>
          <w:lang w:val="bg-BG"/>
        </w:rPr>
        <w:t>12.2</w:t>
      </w:r>
      <w:r>
        <w:rPr>
          <w:rFonts w:ascii="Times New Roman" w:hAnsi="Times New Roman"/>
          <w:lang w:val="bg-BG"/>
        </w:rPr>
        <w:t xml:space="preserve">% и на плодовете - с 17.7%. </w:t>
      </w:r>
      <w:r w:rsidRPr="00526F4F">
        <w:rPr>
          <w:rFonts w:ascii="Times New Roman" w:hAnsi="Times New Roman"/>
          <w:lang w:val="bg-BG"/>
        </w:rPr>
        <w:t>Намалението на обемите на растениевъдната продукция се дължи предимно на спада на обемите на техническите култури с 20.4% в резултат на по-ниските добиви през 2023</w:t>
      </w:r>
      <w:r>
        <w:rPr>
          <w:rFonts w:ascii="Times New Roman" w:hAnsi="Times New Roman"/>
          <w:lang w:val="bg-BG"/>
        </w:rPr>
        <w:t xml:space="preserve"> </w:t>
      </w:r>
      <w:r w:rsidRPr="00526F4F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одина</w:t>
      </w:r>
      <w:r w:rsidRPr="00526F4F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bg-BG"/>
        </w:rPr>
        <w:t xml:space="preserve">Спад в </w:t>
      </w:r>
      <w:r w:rsidRPr="00526F4F">
        <w:rPr>
          <w:rFonts w:ascii="Times New Roman" w:hAnsi="Times New Roman"/>
          <w:lang w:val="bg-BG"/>
        </w:rPr>
        <w:t xml:space="preserve">обемите се наблюдава и при </w:t>
      </w:r>
      <w:r>
        <w:rPr>
          <w:rFonts w:ascii="Times New Roman" w:hAnsi="Times New Roman"/>
          <w:lang w:val="bg-BG"/>
        </w:rPr>
        <w:t xml:space="preserve">плодовете и зеленчуците респективно с </w:t>
      </w:r>
      <w:r w:rsidR="00BF69D6" w:rsidRPr="008A570A">
        <w:rPr>
          <w:rFonts w:ascii="Times New Roman" w:hAnsi="Times New Roman"/>
          <w:lang w:val="bg-BG"/>
          <w:rPrChange w:id="5" w:author="Originalni textove" w:date="2023-12-20T11:01:00Z">
            <w:rPr>
              <w:rFonts w:ascii="Times New Roman" w:hAnsi="Times New Roman"/>
              <w:lang w:val="en-US"/>
            </w:rPr>
          </w:rPrChange>
        </w:rPr>
        <w:t>8</w:t>
      </w:r>
      <w:r>
        <w:rPr>
          <w:rFonts w:ascii="Times New Roman" w:hAnsi="Times New Roman"/>
          <w:lang w:val="bg-BG"/>
        </w:rPr>
        <w:t>.7% и 3.3%, докато при зърнените култури се регистрира увеличение с 3.0%.</w:t>
      </w:r>
    </w:p>
    <w:p w14:paraId="525188C9" w14:textId="77777777" w:rsidR="0082035A" w:rsidRPr="002E5DD7" w:rsidRDefault="0082035A" w:rsidP="00AC1A29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8A570A">
        <w:rPr>
          <w:rFonts w:ascii="Calibri" w:hAnsi="Calibri"/>
          <w:lang w:val="bg-BG"/>
          <w:rPrChange w:id="6" w:author="Originalni textove" w:date="2023-12-20T11:01:00Z">
            <w:rPr>
              <w:rFonts w:ascii="Calibri" w:hAnsi="Calibri"/>
              <w:lang w:val="en-US"/>
            </w:rPr>
          </w:rPrChange>
        </w:rPr>
        <w:tab/>
      </w:r>
      <w:r w:rsidRPr="002E5DD7">
        <w:rPr>
          <w:rFonts w:ascii="Times New Roman" w:eastAsia="Times" w:hAnsi="Times New Roman"/>
          <w:szCs w:val="24"/>
          <w:lang w:val="bg-BG"/>
        </w:rPr>
        <w:t xml:space="preserve">Продукцията, произведена от животновъдството, е </w:t>
      </w:r>
      <w:r w:rsidR="002E5DD7" w:rsidRPr="002E5DD7">
        <w:rPr>
          <w:rFonts w:ascii="Times New Roman" w:eastAsia="Times" w:hAnsi="Times New Roman"/>
          <w:szCs w:val="24"/>
          <w:lang w:val="bg-BG"/>
        </w:rPr>
        <w:t>2 569.2</w:t>
      </w:r>
      <w:r w:rsidRPr="008A570A">
        <w:rPr>
          <w:rFonts w:ascii="Times New Roman" w:eastAsia="Times" w:hAnsi="Times New Roman"/>
          <w:szCs w:val="24"/>
          <w:lang w:val="bg-BG"/>
          <w:rPrChange w:id="7" w:author="Originalni textove" w:date="2023-12-20T11:01:00Z">
            <w:rPr>
              <w:rFonts w:ascii="Times New Roman" w:eastAsia="Times" w:hAnsi="Times New Roman"/>
              <w:szCs w:val="24"/>
              <w:lang w:val="en-US"/>
            </w:rPr>
          </w:rPrChange>
        </w:rPr>
        <w:t xml:space="preserve"> </w:t>
      </w:r>
      <w:r w:rsidR="002D103F">
        <w:rPr>
          <w:rFonts w:ascii="Times New Roman" w:eastAsia="Times" w:hAnsi="Times New Roman"/>
          <w:szCs w:val="24"/>
          <w:lang w:val="bg-BG"/>
        </w:rPr>
        <w:t>млн</w:t>
      </w:r>
      <w:r w:rsidRPr="008A570A">
        <w:rPr>
          <w:rFonts w:ascii="Times New Roman" w:eastAsia="Times" w:hAnsi="Times New Roman"/>
          <w:szCs w:val="24"/>
          <w:lang w:val="bg-BG"/>
          <w:rPrChange w:id="8" w:author="Originalni textove" w:date="2023-12-20T11:01:00Z">
            <w:rPr>
              <w:rFonts w:ascii="Times New Roman" w:eastAsia="Times" w:hAnsi="Times New Roman"/>
              <w:szCs w:val="24"/>
              <w:lang w:val="en-US"/>
            </w:rPr>
          </w:rPrChange>
        </w:rPr>
        <w:t xml:space="preserve">. </w:t>
      </w:r>
      <w:r w:rsidRPr="002E5DD7">
        <w:rPr>
          <w:rFonts w:ascii="Times New Roman" w:eastAsia="Times" w:hAnsi="Times New Roman"/>
          <w:szCs w:val="24"/>
          <w:lang w:val="bg-BG"/>
        </w:rPr>
        <w:t>л</w:t>
      </w:r>
      <w:r w:rsidRPr="008A570A">
        <w:rPr>
          <w:rFonts w:ascii="Times New Roman" w:eastAsia="Times" w:hAnsi="Times New Roman" w:hint="cs"/>
          <w:szCs w:val="24"/>
          <w:lang w:val="bg-BG"/>
          <w:rPrChange w:id="9" w:author="Originalni textove" w:date="2023-12-20T11:01:00Z">
            <w:rPr>
              <w:rFonts w:ascii="Times New Roman" w:eastAsia="Times" w:hAnsi="Times New Roman" w:hint="cs"/>
              <w:szCs w:val="24"/>
              <w:lang w:val="en-US"/>
            </w:rPr>
          </w:rPrChange>
        </w:rPr>
        <w:t>в</w:t>
      </w:r>
      <w:r w:rsidRPr="008A570A">
        <w:rPr>
          <w:rFonts w:ascii="Times New Roman" w:eastAsia="Times" w:hAnsi="Times New Roman"/>
          <w:szCs w:val="24"/>
          <w:lang w:val="bg-BG"/>
          <w:rPrChange w:id="10" w:author="Originalni textove" w:date="2023-12-20T11:01:00Z">
            <w:rPr>
              <w:rFonts w:ascii="Times New Roman" w:eastAsia="Times" w:hAnsi="Times New Roman"/>
              <w:szCs w:val="24"/>
              <w:lang w:val="en-US"/>
            </w:rPr>
          </w:rPrChange>
        </w:rPr>
        <w:t>.</w:t>
      </w:r>
      <w:r w:rsidRPr="002E5DD7">
        <w:rPr>
          <w:rFonts w:ascii="Times New Roman" w:eastAsia="Times" w:hAnsi="Times New Roman"/>
          <w:szCs w:val="24"/>
          <w:lang w:val="bg-BG"/>
        </w:rPr>
        <w:t xml:space="preserve"> и </w:t>
      </w:r>
      <w:r w:rsidR="007D74EE" w:rsidRPr="002E5DD7">
        <w:rPr>
          <w:rFonts w:ascii="Times New Roman" w:eastAsia="Times" w:hAnsi="Times New Roman"/>
          <w:szCs w:val="24"/>
          <w:lang w:val="bg-BG"/>
        </w:rPr>
        <w:t>отбелязва увеличен</w:t>
      </w:r>
      <w:r w:rsidR="00CE02B1" w:rsidRPr="002E5DD7">
        <w:rPr>
          <w:rFonts w:ascii="Times New Roman" w:eastAsia="Times" w:hAnsi="Times New Roman"/>
          <w:szCs w:val="24"/>
          <w:lang w:val="bg-BG"/>
        </w:rPr>
        <w:t>ие</w:t>
      </w:r>
      <w:r w:rsidR="002E5DD7" w:rsidRPr="002E5DD7">
        <w:rPr>
          <w:rFonts w:ascii="Times New Roman" w:eastAsia="Times" w:hAnsi="Times New Roman"/>
          <w:szCs w:val="24"/>
          <w:lang w:val="bg-BG"/>
        </w:rPr>
        <w:t xml:space="preserve"> от 10.1</w:t>
      </w:r>
      <w:r w:rsidR="007D74EE" w:rsidRPr="002E5DD7">
        <w:rPr>
          <w:rFonts w:ascii="Times New Roman" w:eastAsia="Times" w:hAnsi="Times New Roman"/>
          <w:szCs w:val="24"/>
          <w:lang w:val="bg-BG"/>
        </w:rPr>
        <w:t xml:space="preserve">% спрямо предходната година. Увеличението е в резултат на ръст в цените с </w:t>
      </w:r>
      <w:r w:rsidR="002E5DD7" w:rsidRPr="002E5DD7">
        <w:rPr>
          <w:rFonts w:ascii="Times New Roman" w:eastAsia="Times" w:hAnsi="Times New Roman"/>
          <w:szCs w:val="24"/>
          <w:lang w:val="bg-BG"/>
        </w:rPr>
        <w:t>13.7</w:t>
      </w:r>
      <w:r w:rsidR="007D74EE" w:rsidRPr="002E5DD7">
        <w:rPr>
          <w:rFonts w:ascii="Times New Roman" w:eastAsia="Times" w:hAnsi="Times New Roman"/>
          <w:szCs w:val="24"/>
          <w:lang w:val="bg-BG"/>
        </w:rPr>
        <w:t xml:space="preserve">%, докато </w:t>
      </w:r>
      <w:r w:rsidR="002E5DD7" w:rsidRPr="002E5DD7">
        <w:rPr>
          <w:rFonts w:ascii="Times New Roman" w:eastAsia="Times" w:hAnsi="Times New Roman"/>
          <w:szCs w:val="24"/>
          <w:lang w:val="bg-BG"/>
        </w:rPr>
        <w:t>при обемите се наблюдава намаление от 3.2</w:t>
      </w:r>
      <w:r w:rsidR="00131D7E" w:rsidRPr="002E5DD7">
        <w:rPr>
          <w:rFonts w:ascii="Times New Roman" w:eastAsia="Times" w:hAnsi="Times New Roman"/>
          <w:szCs w:val="24"/>
          <w:lang w:val="bg-BG"/>
        </w:rPr>
        <w:t>%.</w:t>
      </w:r>
    </w:p>
    <w:p w14:paraId="1CF95F83" w14:textId="77777777" w:rsidR="00D57D7E" w:rsidRPr="002E5DD7" w:rsidRDefault="00D57D7E" w:rsidP="00AC1A29">
      <w:pPr>
        <w:spacing w:after="6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2E5DD7">
        <w:rPr>
          <w:rFonts w:ascii="Times New Roman" w:hAnsi="Times New Roman"/>
          <w:szCs w:val="24"/>
          <w:lang w:val="bg-BG"/>
        </w:rPr>
        <w:t xml:space="preserve">Стойността на вложените в селското стопанство </w:t>
      </w:r>
      <w:r w:rsidR="002E5DD7" w:rsidRPr="002E5DD7">
        <w:rPr>
          <w:rFonts w:ascii="Times New Roman" w:hAnsi="Times New Roman"/>
          <w:szCs w:val="24"/>
          <w:lang w:val="bg-BG"/>
        </w:rPr>
        <w:t>през 2023</w:t>
      </w:r>
      <w:r w:rsidRPr="002E5DD7">
        <w:rPr>
          <w:rFonts w:ascii="Times New Roman" w:hAnsi="Times New Roman"/>
          <w:szCs w:val="24"/>
          <w:lang w:val="bg-BG"/>
        </w:rPr>
        <w:t xml:space="preserve"> г. средства за текущо </w:t>
      </w:r>
      <w:r w:rsidR="002E5DD7" w:rsidRPr="002E5DD7">
        <w:rPr>
          <w:rFonts w:ascii="Times New Roman" w:hAnsi="Times New Roman"/>
          <w:szCs w:val="24"/>
          <w:lang w:val="bg-BG"/>
        </w:rPr>
        <w:t>потребление достига 6 327.1 млн. лв., което е с 9.5% по-малко</w:t>
      </w:r>
      <w:r w:rsidRPr="002E5DD7">
        <w:rPr>
          <w:rFonts w:ascii="Times New Roman" w:hAnsi="Times New Roman"/>
          <w:szCs w:val="24"/>
          <w:lang w:val="bg-BG"/>
        </w:rPr>
        <w:t xml:space="preserve"> от предходната година</w:t>
      </w:r>
      <w:r w:rsidRPr="008A570A">
        <w:rPr>
          <w:rFonts w:ascii="Times New Roman" w:hAnsi="Times New Roman"/>
          <w:szCs w:val="24"/>
          <w:lang w:val="bg-BG"/>
          <w:rPrChange w:id="11" w:author="Originalni textove" w:date="2023-12-20T11:01:00Z">
            <w:rPr>
              <w:rFonts w:ascii="Times New Roman" w:hAnsi="Times New Roman"/>
              <w:szCs w:val="24"/>
              <w:lang w:val="en-US"/>
            </w:rPr>
          </w:rPrChange>
        </w:rPr>
        <w:t xml:space="preserve"> </w:t>
      </w:r>
      <w:r w:rsidR="002E5DD7" w:rsidRPr="002E5DD7">
        <w:rPr>
          <w:rFonts w:ascii="Times New Roman" w:hAnsi="Times New Roman"/>
          <w:szCs w:val="24"/>
          <w:lang w:val="bg-BG"/>
        </w:rPr>
        <w:t>и е в резултат на намаление на цените с 5.0% и спад при обемите</w:t>
      </w:r>
      <w:r w:rsidR="002E5DD7">
        <w:rPr>
          <w:rFonts w:ascii="Times New Roman" w:hAnsi="Times New Roman"/>
          <w:szCs w:val="24"/>
          <w:lang w:val="bg-BG"/>
        </w:rPr>
        <w:t xml:space="preserve"> с 4.7</w:t>
      </w:r>
      <w:r w:rsidRPr="002E5DD7">
        <w:rPr>
          <w:rFonts w:ascii="Times New Roman" w:hAnsi="Times New Roman"/>
          <w:szCs w:val="24"/>
          <w:lang w:val="bg-BG"/>
        </w:rPr>
        <w:t>%.</w:t>
      </w:r>
    </w:p>
    <w:p w14:paraId="25D1EBEC" w14:textId="77777777" w:rsidR="00D57D7E" w:rsidRPr="007C3E34" w:rsidRDefault="00B53A46" w:rsidP="00AC1A29">
      <w:pPr>
        <w:spacing w:after="60"/>
        <w:ind w:firstLine="720"/>
        <w:jc w:val="both"/>
        <w:rPr>
          <w:rFonts w:ascii="Times New Roman" w:eastAsia="Times New Roman" w:hAnsi="Times New Roman"/>
          <w:szCs w:val="24"/>
          <w:lang w:val="bg-BG"/>
        </w:rPr>
      </w:pPr>
      <w:r w:rsidRPr="007C3E34">
        <w:rPr>
          <w:rFonts w:ascii="Times New Roman" w:eastAsia="Times New Roman" w:hAnsi="Times New Roman"/>
          <w:szCs w:val="24"/>
          <w:lang w:val="bg-BG"/>
        </w:rPr>
        <w:t xml:space="preserve">Брутната добавена стойност по базисни цени, създадена в селското стопанство през </w:t>
      </w:r>
      <w:r w:rsidR="002E0BD2" w:rsidRPr="007C3E34">
        <w:rPr>
          <w:rFonts w:ascii="Times New Roman" w:eastAsia="Times New Roman" w:hAnsi="Times New Roman"/>
          <w:szCs w:val="24"/>
          <w:lang w:val="bg-BG"/>
        </w:rPr>
        <w:t>202</w:t>
      </w:r>
      <w:r w:rsidR="002E0BD2" w:rsidRPr="008A570A">
        <w:rPr>
          <w:rFonts w:ascii="Times New Roman" w:eastAsia="Times New Roman" w:hAnsi="Times New Roman"/>
          <w:szCs w:val="24"/>
          <w:lang w:val="bg-BG"/>
          <w:rPrChange w:id="12" w:author="Originalni textove" w:date="2023-12-20T11:01:00Z">
            <w:rPr>
              <w:rFonts w:ascii="Times New Roman" w:eastAsia="Times New Roman" w:hAnsi="Times New Roman"/>
              <w:szCs w:val="24"/>
              <w:lang w:val="en-US"/>
            </w:rPr>
          </w:rPrChange>
        </w:rPr>
        <w:t>3</w:t>
      </w:r>
      <w:r w:rsidR="002E0BD2" w:rsidRPr="007C3E34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7C3E34">
        <w:rPr>
          <w:rFonts w:ascii="Times New Roman" w:eastAsia="Times New Roman" w:hAnsi="Times New Roman"/>
          <w:szCs w:val="24"/>
          <w:lang w:val="bg-BG"/>
        </w:rPr>
        <w:t xml:space="preserve">г., достига </w:t>
      </w:r>
      <w:r w:rsidR="00D93990" w:rsidRPr="007C3E34">
        <w:rPr>
          <w:rFonts w:ascii="Times New Roman" w:eastAsia="Times New Roman" w:hAnsi="Times New Roman"/>
          <w:szCs w:val="24"/>
          <w:lang w:val="bg-BG"/>
        </w:rPr>
        <w:t>4</w:t>
      </w:r>
      <w:r w:rsidR="007503F5">
        <w:rPr>
          <w:rFonts w:ascii="Times New Roman" w:eastAsia="Times New Roman" w:hAnsi="Times New Roman"/>
          <w:szCs w:val="24"/>
          <w:lang w:val="bg-BG"/>
        </w:rPr>
        <w:t> </w:t>
      </w:r>
      <w:r w:rsidR="00D93990" w:rsidRPr="007C3E34">
        <w:rPr>
          <w:rFonts w:ascii="Times New Roman" w:eastAsia="Times New Roman" w:hAnsi="Times New Roman"/>
          <w:szCs w:val="24"/>
          <w:lang w:val="bg-BG"/>
        </w:rPr>
        <w:t>118</w:t>
      </w:r>
      <w:r w:rsidR="007503F5">
        <w:rPr>
          <w:rFonts w:ascii="Times New Roman" w:eastAsia="Times New Roman" w:hAnsi="Times New Roman"/>
          <w:szCs w:val="24"/>
          <w:lang w:val="bg-BG"/>
        </w:rPr>
        <w:t>.</w:t>
      </w:r>
      <w:r w:rsidR="00D93990" w:rsidRPr="007C3E34">
        <w:rPr>
          <w:rFonts w:ascii="Times New Roman" w:eastAsia="Times New Roman" w:hAnsi="Times New Roman"/>
          <w:szCs w:val="24"/>
          <w:lang w:val="bg-BG"/>
        </w:rPr>
        <w:t>8</w:t>
      </w:r>
      <w:r w:rsidRPr="007C3E34">
        <w:rPr>
          <w:rFonts w:ascii="Times New Roman" w:eastAsia="Times New Roman" w:hAnsi="Times New Roman"/>
          <w:szCs w:val="24"/>
          <w:lang w:val="bg-BG"/>
        </w:rPr>
        <w:t xml:space="preserve"> млн. лв. и е с </w:t>
      </w:r>
      <w:r w:rsidR="00D93990" w:rsidRPr="007C3E34">
        <w:rPr>
          <w:rFonts w:ascii="Times New Roman" w:eastAsia="Times New Roman" w:hAnsi="Times New Roman"/>
          <w:szCs w:val="24"/>
          <w:lang w:val="bg-BG"/>
        </w:rPr>
        <w:t>30.4</w:t>
      </w:r>
      <w:r w:rsidRPr="007C3E34">
        <w:rPr>
          <w:rFonts w:ascii="Times New Roman" w:eastAsia="Times New Roman" w:hAnsi="Times New Roman"/>
          <w:szCs w:val="24"/>
          <w:lang w:val="bg-BG"/>
        </w:rPr>
        <w:t>% по-</w:t>
      </w:r>
      <w:r w:rsidR="00D93990" w:rsidRPr="007C3E34">
        <w:rPr>
          <w:rFonts w:ascii="Times New Roman" w:eastAsia="Times New Roman" w:hAnsi="Times New Roman"/>
          <w:szCs w:val="24"/>
          <w:lang w:val="bg-BG"/>
        </w:rPr>
        <w:t xml:space="preserve">ниска от 2022 </w:t>
      </w:r>
      <w:r w:rsidRPr="007C3E34">
        <w:rPr>
          <w:rFonts w:ascii="Times New Roman" w:eastAsia="Times New Roman" w:hAnsi="Times New Roman"/>
          <w:szCs w:val="24"/>
          <w:lang w:val="bg-BG"/>
        </w:rPr>
        <w:t>година</w:t>
      </w:r>
      <w:r w:rsidR="00D93990" w:rsidRPr="007C3E34">
        <w:rPr>
          <w:rFonts w:ascii="Times New Roman" w:eastAsia="Times New Roman" w:hAnsi="Times New Roman"/>
          <w:szCs w:val="24"/>
          <w:lang w:val="bg-BG"/>
        </w:rPr>
        <w:t>. Намалението е в резултат на спад на</w:t>
      </w:r>
      <w:r w:rsidR="007C3E34" w:rsidRPr="007C3E34">
        <w:rPr>
          <w:rFonts w:ascii="Times New Roman" w:eastAsia="Times New Roman" w:hAnsi="Times New Roman"/>
          <w:szCs w:val="24"/>
          <w:lang w:val="bg-BG"/>
        </w:rPr>
        <w:t xml:space="preserve"> цените с 26.8%, и на обемите - с 4.9</w:t>
      </w:r>
      <w:r w:rsidRPr="007C3E34">
        <w:rPr>
          <w:rFonts w:ascii="Times New Roman" w:eastAsia="Times New Roman" w:hAnsi="Times New Roman"/>
          <w:szCs w:val="24"/>
          <w:lang w:val="bg-BG"/>
        </w:rPr>
        <w:t>%.</w:t>
      </w:r>
    </w:p>
    <w:p w14:paraId="01549395" w14:textId="77777777" w:rsidR="006D37B7" w:rsidRPr="007C3E34" w:rsidRDefault="002940FF" w:rsidP="00AC1A29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7C3E34">
        <w:rPr>
          <w:rFonts w:ascii="Times New Roman" w:eastAsia="Times" w:hAnsi="Times New Roman"/>
          <w:szCs w:val="24"/>
          <w:lang w:val="bg-BG"/>
        </w:rPr>
        <w:t>Смесеният индекс</w:t>
      </w:r>
      <w:r w:rsidRPr="007C3E34">
        <w:rPr>
          <w:rFonts w:ascii="Times New Roman" w:eastAsia="Times" w:hAnsi="Times New Roman"/>
          <w:szCs w:val="24"/>
          <w:vertAlign w:val="superscript"/>
          <w:lang w:val="bg-BG"/>
        </w:rPr>
        <w:footnoteReference w:id="2"/>
      </w:r>
      <w:r w:rsidRPr="007C3E34">
        <w:rPr>
          <w:rFonts w:ascii="Times New Roman" w:eastAsia="Times" w:hAnsi="Times New Roman"/>
          <w:szCs w:val="24"/>
          <w:lang w:val="bg-BG"/>
        </w:rPr>
        <w:t xml:space="preserve"> на нетния доход </w:t>
      </w:r>
      <w:r w:rsidR="007C3E34" w:rsidRPr="007C3E34">
        <w:rPr>
          <w:rFonts w:ascii="Times New Roman" w:eastAsia="Times" w:hAnsi="Times New Roman"/>
          <w:szCs w:val="24"/>
          <w:lang w:val="bg-BG"/>
        </w:rPr>
        <w:t xml:space="preserve">по </w:t>
      </w:r>
      <w:proofErr w:type="spellStart"/>
      <w:r w:rsidR="007C3E34" w:rsidRPr="007C3E34">
        <w:rPr>
          <w:rFonts w:ascii="Times New Roman" w:eastAsia="Times" w:hAnsi="Times New Roman"/>
          <w:szCs w:val="24"/>
          <w:lang w:val="bg-BG"/>
        </w:rPr>
        <w:t>факторни</w:t>
      </w:r>
      <w:proofErr w:type="spellEnd"/>
      <w:r w:rsidR="007C3E34" w:rsidRPr="007C3E34">
        <w:rPr>
          <w:rFonts w:ascii="Times New Roman" w:eastAsia="Times" w:hAnsi="Times New Roman"/>
          <w:szCs w:val="24"/>
          <w:lang w:val="bg-BG"/>
        </w:rPr>
        <w:t xml:space="preserve"> разходи намалява</w:t>
      </w:r>
      <w:r w:rsidRPr="007C3E34">
        <w:rPr>
          <w:rFonts w:ascii="Times New Roman" w:eastAsia="Times" w:hAnsi="Times New Roman"/>
          <w:szCs w:val="24"/>
          <w:lang w:val="bg-BG"/>
        </w:rPr>
        <w:t xml:space="preserve"> с</w:t>
      </w:r>
      <w:r w:rsidR="007C3E34" w:rsidRPr="007C3E34">
        <w:rPr>
          <w:rFonts w:ascii="Times New Roman" w:eastAsia="Times" w:hAnsi="Times New Roman"/>
          <w:szCs w:val="24"/>
          <w:lang w:val="bg-BG"/>
        </w:rPr>
        <w:t xml:space="preserve"> 27.1</w:t>
      </w:r>
      <w:r w:rsidRPr="007C3E34">
        <w:rPr>
          <w:rFonts w:ascii="Times New Roman" w:eastAsia="Times" w:hAnsi="Times New Roman"/>
          <w:szCs w:val="24"/>
          <w:lang w:val="bg-BG"/>
        </w:rPr>
        <w:t>%, а на нетния</w:t>
      </w:r>
      <w:r w:rsidR="00D861BC">
        <w:rPr>
          <w:rFonts w:ascii="Times New Roman" w:eastAsia="Times" w:hAnsi="Times New Roman"/>
          <w:szCs w:val="24"/>
          <w:lang w:val="bg-BG"/>
        </w:rPr>
        <w:t>т</w:t>
      </w:r>
      <w:r w:rsidRPr="007C3E34">
        <w:rPr>
          <w:rFonts w:ascii="Times New Roman" w:eastAsia="Times" w:hAnsi="Times New Roman"/>
          <w:szCs w:val="24"/>
          <w:lang w:val="bg-BG"/>
        </w:rPr>
        <w:t xml:space="preserve"> опериращ излишък/смесен доход </w:t>
      </w:r>
      <w:r w:rsidR="007A1FD8" w:rsidRPr="007C3E34">
        <w:rPr>
          <w:rFonts w:ascii="Times New Roman" w:eastAsia="Times" w:hAnsi="Times New Roman"/>
          <w:szCs w:val="24"/>
          <w:lang w:val="bg-BG"/>
        </w:rPr>
        <w:t>-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="007C3E34" w:rsidRPr="007C3E34">
        <w:rPr>
          <w:rFonts w:ascii="Times New Roman" w:eastAsia="Times" w:hAnsi="Times New Roman"/>
          <w:szCs w:val="24"/>
          <w:lang w:val="bg-BG"/>
        </w:rPr>
        <w:t>с 38.0</w:t>
      </w:r>
      <w:r w:rsidR="007A1FD8" w:rsidRPr="007C3E34">
        <w:rPr>
          <w:rFonts w:ascii="Times New Roman" w:eastAsia="Times" w:hAnsi="Times New Roman"/>
          <w:szCs w:val="24"/>
          <w:lang w:val="bg-BG"/>
        </w:rPr>
        <w:t>%, к</w:t>
      </w:r>
      <w:r w:rsidR="007C3E34" w:rsidRPr="007C3E34">
        <w:rPr>
          <w:rFonts w:ascii="Times New Roman" w:eastAsia="Times" w:hAnsi="Times New Roman"/>
          <w:szCs w:val="24"/>
          <w:lang w:val="bg-BG"/>
        </w:rPr>
        <w:t>оето е в резултат на спада на</w:t>
      </w:r>
      <w:r w:rsidR="007A1FD8" w:rsidRPr="007C3E34">
        <w:rPr>
          <w:rFonts w:ascii="Times New Roman" w:eastAsia="Times" w:hAnsi="Times New Roman"/>
          <w:szCs w:val="24"/>
          <w:lang w:val="bg-BG"/>
        </w:rPr>
        <w:t xml:space="preserve"> цени</w:t>
      </w:r>
      <w:r w:rsidR="007C3E34" w:rsidRPr="007C3E34">
        <w:rPr>
          <w:rFonts w:ascii="Times New Roman" w:eastAsia="Times" w:hAnsi="Times New Roman"/>
          <w:szCs w:val="24"/>
          <w:lang w:val="bg-BG"/>
        </w:rPr>
        <w:t>те</w:t>
      </w:r>
      <w:r w:rsidR="007A1FD8" w:rsidRPr="007C3E34">
        <w:rPr>
          <w:rFonts w:ascii="Times New Roman" w:eastAsia="Times" w:hAnsi="Times New Roman"/>
          <w:szCs w:val="24"/>
          <w:lang w:val="bg-BG"/>
        </w:rPr>
        <w:t xml:space="preserve"> на продукцията в селското стопанство спрямо 202</w:t>
      </w:r>
      <w:r w:rsidR="007C3E34" w:rsidRPr="007C3E34">
        <w:rPr>
          <w:rFonts w:ascii="Times New Roman" w:eastAsia="Times" w:hAnsi="Times New Roman"/>
          <w:szCs w:val="24"/>
          <w:lang w:val="bg-BG"/>
        </w:rPr>
        <w:t>2</w:t>
      </w:r>
      <w:r w:rsidR="00D861BC">
        <w:rPr>
          <w:rFonts w:ascii="Times New Roman" w:eastAsia="Times" w:hAnsi="Times New Roman"/>
          <w:szCs w:val="24"/>
          <w:lang w:val="bg-BG"/>
        </w:rPr>
        <w:t xml:space="preserve"> </w:t>
      </w:r>
      <w:r w:rsidR="009A061A" w:rsidRPr="007C3E34">
        <w:rPr>
          <w:rFonts w:ascii="Times New Roman" w:eastAsia="Times" w:hAnsi="Times New Roman"/>
          <w:szCs w:val="24"/>
          <w:lang w:val="bg-BG"/>
        </w:rPr>
        <w:t>г</w:t>
      </w:r>
      <w:r w:rsidR="00D861BC">
        <w:rPr>
          <w:rFonts w:ascii="Times New Roman" w:eastAsia="Times" w:hAnsi="Times New Roman"/>
          <w:szCs w:val="24"/>
          <w:lang w:val="bg-BG"/>
        </w:rPr>
        <w:t>одина</w:t>
      </w:r>
      <w:r w:rsidR="009A061A" w:rsidRPr="007C3E34">
        <w:rPr>
          <w:rFonts w:ascii="Times New Roman" w:eastAsia="Times" w:hAnsi="Times New Roman"/>
          <w:szCs w:val="24"/>
          <w:lang w:val="bg-BG"/>
        </w:rPr>
        <w:t xml:space="preserve">. </w:t>
      </w:r>
    </w:p>
    <w:p w14:paraId="24AE5C40" w14:textId="77777777" w:rsidR="009A061A" w:rsidRPr="007C3E34" w:rsidRDefault="009A061A" w:rsidP="00AC1A29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7C3E34">
        <w:rPr>
          <w:rFonts w:ascii="Times New Roman" w:eastAsia="Times" w:hAnsi="Times New Roman" w:hint="cs"/>
          <w:szCs w:val="24"/>
          <w:lang w:val="bg-BG"/>
        </w:rPr>
        <w:t>Смесеният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индекс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на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нетния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предприемачески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доход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в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селското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стопанство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през</w:t>
      </w:r>
      <w:r w:rsidR="007C3E34" w:rsidRPr="007C3E34">
        <w:rPr>
          <w:rFonts w:ascii="Times New Roman" w:eastAsia="Times" w:hAnsi="Times New Roman"/>
          <w:szCs w:val="24"/>
          <w:lang w:val="bg-BG"/>
        </w:rPr>
        <w:t xml:space="preserve"> 2023 г. намалява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спрямо</w:t>
      </w:r>
      <w:r w:rsidR="00164E8D">
        <w:rPr>
          <w:rFonts w:ascii="Times New Roman" w:eastAsia="Times" w:hAnsi="Times New Roman"/>
          <w:szCs w:val="24"/>
          <w:lang w:val="bg-BG"/>
        </w:rPr>
        <w:t xml:space="preserve"> 2022</w:t>
      </w:r>
      <w:r w:rsidRPr="007C3E34">
        <w:rPr>
          <w:rFonts w:ascii="Times New Roman" w:eastAsia="Times" w:hAnsi="Times New Roman"/>
          <w:szCs w:val="24"/>
          <w:lang w:val="bg-BG"/>
        </w:rPr>
        <w:t xml:space="preserve"> </w:t>
      </w:r>
      <w:r w:rsidRPr="007C3E34">
        <w:rPr>
          <w:rFonts w:ascii="Times New Roman" w:eastAsia="Times" w:hAnsi="Times New Roman" w:hint="cs"/>
          <w:szCs w:val="24"/>
          <w:lang w:val="bg-BG"/>
        </w:rPr>
        <w:t>г</w:t>
      </w:r>
      <w:r w:rsidRPr="007C3E34">
        <w:rPr>
          <w:rFonts w:ascii="Times New Roman" w:eastAsia="Times" w:hAnsi="Times New Roman"/>
          <w:szCs w:val="24"/>
          <w:lang w:val="bg-BG"/>
        </w:rPr>
        <w:t xml:space="preserve">. </w:t>
      </w:r>
      <w:r w:rsidRPr="007C3E34">
        <w:rPr>
          <w:rFonts w:ascii="Times New Roman" w:eastAsia="Times" w:hAnsi="Times New Roman" w:hint="cs"/>
          <w:szCs w:val="24"/>
          <w:lang w:val="bg-BG"/>
        </w:rPr>
        <w:t>с</w:t>
      </w:r>
      <w:r w:rsidR="007C3E34" w:rsidRPr="007C3E34">
        <w:rPr>
          <w:rFonts w:ascii="Times New Roman" w:eastAsia="Times" w:hAnsi="Times New Roman"/>
          <w:szCs w:val="24"/>
          <w:lang w:val="bg-BG"/>
        </w:rPr>
        <w:t xml:space="preserve"> 66.6</w:t>
      </w:r>
      <w:r w:rsidRPr="007C3E34">
        <w:rPr>
          <w:rFonts w:ascii="Times New Roman" w:eastAsia="Times" w:hAnsi="Times New Roman"/>
          <w:szCs w:val="24"/>
          <w:lang w:val="bg-BG"/>
        </w:rPr>
        <w:t>%.</w:t>
      </w:r>
    </w:p>
    <w:p w14:paraId="5015C1AA" w14:textId="77777777" w:rsidR="00AE3A24" w:rsidRDefault="00AE3A24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</w:p>
    <w:p w14:paraId="6DB387DC" w14:textId="77777777" w:rsidR="00AE3A24" w:rsidRDefault="00AE3A24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</w:p>
    <w:p w14:paraId="1B6FF710" w14:textId="77777777" w:rsidR="00CB285D" w:rsidRDefault="00CB285D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</w:p>
    <w:p w14:paraId="3165E945" w14:textId="77777777" w:rsidR="000E2F89" w:rsidRPr="000E2F89" w:rsidRDefault="000E2F89" w:rsidP="000E2F89">
      <w:pPr>
        <w:spacing w:before="240"/>
        <w:jc w:val="center"/>
        <w:rPr>
          <w:rFonts w:ascii="Times New Roman" w:hAnsi="Times New Roman"/>
          <w:b/>
          <w:szCs w:val="24"/>
          <w:lang w:val="bg-BG"/>
        </w:rPr>
      </w:pPr>
      <w:r w:rsidRPr="000E2F89">
        <w:rPr>
          <w:rFonts w:ascii="Times New Roman" w:hAnsi="Times New Roman"/>
          <w:b/>
          <w:szCs w:val="24"/>
          <w:lang w:val="bg-BG"/>
        </w:rPr>
        <w:t>Фиг.</w:t>
      </w:r>
      <w:r w:rsidRPr="008A570A">
        <w:rPr>
          <w:rFonts w:ascii="Times New Roman" w:hAnsi="Times New Roman"/>
          <w:b/>
          <w:szCs w:val="24"/>
          <w:lang w:val="bg-BG"/>
          <w:rPrChange w:id="15" w:author="Originalni textove" w:date="2023-12-20T11:02:00Z">
            <w:rPr>
              <w:rFonts w:ascii="Times New Roman" w:hAnsi="Times New Roman"/>
              <w:b/>
              <w:szCs w:val="24"/>
              <w:lang w:val="en-US"/>
            </w:rPr>
          </w:rPrChange>
        </w:rPr>
        <w:t xml:space="preserve"> 1. </w:t>
      </w:r>
      <w:r w:rsidRPr="000E2F89">
        <w:rPr>
          <w:rFonts w:ascii="Times New Roman" w:hAnsi="Times New Roman"/>
          <w:b/>
          <w:szCs w:val="24"/>
          <w:lang w:val="bg-BG"/>
        </w:rPr>
        <w:t>Изменение на показателите за доход в селското стопанство през периода</w:t>
      </w:r>
    </w:p>
    <w:p w14:paraId="2DB2C858" w14:textId="77777777" w:rsidR="000E2F89" w:rsidRDefault="000E2F89" w:rsidP="000E2F89">
      <w:pPr>
        <w:jc w:val="center"/>
        <w:rPr>
          <w:rFonts w:ascii="Times New Roman" w:hAnsi="Times New Roman"/>
          <w:b/>
          <w:szCs w:val="24"/>
          <w:lang w:val="bg-BG"/>
        </w:rPr>
      </w:pPr>
      <w:r w:rsidRPr="000E2F89">
        <w:rPr>
          <w:rFonts w:ascii="Times New Roman" w:hAnsi="Times New Roman"/>
          <w:b/>
          <w:szCs w:val="24"/>
          <w:lang w:val="bg-BG"/>
        </w:rPr>
        <w:t xml:space="preserve">2007 </w:t>
      </w:r>
      <w:r w:rsidRPr="000E2F89">
        <w:rPr>
          <w:rFonts w:ascii="Times New Roman" w:hAnsi="Times New Roman"/>
          <w:b/>
          <w:szCs w:val="24"/>
          <w:lang w:val="en-US"/>
        </w:rPr>
        <w:t>-</w:t>
      </w:r>
      <w:r w:rsidR="006A5C24">
        <w:rPr>
          <w:rFonts w:ascii="Times New Roman" w:hAnsi="Times New Roman"/>
          <w:b/>
          <w:szCs w:val="24"/>
          <w:lang w:val="bg-BG"/>
        </w:rPr>
        <w:t xml:space="preserve"> 2023</w:t>
      </w:r>
      <w:r w:rsidRPr="000E2F89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14:paraId="3EBCAE5D" w14:textId="77777777" w:rsidR="00C04D07" w:rsidRDefault="009523CB" w:rsidP="000E2F89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2E26EEBA" wp14:editId="26A1175C">
            <wp:extent cx="6570980" cy="2695575"/>
            <wp:effectExtent l="0" t="0" r="127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79E9D1" w14:textId="77777777" w:rsidR="00C04D07" w:rsidRPr="002F3868" w:rsidRDefault="00C04D07" w:rsidP="000E2F89">
      <w:pPr>
        <w:jc w:val="center"/>
        <w:rPr>
          <w:rFonts w:ascii="Times New Roman" w:hAnsi="Times New Roman"/>
          <w:b/>
          <w:sz w:val="18"/>
          <w:szCs w:val="24"/>
          <w:lang w:val="bg-BG"/>
        </w:rPr>
      </w:pPr>
    </w:p>
    <w:p w14:paraId="4B0BF46E" w14:textId="77777777" w:rsidR="002F6F59" w:rsidRPr="002F3868" w:rsidRDefault="002F6F59" w:rsidP="002F6F59">
      <w:pPr>
        <w:rPr>
          <w:rFonts w:ascii="Times New Roman" w:hAnsi="Times New Roman"/>
          <w:b/>
          <w:sz w:val="20"/>
          <w:szCs w:val="24"/>
          <w:lang w:val="bg-BG"/>
        </w:rPr>
      </w:pPr>
    </w:p>
    <w:p w14:paraId="24AD0351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 w:line="276" w:lineRule="auto"/>
        <w:ind w:firstLine="709"/>
        <w:jc w:val="both"/>
        <w:rPr>
          <w:rFonts w:ascii="Times New Roman" w:eastAsia="Times" w:hAnsi="Times New Roman"/>
          <w:b/>
          <w:szCs w:val="24"/>
          <w:lang w:val="bg-BG"/>
        </w:rPr>
      </w:pPr>
      <w:r w:rsidRPr="00632807">
        <w:rPr>
          <w:rFonts w:ascii="Times New Roman" w:eastAsia="Times" w:hAnsi="Times New Roman"/>
          <w:b/>
          <w:szCs w:val="24"/>
          <w:lang w:val="bg-BG"/>
        </w:rPr>
        <w:t>Методологични бележки</w:t>
      </w:r>
    </w:p>
    <w:p w14:paraId="1C650EB9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Икономическите сметки за селското стопанство са сателитни сметки на националните сметки, които предоставят допълнителна информация и използват понятия, адаптирани към специфичното естество на отрасъла. Те са разработени съгласно Регламент (ЕО) № 138/2004 на Европейския парламент и на Съвета и приетата от Евростат методология, описана в „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Manual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on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the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Economic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Accounts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for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Agriculture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and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Forestry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, 1997,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Rev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. 1.1“. Архитектурата на сметките </w:t>
      </w:r>
      <w:r w:rsidR="00500C95">
        <w:rPr>
          <w:rFonts w:ascii="Times New Roman" w:eastAsia="Times" w:hAnsi="Times New Roman"/>
          <w:szCs w:val="24"/>
          <w:lang w:val="bg-BG"/>
        </w:rPr>
        <w:t xml:space="preserve">се </w:t>
      </w:r>
      <w:r w:rsidRPr="00632807">
        <w:rPr>
          <w:rFonts w:ascii="Times New Roman" w:eastAsia="Times" w:hAnsi="Times New Roman"/>
          <w:szCs w:val="24"/>
          <w:lang w:val="bg-BG"/>
        </w:rPr>
        <w:t>изгражда</w:t>
      </w:r>
      <w:r w:rsidR="00500C95">
        <w:rPr>
          <w:rFonts w:ascii="Times New Roman" w:eastAsia="Times" w:hAnsi="Times New Roman"/>
          <w:szCs w:val="24"/>
          <w:lang w:val="bg-BG"/>
        </w:rPr>
        <w:t xml:space="preserve"> от</w:t>
      </w:r>
      <w:r w:rsidRPr="00632807">
        <w:rPr>
          <w:rFonts w:ascii="Times New Roman" w:eastAsia="Times" w:hAnsi="Times New Roman"/>
          <w:szCs w:val="24"/>
          <w:lang w:val="bg-BG"/>
        </w:rPr>
        <w:t xml:space="preserve"> четири сметки - три за текущи операции - „Производство“, „Формиране на дохода“, „Предприемачески доход“, и една за натрупване - „Капитал“, като последователността и изчерпателността им се осигурява в съответствие с Европейската система от сметки.</w:t>
      </w:r>
    </w:p>
    <w:p w14:paraId="6BF28FF1" w14:textId="77777777" w:rsidR="00632807" w:rsidRPr="00632807" w:rsidRDefault="00632807" w:rsidP="00323F51">
      <w:pPr>
        <w:autoSpaceDE w:val="0"/>
        <w:autoSpaceDN w:val="0"/>
        <w:adjustRightInd w:val="0"/>
        <w:spacing w:before="60"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Основни показатели</w:t>
      </w:r>
    </w:p>
    <w:p w14:paraId="53890E5B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Основната цел на разработването на икономическите сметки е изчисляването на предприемаческия доход в отрасъл „Селско стопанство“. Изчислението на дохода се осъществява в рамките на трите сметки за текущи операции, при което се използват следните методологически връзки:</w:t>
      </w:r>
    </w:p>
    <w:p w14:paraId="4BF89200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Продукция от растениевъдството</w:t>
      </w:r>
    </w:p>
    <w:p w14:paraId="1A05D4C8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Продукция от животновъдството</w:t>
      </w:r>
    </w:p>
    <w:p w14:paraId="6CC0BAC5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Селскостопански услуги</w:t>
      </w:r>
    </w:p>
    <w:p w14:paraId="38CA07A9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Неотделими неселскостопански дейности</w:t>
      </w:r>
    </w:p>
    <w:p w14:paraId="3994AE0B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Продукция от отрасъл „Селско стопанство“</w:t>
      </w:r>
    </w:p>
    <w:p w14:paraId="17E5B90F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Междинно потребление</w:t>
      </w:r>
    </w:p>
    <w:p w14:paraId="62F93EDA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Брутна добавена стойност</w:t>
      </w:r>
    </w:p>
    <w:p w14:paraId="0EED1933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Потребление на основен капитал</w:t>
      </w:r>
    </w:p>
    <w:p w14:paraId="38EC7180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lastRenderedPageBreak/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Нетна добавена стойност</w:t>
      </w:r>
    </w:p>
    <w:p w14:paraId="61CB0946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Компенсация на наетите</w:t>
      </w:r>
    </w:p>
    <w:p w14:paraId="452FB119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Други данъци върху производството</w:t>
      </w:r>
    </w:p>
    <w:p w14:paraId="51A9F0C9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Други субсидии върху производството</w:t>
      </w:r>
    </w:p>
    <w:p w14:paraId="7F872DA7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Нетен опериращ излишък/смесен доход</w:t>
      </w:r>
    </w:p>
    <w:p w14:paraId="7FEF4950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Платени ренти</w:t>
      </w:r>
    </w:p>
    <w:p w14:paraId="19DC86C3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</w:t>
      </w:r>
      <w:r w:rsidRPr="00632807">
        <w:rPr>
          <w:rFonts w:ascii="Times New Roman" w:eastAsia="Times" w:hAnsi="Times New Roman"/>
          <w:szCs w:val="24"/>
          <w:lang w:val="bg-BG"/>
        </w:rPr>
        <w:tab/>
        <w:t>Платени лихви</w:t>
      </w:r>
    </w:p>
    <w:p w14:paraId="3C2AB4B1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+</w:t>
      </w:r>
      <w:r w:rsidRPr="00632807">
        <w:rPr>
          <w:rFonts w:ascii="Times New Roman" w:eastAsia="Times" w:hAnsi="Times New Roman"/>
          <w:szCs w:val="24"/>
          <w:lang w:val="bg-BG"/>
        </w:rPr>
        <w:tab/>
        <w:t>Получени лихви</w:t>
      </w:r>
    </w:p>
    <w:p w14:paraId="4D62B993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=</w:t>
      </w:r>
      <w:r w:rsidRPr="00632807">
        <w:rPr>
          <w:rFonts w:ascii="Times New Roman" w:eastAsia="Times" w:hAnsi="Times New Roman"/>
          <w:szCs w:val="24"/>
          <w:lang w:val="bg-BG"/>
        </w:rPr>
        <w:tab/>
        <w:t>Нетен предприемачески доход.</w:t>
      </w:r>
    </w:p>
    <w:p w14:paraId="5F761CFC" w14:textId="77777777" w:rsidR="00632807" w:rsidRPr="002F3868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 w:val="14"/>
          <w:szCs w:val="24"/>
          <w:lang w:val="bg-BG"/>
        </w:rPr>
      </w:pPr>
    </w:p>
    <w:p w14:paraId="5142CE8E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Продукцията от отрасъл „Селско стопанство“ представлява стойността на всички произведени стоки и услуги от единиците със селскостопанска дейност. Данните се отнасят за крайната продукция, която не включва вътрешния оборот (стоките и услугите, произведени и употребени в самото стопанство през отчетния период).</w:t>
      </w:r>
    </w:p>
    <w:p w14:paraId="0AFB03B7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В икономическите сметки за селското стопанство</w:t>
      </w:r>
      <w:r w:rsidR="00AC1A29">
        <w:rPr>
          <w:rFonts w:ascii="Times New Roman" w:eastAsia="Times" w:hAnsi="Times New Roman"/>
          <w:szCs w:val="24"/>
          <w:lang w:val="bg-BG"/>
        </w:rPr>
        <w:t>,</w:t>
      </w:r>
      <w:r w:rsidRPr="00632807">
        <w:rPr>
          <w:rFonts w:ascii="Times New Roman" w:eastAsia="Times" w:hAnsi="Times New Roman"/>
          <w:szCs w:val="24"/>
          <w:lang w:val="bg-BG"/>
        </w:rPr>
        <w:t xml:space="preserve"> съгласно изискванията на Приложение ХI на EAA ’97,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Rev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>. 1.1, не се включват:</w:t>
      </w:r>
    </w:p>
    <w:p w14:paraId="5ACA4D0F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 продукцията от единиците, занимаващи се с производството на сертифициран размножителен материал за научни цели или за използване в растениевъдството и животновъдството;</w:t>
      </w:r>
    </w:p>
    <w:p w14:paraId="1DFB2087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 продукцията от дейности, свързани с допълнителни услуги в селското стопанство, като използване на напоителни системи, дизайн, поддържане и засаждане на градини, паркове и други зелени площи, кастрене на дървета, подрязване на храсти и жив плет и т.н.;</w:t>
      </w:r>
    </w:p>
    <w:p w14:paraId="461B99FC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- незавършеното производство, отнасящо се за културите, чийто производствен цикъл е по-къс от отчетния период (една календарна година) или се извършва в две календарни години;</w:t>
      </w:r>
    </w:p>
    <w:p w14:paraId="2BEF2234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20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 xml:space="preserve">- продукцията от неселскостопанските дейности на селскостопанските единици, когато те са счетоводно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отделими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>.</w:t>
      </w:r>
    </w:p>
    <w:p w14:paraId="0FFFED93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 xml:space="preserve">Нетният доход по </w:t>
      </w:r>
      <w:proofErr w:type="spellStart"/>
      <w:r w:rsidRPr="00632807">
        <w:rPr>
          <w:rFonts w:ascii="Times New Roman" w:eastAsia="Times" w:hAnsi="Times New Roman"/>
          <w:szCs w:val="24"/>
          <w:lang w:val="bg-BG"/>
        </w:rPr>
        <w:t>факторни</w:t>
      </w:r>
      <w:proofErr w:type="spellEnd"/>
      <w:r w:rsidRPr="00632807">
        <w:rPr>
          <w:rFonts w:ascii="Times New Roman" w:eastAsia="Times" w:hAnsi="Times New Roman"/>
          <w:szCs w:val="24"/>
          <w:lang w:val="bg-BG"/>
        </w:rPr>
        <w:t xml:space="preserve"> разходи (изчислен след приспадане от нетната добавена стойност по базисни цени на стойността на другите данъци върху производството и прибав</w:t>
      </w:r>
      <w:r w:rsidR="00AC1A29">
        <w:rPr>
          <w:rFonts w:ascii="Times New Roman" w:eastAsia="Times" w:hAnsi="Times New Roman"/>
          <w:szCs w:val="24"/>
          <w:lang w:val="bg-BG"/>
        </w:rPr>
        <w:t>яне на</w:t>
      </w:r>
      <w:r w:rsidRPr="00632807">
        <w:rPr>
          <w:rFonts w:ascii="Times New Roman" w:eastAsia="Times" w:hAnsi="Times New Roman"/>
          <w:szCs w:val="24"/>
          <w:lang w:val="bg-BG"/>
        </w:rPr>
        <w:t xml:space="preserve"> стойността на другите субсидии върху производството) измерва доходността от всички фактори на производството - земя, капитал и труд.</w:t>
      </w:r>
    </w:p>
    <w:p w14:paraId="6849DB38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Нетният опериращ излишък/нетен смесен доход (изчислен след приспадане от нетната добавена стойност по базисни цени на компенсациите на наетите лица и другите данъци върху производството и добавяне на другите субсидии върху производството) измерва доходността от използването на земята, капитала и незаплатения труд.</w:t>
      </w:r>
    </w:p>
    <w:p w14:paraId="746BE3BC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Нетният предприемачески доход (изчислен след прибавяне към нетния опериращ излишък/нетен смесен доход на лихвите, получени от земеделските стопанства, опериращи като компании, и приспадане на платените от тях лихви и ренти) измерва компенсацията на незаплатения труд, възнаграждението от земята, принадлежаща на земеделските стопанства, и дохода от използването на капитала.</w:t>
      </w:r>
    </w:p>
    <w:p w14:paraId="6A0C8ED1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>Данните за икономическите сметки за селското стопанство се разработват за календарна година по текущи и съпоставими цени при база преходната година. Разработват се и икономически сметки на регионално ниво NUTS2.</w:t>
      </w:r>
    </w:p>
    <w:p w14:paraId="7ECFDAF0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lastRenderedPageBreak/>
        <w:t>Източници на информация</w:t>
      </w:r>
    </w:p>
    <w:p w14:paraId="070F226D" w14:textId="77777777" w:rsidR="00632807" w:rsidRPr="00632807" w:rsidRDefault="00632807" w:rsidP="00323F51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t xml:space="preserve">Основни източници на информация са статистическите наблюдения, проведени от НСИ, и наблюденията </w:t>
      </w:r>
      <w:r w:rsidR="00856D29">
        <w:rPr>
          <w:rFonts w:ascii="Times New Roman" w:eastAsia="Times" w:hAnsi="Times New Roman"/>
          <w:szCs w:val="24"/>
          <w:lang w:val="bg-BG"/>
        </w:rPr>
        <w:t>на отдел „Агростатистика“ в МЗХ</w:t>
      </w:r>
      <w:r w:rsidRPr="00632807">
        <w:rPr>
          <w:rFonts w:ascii="Times New Roman" w:eastAsia="Times" w:hAnsi="Times New Roman"/>
          <w:szCs w:val="24"/>
          <w:lang w:val="bg-BG"/>
        </w:rPr>
        <w:t>. Използвани са и данни на Държавен фонд „Земеделие“ (Разплащателна агенция) за финансовото подпомагане в селското стопанство.</w:t>
      </w:r>
    </w:p>
    <w:p w14:paraId="6AA85F2D" w14:textId="77777777" w:rsidR="00632807" w:rsidRPr="00632807" w:rsidRDefault="00632807" w:rsidP="00632807">
      <w:pPr>
        <w:rPr>
          <w:rFonts w:ascii="Times New Roman" w:eastAsia="Times" w:hAnsi="Times New Roman"/>
          <w:szCs w:val="24"/>
          <w:lang w:val="bg-BG"/>
        </w:rPr>
      </w:pPr>
      <w:r w:rsidRPr="00632807">
        <w:rPr>
          <w:rFonts w:ascii="Times New Roman" w:eastAsia="Times" w:hAnsi="Times New Roman"/>
          <w:szCs w:val="24"/>
          <w:lang w:val="bg-BG"/>
        </w:rPr>
        <w:br w:type="page"/>
      </w:r>
    </w:p>
    <w:p w14:paraId="5858284C" w14:textId="77777777" w:rsidR="002F3438" w:rsidRPr="002F3438" w:rsidRDefault="002F3438" w:rsidP="002F3438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</w:p>
    <w:p w14:paraId="490EDB7A" w14:textId="77777777" w:rsidR="002F3438" w:rsidRPr="002F3438" w:rsidRDefault="002F3438" w:rsidP="002F3438">
      <w:pPr>
        <w:autoSpaceDE w:val="0"/>
        <w:autoSpaceDN w:val="0"/>
        <w:adjustRightInd w:val="0"/>
        <w:ind w:left="720"/>
        <w:jc w:val="center"/>
        <w:rPr>
          <w:rFonts w:ascii="Times New Roman" w:eastAsia="Times" w:hAnsi="Times New Roman"/>
          <w:b/>
          <w:szCs w:val="24"/>
          <w:lang w:val="bg-BG"/>
        </w:rPr>
      </w:pPr>
      <w:r w:rsidRPr="002F3438">
        <w:rPr>
          <w:rFonts w:ascii="Times New Roman" w:eastAsia="Times" w:hAnsi="Times New Roman"/>
          <w:b/>
          <w:szCs w:val="24"/>
          <w:lang w:val="bg-BG"/>
        </w:rPr>
        <w:t>Приложение</w:t>
      </w:r>
    </w:p>
    <w:p w14:paraId="5A06B86D" w14:textId="77777777" w:rsidR="002F3438" w:rsidRPr="002F3438" w:rsidRDefault="002F3438" w:rsidP="002F3438">
      <w:pPr>
        <w:autoSpaceDE w:val="0"/>
        <w:autoSpaceDN w:val="0"/>
        <w:adjustRightInd w:val="0"/>
        <w:ind w:firstLine="8931"/>
        <w:rPr>
          <w:rFonts w:ascii="Times New Roman" w:eastAsia="Times" w:hAnsi="Times New Roman"/>
          <w:b/>
          <w:szCs w:val="24"/>
          <w:lang w:val="bg-BG"/>
        </w:rPr>
      </w:pPr>
      <w:r w:rsidRPr="002F3438">
        <w:rPr>
          <w:rFonts w:ascii="Times New Roman" w:eastAsia="Times" w:hAnsi="Times New Roman"/>
          <w:b/>
          <w:szCs w:val="24"/>
          <w:lang w:val="bg-BG"/>
        </w:rPr>
        <w:t>Таблица 1</w:t>
      </w:r>
    </w:p>
    <w:p w14:paraId="4EDE1705" w14:textId="77777777" w:rsidR="002F3438" w:rsidRPr="002F3438" w:rsidRDefault="002F3438" w:rsidP="002F3438">
      <w:pPr>
        <w:autoSpaceDE w:val="0"/>
        <w:autoSpaceDN w:val="0"/>
        <w:adjustRightInd w:val="0"/>
        <w:spacing w:after="12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2F3438">
        <w:rPr>
          <w:rFonts w:ascii="Times New Roman" w:eastAsia="Times" w:hAnsi="Times New Roman"/>
          <w:b/>
          <w:bCs/>
          <w:szCs w:val="24"/>
          <w:lang w:val="bg-BG"/>
        </w:rPr>
        <w:t>Крайна продукция по базисни цени - първа оценка</w:t>
      </w:r>
      <w:r w:rsidR="0064523B">
        <w:rPr>
          <w:rFonts w:ascii="Times New Roman" w:eastAsia="Times" w:hAnsi="Times New Roman"/>
          <w:b/>
          <w:bCs/>
          <w:szCs w:val="24"/>
          <w:lang w:val="bg-BG"/>
        </w:rPr>
        <w:t xml:space="preserve"> за 202</w:t>
      </w:r>
      <w:r w:rsidR="0064523B" w:rsidRPr="008A570A">
        <w:rPr>
          <w:rFonts w:ascii="Times New Roman" w:eastAsia="Times" w:hAnsi="Times New Roman"/>
          <w:b/>
          <w:bCs/>
          <w:szCs w:val="24"/>
          <w:lang w:val="bg-BG"/>
          <w:rPrChange w:id="16" w:author="Originalni textove" w:date="2023-12-20T11:01:00Z">
            <w:rPr>
              <w:rFonts w:ascii="Times New Roman" w:eastAsia="Times" w:hAnsi="Times New Roman"/>
              <w:b/>
              <w:bCs/>
              <w:szCs w:val="24"/>
              <w:lang w:val="en-US"/>
            </w:rPr>
          </w:rPrChange>
        </w:rPr>
        <w:t>3</w:t>
      </w:r>
      <w:r w:rsidRPr="002F3438">
        <w:rPr>
          <w:rFonts w:ascii="Times New Roman" w:eastAsia="Times" w:hAnsi="Times New Roman"/>
          <w:b/>
          <w:bCs/>
          <w:szCs w:val="24"/>
          <w:lang w:val="bg-BG"/>
        </w:rPr>
        <w:t xml:space="preserve"> година</w:t>
      </w:r>
    </w:p>
    <w:p w14:paraId="39260A76" w14:textId="77777777" w:rsidR="005D04E1" w:rsidRPr="000E2F89" w:rsidRDefault="005D04E1" w:rsidP="005D04E1">
      <w:pPr>
        <w:rPr>
          <w:rFonts w:ascii="Times New Roman" w:hAnsi="Times New Roman"/>
          <w:b/>
          <w:szCs w:val="24"/>
          <w:lang w:val="bg-BG"/>
        </w:rPr>
      </w:pP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670"/>
        <w:gridCol w:w="1134"/>
        <w:gridCol w:w="1276"/>
        <w:gridCol w:w="1134"/>
        <w:gridCol w:w="1134"/>
      </w:tblGrid>
      <w:tr w:rsidR="002F3438" w:rsidRPr="002F3438" w14:paraId="7B2ED998" w14:textId="77777777" w:rsidTr="00371EA8">
        <w:trPr>
          <w:gridBefore w:val="1"/>
          <w:wBefore w:w="15" w:type="dxa"/>
          <w:trHeight w:val="10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C1D13" w14:textId="77777777" w:rsidR="002F3438" w:rsidRPr="002F3438" w:rsidRDefault="002F3438" w:rsidP="002F3438">
            <w:pPr>
              <w:rPr>
                <w:rFonts w:ascii="Times New Roman" w:eastAsia="Times" w:hAnsi="Times New Roman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40AF6" w14:textId="77777777"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" w:hAnsi="Times New Roman"/>
                <w:b/>
                <w:sz w:val="20"/>
                <w:lang w:val="bg-BG"/>
              </w:rPr>
              <w:t>Текуща стойност за 202</w:t>
            </w:r>
            <w:r w:rsidR="0064523B">
              <w:rPr>
                <w:rFonts w:ascii="Times New Roman" w:eastAsia="Times" w:hAnsi="Times New Roman"/>
                <w:b/>
                <w:sz w:val="20"/>
                <w:lang w:val="bg-BG"/>
              </w:rPr>
              <w:t>3</w:t>
            </w: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 г. - млн.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56DE2" w14:textId="77777777"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>Индекс на физическия обем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5743B" w14:textId="77777777"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Индекс на цените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8E24F" w14:textId="77777777" w:rsidR="002F3438" w:rsidRPr="002F3438" w:rsidRDefault="002F3438" w:rsidP="002F3438">
            <w:pPr>
              <w:jc w:val="right"/>
              <w:rPr>
                <w:rFonts w:ascii="Times New Roman" w:eastAsia="Times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Индекс </w:t>
            </w:r>
            <w:r>
              <w:rPr>
                <w:rFonts w:ascii="Times New Roman" w:eastAsia="Times" w:hAnsi="Times New Roman"/>
                <w:b/>
                <w:sz w:val="20"/>
                <w:lang w:val="bg-BG"/>
              </w:rPr>
              <w:br/>
              <w:t>20</w:t>
            </w:r>
            <w:r w:rsidR="0064523B">
              <w:rPr>
                <w:rFonts w:ascii="Times New Roman" w:eastAsia="Times" w:hAnsi="Times New Roman"/>
                <w:b/>
                <w:sz w:val="20"/>
                <w:lang w:val="en-US"/>
              </w:rPr>
              <w:t>22</w:t>
            </w: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 xml:space="preserve"> = 100</w:t>
            </w:r>
          </w:p>
        </w:tc>
      </w:tr>
      <w:tr w:rsidR="002F3438" w:rsidRPr="002F3438" w14:paraId="701F79EA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F5EA7CF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Продукция от отрасъл </w:t>
            </w:r>
            <w:r w:rsidRPr="002F3438">
              <w:rPr>
                <w:rFonts w:ascii="Times New Roman" w:eastAsia="Times" w:hAnsi="Times New Roman"/>
                <w:b/>
                <w:sz w:val="20"/>
                <w:lang w:val="bg-BG"/>
              </w:rPr>
              <w:t>„</w:t>
            </w: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Селско стопанство“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9952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10445.9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ED8EC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4B292" w14:textId="77777777" w:rsidR="002F3438" w:rsidRPr="002F3438" w:rsidRDefault="0064523B" w:rsidP="00CE02B1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66E6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80.9</w:t>
            </w:r>
          </w:p>
        </w:tc>
      </w:tr>
      <w:tr w:rsidR="002F3438" w:rsidRPr="002F3438" w14:paraId="19011C39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50996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Продукция от селското стопанство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D7179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10169.5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E85A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95.3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BAC9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84.5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6EAF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80.5</w:t>
            </w:r>
          </w:p>
        </w:tc>
      </w:tr>
      <w:tr w:rsidR="002F3438" w:rsidRPr="002F3438" w14:paraId="6C43E441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AA478B8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    Продукция от растениевъдството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05A7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6982.4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DD91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94.9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CDEE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75.8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FD87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64523B">
              <w:rPr>
                <w:rFonts w:ascii="Times New Roman" w:hAnsi="Times New Roman"/>
                <w:b/>
                <w:sz w:val="20"/>
              </w:rPr>
              <w:t>71.9</w:t>
            </w:r>
          </w:p>
        </w:tc>
      </w:tr>
      <w:tr w:rsidR="002F3438" w:rsidRPr="002F3438" w14:paraId="0D6FD57F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3988502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Зърнени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46B7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3955.3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9BAC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103.0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CCA02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953B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72.1</w:t>
            </w:r>
          </w:p>
        </w:tc>
      </w:tr>
      <w:tr w:rsidR="002F3438" w:rsidRPr="002F3438" w14:paraId="0971B7BA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E338B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Технически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C1D22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1733.8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67FB0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79.6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50B7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73.3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44C9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58.3</w:t>
            </w:r>
          </w:p>
        </w:tc>
      </w:tr>
      <w:tr w:rsidR="002F3438" w:rsidRPr="002F3438" w14:paraId="496C8033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212D7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Фуражни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9ABC1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199.6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E94B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113.7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8EECF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85.4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721C" w14:textId="77777777" w:rsidR="002F3438" w:rsidRPr="002F3438" w:rsidRDefault="0064523B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64523B">
              <w:rPr>
                <w:rFonts w:ascii="Times New Roman" w:hAnsi="Times New Roman"/>
                <w:sz w:val="20"/>
              </w:rPr>
              <w:t>97.1</w:t>
            </w:r>
          </w:p>
        </w:tc>
      </w:tr>
      <w:tr w:rsidR="002F3438" w:rsidRPr="002F3438" w14:paraId="56485673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F113F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Зеленчуци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8D3B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556.3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7E721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9688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112.2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CC6D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108.5</w:t>
            </w:r>
          </w:p>
        </w:tc>
      </w:tr>
      <w:tr w:rsidR="002F3438" w:rsidRPr="002F3438" w14:paraId="051442B4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96680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Картофи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057B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72.4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1661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70.2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40C9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105.5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25AE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74.1</w:t>
            </w:r>
          </w:p>
        </w:tc>
      </w:tr>
      <w:tr w:rsidR="002F3438" w:rsidRPr="002F3438" w14:paraId="7365CF23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FB998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Плодове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03FE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415.1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DFD8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940A2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117.7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2E31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107.5</w:t>
            </w:r>
          </w:p>
        </w:tc>
      </w:tr>
      <w:tr w:rsidR="002F3438" w:rsidRPr="002F3438" w14:paraId="144F4C20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5A8B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Други растениевъдни култури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63E77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49.9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4F5F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B7D1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117.1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4B1A2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120.7</w:t>
            </w:r>
          </w:p>
        </w:tc>
      </w:tr>
      <w:tr w:rsidR="002F3438" w:rsidRPr="002F3438" w14:paraId="55594955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82AE9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   Продукция от животновъдството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0AD4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2569.2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34D38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96.8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2DE4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113.7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67C8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110.1</w:t>
            </w:r>
          </w:p>
        </w:tc>
      </w:tr>
      <w:tr w:rsidR="002F3438" w:rsidRPr="002F3438" w14:paraId="214AD20E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F2E60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Селскостопански животни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F351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1309.4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271E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88AF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122.6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72CC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113.8</w:t>
            </w:r>
          </w:p>
        </w:tc>
      </w:tr>
      <w:tr w:rsidR="002F3438" w:rsidRPr="002F3438" w14:paraId="04FF54F3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923AC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  Продукти от животновъдството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A6D5A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1259.8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1F6CE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FFE6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E3D7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106.5</w:t>
            </w:r>
          </w:p>
        </w:tc>
      </w:tr>
      <w:tr w:rsidR="002F3438" w:rsidRPr="002F3438" w14:paraId="1B851CB0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A9756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   Продукция на селскостопански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ACC3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617.9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8B9B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95.6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4A02F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108.6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13F9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103.8</w:t>
            </w:r>
          </w:p>
        </w:tc>
      </w:tr>
      <w:tr w:rsidR="002F3438" w:rsidRPr="002F3438" w14:paraId="1AAD9026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A4E9F" w14:textId="77777777" w:rsidR="002F3438" w:rsidRPr="002F3438" w:rsidRDefault="002F3438" w:rsidP="002F3438">
            <w:pPr>
              <w:ind w:left="229" w:hanging="229"/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   Неселскостопански неотделими второстепенни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1CEE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276.4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D90E8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90.4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E1D6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111.9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08225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101.2</w:t>
            </w:r>
          </w:p>
        </w:tc>
      </w:tr>
      <w:tr w:rsidR="002F3438" w:rsidRPr="002F3438" w14:paraId="438B9537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FC475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Междинно потребление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72A4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6327.1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ACD44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95.3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7712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A2B3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2F3868">
              <w:rPr>
                <w:rFonts w:ascii="Times New Roman" w:hAnsi="Times New Roman"/>
                <w:b/>
                <w:sz w:val="20"/>
              </w:rPr>
              <w:t>90.5</w:t>
            </w:r>
          </w:p>
        </w:tc>
      </w:tr>
      <w:tr w:rsidR="002F3438" w:rsidRPr="002F3438" w14:paraId="19FCB5DE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3BAA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Семена и посадъчен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DD0C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367.0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EB9B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4F68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112.7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7282B" w14:textId="77777777" w:rsidR="002F3438" w:rsidRPr="002F3438" w:rsidRDefault="00BF69D6" w:rsidP="00BF69D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  <w:r w:rsidR="002F3868" w:rsidRPr="002F386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2F3438" w:rsidRPr="002F3438" w14:paraId="1C9D11C3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9BAA0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Горива и масла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4FB6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1165.7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CCD1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51D49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2535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89.3</w:t>
            </w:r>
          </w:p>
        </w:tc>
      </w:tr>
      <w:tr w:rsidR="002F3438" w:rsidRPr="002F3438" w14:paraId="6BAD4F65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F1F76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Торове и почвени подобрители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BF7E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1092.1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2582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112.9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4B2CE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C8D15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77.3</w:t>
            </w:r>
          </w:p>
        </w:tc>
      </w:tr>
      <w:tr w:rsidR="002F3438" w:rsidRPr="002F3438" w14:paraId="551825B5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BBDC4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Препарати за растителна защита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ED96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496.5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3DD3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B98C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E6EF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97.0</w:t>
            </w:r>
          </w:p>
        </w:tc>
      </w:tr>
      <w:tr w:rsidR="002F3438" w:rsidRPr="002F3438" w14:paraId="6E0AC9C4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B6427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Ветеринарни 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DE604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161.3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DE39F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21F22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105.4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12310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72.7</w:t>
            </w:r>
          </w:p>
        </w:tc>
      </w:tr>
      <w:tr w:rsidR="002F3438" w:rsidRPr="002F3438" w14:paraId="1525E947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B63CF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Фуражни добавки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BC91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1373.9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BB46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87.5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359E7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106.2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CB4ED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92.9</w:t>
            </w:r>
          </w:p>
        </w:tc>
      </w:tr>
      <w:tr w:rsidR="002F3438" w:rsidRPr="002F3438" w14:paraId="555409C6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01F6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Поддръжка и ремонт на машини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F2AE9" w14:textId="77777777" w:rsidR="002F3438" w:rsidRPr="002F3438" w:rsidRDefault="002F3868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2F3868">
              <w:rPr>
                <w:rFonts w:ascii="Times New Roman" w:hAnsi="Times New Roman"/>
                <w:sz w:val="20"/>
              </w:rPr>
              <w:t>409.0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FFBE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92.9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E05B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105.9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F612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98.4</w:t>
            </w:r>
          </w:p>
        </w:tc>
      </w:tr>
      <w:tr w:rsidR="002F3438" w:rsidRPr="002F3438" w14:paraId="32CF3C83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7C6BA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Поддръжка на сгради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803A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169.6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DC75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87.7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2E7F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109.3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8AE9A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95.9</w:t>
            </w:r>
          </w:p>
        </w:tc>
      </w:tr>
      <w:tr w:rsidR="002F3438" w:rsidRPr="002F3438" w14:paraId="37DA5DA1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13D03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Селскостопански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8A9B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617.9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85970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95.6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C04B7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108.6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DB0F4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103.8</w:t>
            </w:r>
          </w:p>
        </w:tc>
      </w:tr>
      <w:tr w:rsidR="002F3438" w:rsidRPr="002F3438" w14:paraId="40F854BF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ACEC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ФИЗИМ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C5DB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64.5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4084" w14:textId="77777777" w:rsidR="007D754E" w:rsidRPr="002F3438" w:rsidRDefault="00F66FEA" w:rsidP="007D754E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86.3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FF9D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108.6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506F3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93.7</w:t>
            </w:r>
          </w:p>
        </w:tc>
      </w:tr>
      <w:tr w:rsidR="002F3438" w:rsidRPr="002F3438" w14:paraId="1A9E50A1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7ED45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Други стоки 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274A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409.6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16B4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79.3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C28C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108.6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2F74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86.1</w:t>
            </w:r>
          </w:p>
        </w:tc>
      </w:tr>
      <w:tr w:rsidR="002F3438" w:rsidRPr="002F3438" w14:paraId="05A43229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80203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Брутна добавена стойност по базисни цени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F88A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4118.8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8C2F7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95.1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C48BD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73.2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F2751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69.6</w:t>
            </w:r>
          </w:p>
        </w:tc>
      </w:tr>
      <w:tr w:rsidR="002F3438" w:rsidRPr="002F3438" w14:paraId="2B994B47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4F94F" w14:textId="77777777" w:rsidR="002F3438" w:rsidRPr="002F3438" w:rsidRDefault="002F3438" w:rsidP="002F3438">
            <w:pPr>
              <w:rPr>
                <w:rFonts w:ascii="Times New Roman" w:eastAsia="Times" w:hAnsi="Times New Roman"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color w:val="000000"/>
                <w:sz w:val="20"/>
                <w:lang w:val="bg-BG"/>
              </w:rPr>
              <w:t xml:space="preserve">         Потребление на основен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CF7D5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1084.0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C7FB2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85.7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B96EC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111.4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AB9C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sz w:val="20"/>
              </w:rPr>
            </w:pPr>
            <w:r w:rsidRPr="00F66FEA">
              <w:rPr>
                <w:rFonts w:ascii="Times New Roman" w:hAnsi="Times New Roman"/>
                <w:sz w:val="20"/>
              </w:rPr>
              <w:t>95.5</w:t>
            </w:r>
          </w:p>
        </w:tc>
      </w:tr>
      <w:tr w:rsidR="002F3438" w:rsidRPr="002F3438" w14:paraId="12327891" w14:textId="77777777" w:rsidTr="00371EA8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9A0D6" w14:textId="77777777" w:rsidR="002F3438" w:rsidRPr="002F3438" w:rsidRDefault="002F3438" w:rsidP="002F3438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Нетна добавена стойност по базисни цени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F481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3034.8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CCA1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97.3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3F8A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65.2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5F22" w14:textId="77777777" w:rsidR="002F3438" w:rsidRPr="002F3438" w:rsidRDefault="00F66FEA" w:rsidP="002F3438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63.4</w:t>
            </w:r>
          </w:p>
        </w:tc>
      </w:tr>
      <w:tr w:rsidR="009B51EB" w:rsidRPr="002F3438" w14:paraId="031310FC" w14:textId="77777777" w:rsidTr="00964AA3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804A7" w14:textId="77777777" w:rsidR="009B51EB" w:rsidRPr="002F3438" w:rsidRDefault="009B51EB" w:rsidP="009B51EB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Нетен доход по </w:t>
            </w:r>
            <w:proofErr w:type="spellStart"/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факторни</w:t>
            </w:r>
            <w:proofErr w:type="spellEnd"/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 xml:space="preserve"> 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75A6E" w14:textId="77777777" w:rsidR="009B51EB" w:rsidRPr="002F3438" w:rsidRDefault="009B51EB" w:rsidP="009B51E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5266.4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4E6AF" w14:textId="77777777" w:rsidR="009B51EB" w:rsidRPr="009B51EB" w:rsidRDefault="009B51EB" w:rsidP="009B51EB">
            <w:pPr>
              <w:jc w:val="right"/>
              <w:rPr>
                <w:rFonts w:ascii="Times New Roman" w:hAnsi="Times New Roman"/>
                <w:sz w:val="20"/>
              </w:rPr>
            </w:pPr>
            <w:r w:rsidRPr="009B51E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28E4E" w14:textId="77777777" w:rsidR="009B51EB" w:rsidRPr="009B51EB" w:rsidRDefault="009B51EB" w:rsidP="009B51EB">
            <w:pPr>
              <w:jc w:val="right"/>
              <w:rPr>
                <w:rFonts w:ascii="Times New Roman" w:hAnsi="Times New Roman"/>
                <w:sz w:val="20"/>
              </w:rPr>
            </w:pPr>
            <w:r w:rsidRPr="009B51E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3229" w14:textId="77777777" w:rsidR="009B51EB" w:rsidRPr="002F3438" w:rsidRDefault="009B51EB" w:rsidP="009B51E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72.9</w:t>
            </w:r>
          </w:p>
        </w:tc>
      </w:tr>
      <w:tr w:rsidR="009B51EB" w:rsidRPr="002F3438" w14:paraId="0F48FFE5" w14:textId="77777777" w:rsidTr="00964AA3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F4EF8" w14:textId="77777777" w:rsidR="009B51EB" w:rsidRPr="002F3438" w:rsidRDefault="009B51EB" w:rsidP="009B51EB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Нетен опериращ излишък/смесен доход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3525" w14:textId="77777777" w:rsidR="009B51EB" w:rsidRPr="002F3438" w:rsidRDefault="009B51EB" w:rsidP="009B51E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3562.0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4AE00" w14:textId="77777777" w:rsidR="009B51EB" w:rsidRPr="009B51EB" w:rsidRDefault="009B51EB" w:rsidP="009B51EB">
            <w:pPr>
              <w:jc w:val="right"/>
              <w:rPr>
                <w:rFonts w:ascii="Times New Roman" w:hAnsi="Times New Roman"/>
                <w:sz w:val="20"/>
              </w:rPr>
            </w:pPr>
            <w:r w:rsidRPr="009B51E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3FC82" w14:textId="77777777" w:rsidR="009B51EB" w:rsidRPr="009B51EB" w:rsidRDefault="009B51EB" w:rsidP="009B51EB">
            <w:pPr>
              <w:jc w:val="right"/>
              <w:rPr>
                <w:rFonts w:ascii="Times New Roman" w:hAnsi="Times New Roman"/>
                <w:sz w:val="20"/>
              </w:rPr>
            </w:pPr>
            <w:r w:rsidRPr="009B51E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DE25" w14:textId="77777777" w:rsidR="009B51EB" w:rsidRPr="002F3438" w:rsidRDefault="009B51EB" w:rsidP="009B51E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62.0</w:t>
            </w:r>
          </w:p>
        </w:tc>
      </w:tr>
      <w:tr w:rsidR="009B51EB" w:rsidRPr="002F3438" w14:paraId="2E81DB01" w14:textId="77777777" w:rsidTr="00964AA3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DAE7B" w14:textId="77777777" w:rsidR="009B51EB" w:rsidRPr="002F3438" w:rsidRDefault="009B51EB" w:rsidP="009B51EB">
            <w:pPr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</w:pPr>
            <w:r w:rsidRPr="002F3438">
              <w:rPr>
                <w:rFonts w:ascii="Times New Roman" w:eastAsia="Times" w:hAnsi="Times New Roman"/>
                <w:b/>
                <w:bCs/>
                <w:color w:val="000000"/>
                <w:sz w:val="20"/>
                <w:lang w:val="bg-BG"/>
              </w:rPr>
              <w:t>Нетен предприемачески доход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B107" w14:textId="77777777" w:rsidR="009B51EB" w:rsidRPr="002F3438" w:rsidRDefault="009B51EB" w:rsidP="009B51E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1067.3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31542" w14:textId="77777777" w:rsidR="009B51EB" w:rsidRPr="009B51EB" w:rsidRDefault="009B51EB" w:rsidP="009B51EB">
            <w:pPr>
              <w:jc w:val="right"/>
              <w:rPr>
                <w:rFonts w:ascii="Times New Roman" w:hAnsi="Times New Roman"/>
                <w:sz w:val="20"/>
              </w:rPr>
            </w:pPr>
            <w:r w:rsidRPr="009B51E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37C43" w14:textId="77777777" w:rsidR="009B51EB" w:rsidRPr="009B51EB" w:rsidRDefault="009B51EB" w:rsidP="009B51EB">
            <w:pPr>
              <w:jc w:val="right"/>
              <w:rPr>
                <w:rFonts w:ascii="Times New Roman" w:hAnsi="Times New Roman"/>
                <w:sz w:val="20"/>
              </w:rPr>
            </w:pPr>
            <w:r w:rsidRPr="009B51E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2F6C7" w14:textId="77777777" w:rsidR="009B51EB" w:rsidRPr="002F3438" w:rsidRDefault="009B51EB" w:rsidP="009B51EB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F66FEA">
              <w:rPr>
                <w:rFonts w:ascii="Times New Roman" w:hAnsi="Times New Roman"/>
                <w:b/>
                <w:sz w:val="20"/>
              </w:rPr>
              <w:t>33.4</w:t>
            </w:r>
          </w:p>
        </w:tc>
      </w:tr>
    </w:tbl>
    <w:p w14:paraId="46BB7D5F" w14:textId="77777777" w:rsidR="006D37B7" w:rsidRDefault="006D37B7" w:rsidP="006D37B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</w:p>
    <w:p w14:paraId="21C56E58" w14:textId="77777777" w:rsidR="006D37B7" w:rsidRDefault="006D37B7" w:rsidP="006D37B7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Times" w:hAnsi="Times New Roman"/>
          <w:szCs w:val="24"/>
          <w:lang w:val="bg-BG"/>
        </w:rPr>
      </w:pPr>
    </w:p>
    <w:sectPr w:rsidR="006D37B7" w:rsidSect="002F6F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707" w:bottom="1440" w:left="851" w:header="113" w:footer="28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973A" w14:textId="77777777" w:rsidR="00BE30FB" w:rsidRDefault="00BE30FB">
      <w:r>
        <w:separator/>
      </w:r>
    </w:p>
  </w:endnote>
  <w:endnote w:type="continuationSeparator" w:id="0">
    <w:p w14:paraId="2CCF77DA" w14:textId="77777777" w:rsidR="00BE30FB" w:rsidRDefault="00BE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38F8" w14:textId="77777777" w:rsidR="001704A5" w:rsidRDefault="00E24D9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360A" w14:textId="77777777" w:rsidR="005959B2" w:rsidRDefault="00382FD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8EC2536" wp14:editId="065C4DC8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670CC" w14:textId="77777777" w:rsidR="004F16A3" w:rsidRPr="00F46FE0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E41EBFF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E2097DF" wp14:editId="636F11E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5487A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70F17EC" wp14:editId="59159160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76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B76E525" wp14:editId="0B418B0B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32BA4" w14:textId="77777777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23F5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5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23F5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5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C7FED39" wp14:editId="02BCA7CF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A7E6CAB" wp14:editId="7F1BA60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10ED" w14:textId="77777777" w:rsidR="00C1500E" w:rsidRDefault="00382FD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B8ED84" wp14:editId="407CC37C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C26A1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0972C183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64406B" wp14:editId="5A081094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891EC58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70D117" wp14:editId="3D12123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AF1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9524816" wp14:editId="64A45EFD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0DCF870" wp14:editId="0833A314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E36C6" w14:textId="77777777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23F5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23F5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FA53" w14:textId="77777777" w:rsidR="00BE30FB" w:rsidRDefault="00BE30FB">
      <w:r>
        <w:separator/>
      </w:r>
    </w:p>
  </w:footnote>
  <w:footnote w:type="continuationSeparator" w:id="0">
    <w:p w14:paraId="372E4856" w14:textId="77777777" w:rsidR="00BE30FB" w:rsidRDefault="00BE30FB">
      <w:r>
        <w:continuationSeparator/>
      </w:r>
    </w:p>
  </w:footnote>
  <w:footnote w:id="1">
    <w:p w14:paraId="4003E732" w14:textId="77777777" w:rsidR="00684DD4" w:rsidRPr="0006046E" w:rsidRDefault="00684DD4" w:rsidP="009060EC">
      <w:pPr>
        <w:pStyle w:val="FootnoteText"/>
        <w:jc w:val="both"/>
        <w:rPr>
          <w:rFonts w:ascii="Times New Roman" w:hAnsi="Times New Roman"/>
          <w:lang w:val="bg-BG"/>
        </w:rPr>
      </w:pPr>
      <w:r w:rsidRPr="00BB7937">
        <w:rPr>
          <w:rStyle w:val="FootnoteReference"/>
          <w:rFonts w:ascii="Times New Roman" w:hAnsi="Times New Roman"/>
        </w:rPr>
        <w:footnoteRef/>
      </w:r>
      <w:r w:rsidRPr="00BB7937">
        <w:rPr>
          <w:rFonts w:ascii="Times New Roman" w:hAnsi="Times New Roman"/>
        </w:rPr>
        <w:t xml:space="preserve"> </w:t>
      </w:r>
      <w:r w:rsidRPr="0006046E">
        <w:rPr>
          <w:rFonts w:ascii="Times New Roman" w:hAnsi="Times New Roman"/>
          <w:lang w:val="bg-BG"/>
        </w:rPr>
        <w:t>Базисните цени включват субсидиите по продукти и не включват данъците по продукти.</w:t>
      </w:r>
    </w:p>
  </w:footnote>
  <w:footnote w:id="2">
    <w:p w14:paraId="70C93417" w14:textId="77777777" w:rsidR="002940FF" w:rsidRPr="00573359" w:rsidRDefault="002940FF" w:rsidP="009060EC">
      <w:pPr>
        <w:pStyle w:val="FootnoteText"/>
        <w:rPr>
          <w:rFonts w:ascii="Times New Roman" w:hAnsi="Times New Roman"/>
          <w:lang w:val="bg-BG"/>
        </w:rPr>
      </w:pPr>
      <w:r w:rsidRPr="00BB7937">
        <w:rPr>
          <w:rStyle w:val="FootnoteReference"/>
          <w:rFonts w:ascii="Times New Roman" w:hAnsi="Times New Roman"/>
        </w:rPr>
        <w:footnoteRef/>
      </w:r>
      <w:r w:rsidRPr="000C59C3">
        <w:rPr>
          <w:rFonts w:ascii="Times New Roman" w:hAnsi="Times New Roman"/>
          <w:lang w:val="bg-BG"/>
        </w:rPr>
        <w:t xml:space="preserve"> </w:t>
      </w:r>
      <w:r w:rsidRPr="0006046E">
        <w:rPr>
          <w:rFonts w:ascii="Times New Roman" w:hAnsi="Times New Roman"/>
          <w:lang w:val="bg-BG"/>
        </w:rPr>
        <w:t>Смесеният индекс на дохода в селското стопанство се изчислява</w:t>
      </w:r>
      <w:r>
        <w:rPr>
          <w:rFonts w:ascii="Times New Roman" w:hAnsi="Times New Roman"/>
          <w:lang w:val="bg-BG"/>
        </w:rPr>
        <w:t>,</w:t>
      </w:r>
      <w:r w:rsidRPr="0006046E">
        <w:rPr>
          <w:rFonts w:ascii="Times New Roman" w:hAnsi="Times New Roman"/>
          <w:lang w:val="bg-BG"/>
        </w:rPr>
        <w:t xml:space="preserve"> като номинална</w:t>
      </w:r>
      <w:r>
        <w:rPr>
          <w:rFonts w:ascii="Times New Roman" w:hAnsi="Times New Roman"/>
          <w:lang w:val="bg-BG"/>
        </w:rPr>
        <w:t>т</w:t>
      </w:r>
      <w:r w:rsidR="009060EC">
        <w:rPr>
          <w:rFonts w:ascii="Times New Roman" w:hAnsi="Times New Roman"/>
          <w:lang w:val="bg-BG"/>
        </w:rPr>
        <w:t xml:space="preserve">а стойност на показателя за </w:t>
      </w:r>
      <w:r w:rsidR="002E0BD2">
        <w:rPr>
          <w:rFonts w:ascii="Times New Roman" w:hAnsi="Times New Roman"/>
          <w:lang w:val="bg-BG"/>
        </w:rPr>
        <w:t>202</w:t>
      </w:r>
      <w:r w:rsidR="002E0BD2" w:rsidRPr="008A570A">
        <w:rPr>
          <w:rFonts w:ascii="Times New Roman" w:hAnsi="Times New Roman"/>
          <w:lang w:val="bg-BG"/>
          <w:rPrChange w:id="13" w:author="Originalni textove" w:date="2023-12-20T11:01:00Z">
            <w:rPr>
              <w:rFonts w:ascii="Times New Roman" w:hAnsi="Times New Roman"/>
              <w:lang w:val="en-US"/>
            </w:rPr>
          </w:rPrChange>
        </w:rPr>
        <w:t>3</w:t>
      </w:r>
      <w:r w:rsidR="002E0BD2" w:rsidRPr="0006046E">
        <w:rPr>
          <w:rFonts w:ascii="Times New Roman" w:hAnsi="Times New Roman"/>
          <w:lang w:val="bg-BG"/>
        </w:rPr>
        <w:t xml:space="preserve"> </w:t>
      </w:r>
      <w:r w:rsidRPr="0006046E">
        <w:rPr>
          <w:rFonts w:ascii="Times New Roman" w:hAnsi="Times New Roman"/>
          <w:lang w:val="bg-BG"/>
        </w:rPr>
        <w:t xml:space="preserve">г. се отнесе към </w:t>
      </w:r>
      <w:r>
        <w:rPr>
          <w:rFonts w:ascii="Times New Roman" w:hAnsi="Times New Roman"/>
          <w:lang w:val="bg-BG"/>
        </w:rPr>
        <w:t>н</w:t>
      </w:r>
      <w:r w:rsidR="009060EC">
        <w:rPr>
          <w:rFonts w:ascii="Times New Roman" w:hAnsi="Times New Roman"/>
          <w:lang w:val="bg-BG"/>
        </w:rPr>
        <w:t xml:space="preserve">оминалната му стойност през </w:t>
      </w:r>
      <w:r w:rsidR="002E0BD2">
        <w:rPr>
          <w:rFonts w:ascii="Times New Roman" w:hAnsi="Times New Roman"/>
          <w:lang w:val="bg-BG"/>
        </w:rPr>
        <w:t>202</w:t>
      </w:r>
      <w:r w:rsidR="002E0BD2" w:rsidRPr="008A570A">
        <w:rPr>
          <w:rFonts w:ascii="Times New Roman" w:hAnsi="Times New Roman"/>
          <w:lang w:val="bg-BG"/>
          <w:rPrChange w:id="14" w:author="Originalni textove" w:date="2023-12-20T11:01:00Z">
            <w:rPr>
              <w:rFonts w:ascii="Times New Roman" w:hAnsi="Times New Roman"/>
              <w:lang w:val="en-US"/>
            </w:rPr>
          </w:rPrChange>
        </w:rPr>
        <w:t>2</w:t>
      </w:r>
      <w:r w:rsidR="002E0BD2" w:rsidRPr="0006046E">
        <w:rPr>
          <w:rFonts w:ascii="Times New Roman" w:hAnsi="Times New Roman"/>
          <w:lang w:val="bg-BG"/>
        </w:rPr>
        <w:t xml:space="preserve"> </w:t>
      </w:r>
      <w:r w:rsidRPr="0006046E">
        <w:rPr>
          <w:rFonts w:ascii="Times New Roman" w:hAnsi="Times New Roman"/>
          <w:lang w:val="bg-BG"/>
        </w:rPr>
        <w:t>година.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B1AF" w14:textId="77777777" w:rsidR="00C1500E" w:rsidRPr="00C1500E" w:rsidRDefault="00382FD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460CD17" wp14:editId="10A8A3C8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454957E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BF7DA36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09FDA84" wp14:editId="7F8ECFE4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CA6B25" wp14:editId="047D341A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561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2446BC3" wp14:editId="25E6F90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08796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B3CC" w14:textId="77777777" w:rsidR="00C1500E" w:rsidRPr="00257470" w:rsidRDefault="00382FD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BC4296" wp14:editId="6B53669B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A10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943AA5" wp14:editId="469AD35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883F8B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CAA6CC6" wp14:editId="711BBC4C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B5178EE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6F9904D8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50139DAE" wp14:editId="1B94EF9C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iginalni textove">
    <w15:presenceInfo w15:providerId="AD" w15:userId="S::originalni0@bta.bg::3235d7f5-1526-42cf-9f09-e1728555f7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162EE"/>
    <w:rsid w:val="0004689C"/>
    <w:rsid w:val="000A2FF3"/>
    <w:rsid w:val="000A4505"/>
    <w:rsid w:val="000B4B74"/>
    <w:rsid w:val="000D1BB1"/>
    <w:rsid w:val="000E2F89"/>
    <w:rsid w:val="00131D7E"/>
    <w:rsid w:val="00137CEA"/>
    <w:rsid w:val="00146B38"/>
    <w:rsid w:val="001643FD"/>
    <w:rsid w:val="00164E8D"/>
    <w:rsid w:val="001704A5"/>
    <w:rsid w:val="00171300"/>
    <w:rsid w:val="001930E0"/>
    <w:rsid w:val="001950A4"/>
    <w:rsid w:val="001A7849"/>
    <w:rsid w:val="00200438"/>
    <w:rsid w:val="00201BE6"/>
    <w:rsid w:val="002115CA"/>
    <w:rsid w:val="00221000"/>
    <w:rsid w:val="002502FC"/>
    <w:rsid w:val="00251ACC"/>
    <w:rsid w:val="00257470"/>
    <w:rsid w:val="002940FF"/>
    <w:rsid w:val="002A7AA5"/>
    <w:rsid w:val="002D103F"/>
    <w:rsid w:val="002D5E11"/>
    <w:rsid w:val="002E0BD2"/>
    <w:rsid w:val="002E5DD7"/>
    <w:rsid w:val="002F3438"/>
    <w:rsid w:val="002F3868"/>
    <w:rsid w:val="002F6F59"/>
    <w:rsid w:val="0030452E"/>
    <w:rsid w:val="00323F51"/>
    <w:rsid w:val="003368AC"/>
    <w:rsid w:val="00343106"/>
    <w:rsid w:val="00371EA8"/>
    <w:rsid w:val="00382FD2"/>
    <w:rsid w:val="003A4C6D"/>
    <w:rsid w:val="003D276C"/>
    <w:rsid w:val="003D4DC0"/>
    <w:rsid w:val="003D6641"/>
    <w:rsid w:val="003F4C65"/>
    <w:rsid w:val="00442BFD"/>
    <w:rsid w:val="00462EDA"/>
    <w:rsid w:val="00464245"/>
    <w:rsid w:val="00471D62"/>
    <w:rsid w:val="004F16A3"/>
    <w:rsid w:val="00500C95"/>
    <w:rsid w:val="00526F4F"/>
    <w:rsid w:val="00551AF0"/>
    <w:rsid w:val="00563D1C"/>
    <w:rsid w:val="005846C9"/>
    <w:rsid w:val="005959B2"/>
    <w:rsid w:val="005A559C"/>
    <w:rsid w:val="005D04E1"/>
    <w:rsid w:val="005D05C5"/>
    <w:rsid w:val="005E230E"/>
    <w:rsid w:val="0062758B"/>
    <w:rsid w:val="00632807"/>
    <w:rsid w:val="0064523B"/>
    <w:rsid w:val="0068212A"/>
    <w:rsid w:val="00684DD4"/>
    <w:rsid w:val="006A5C24"/>
    <w:rsid w:val="006A6998"/>
    <w:rsid w:val="006D37B7"/>
    <w:rsid w:val="00717200"/>
    <w:rsid w:val="007503F5"/>
    <w:rsid w:val="00764ECB"/>
    <w:rsid w:val="007A1FD8"/>
    <w:rsid w:val="007C3E34"/>
    <w:rsid w:val="007D7372"/>
    <w:rsid w:val="007D74EE"/>
    <w:rsid w:val="007D754E"/>
    <w:rsid w:val="007F56DC"/>
    <w:rsid w:val="00814A4C"/>
    <w:rsid w:val="0082035A"/>
    <w:rsid w:val="00820B9C"/>
    <w:rsid w:val="00856D29"/>
    <w:rsid w:val="008A570A"/>
    <w:rsid w:val="008B2DDD"/>
    <w:rsid w:val="008B4142"/>
    <w:rsid w:val="008D28D7"/>
    <w:rsid w:val="008E7FED"/>
    <w:rsid w:val="00904AE6"/>
    <w:rsid w:val="009060EC"/>
    <w:rsid w:val="00946EBB"/>
    <w:rsid w:val="009523CB"/>
    <w:rsid w:val="009A061A"/>
    <w:rsid w:val="009B51EB"/>
    <w:rsid w:val="009B7581"/>
    <w:rsid w:val="00A02BBE"/>
    <w:rsid w:val="00A274BF"/>
    <w:rsid w:val="00A360C1"/>
    <w:rsid w:val="00AA04BB"/>
    <w:rsid w:val="00AA1873"/>
    <w:rsid w:val="00AC1A29"/>
    <w:rsid w:val="00AD61C1"/>
    <w:rsid w:val="00AE3A24"/>
    <w:rsid w:val="00B0735D"/>
    <w:rsid w:val="00B53A46"/>
    <w:rsid w:val="00B55022"/>
    <w:rsid w:val="00BE30FB"/>
    <w:rsid w:val="00BF69D6"/>
    <w:rsid w:val="00C03304"/>
    <w:rsid w:val="00C04D07"/>
    <w:rsid w:val="00C1500E"/>
    <w:rsid w:val="00C307AF"/>
    <w:rsid w:val="00C506AA"/>
    <w:rsid w:val="00CB22BD"/>
    <w:rsid w:val="00CB285D"/>
    <w:rsid w:val="00CC6FA2"/>
    <w:rsid w:val="00CD5D76"/>
    <w:rsid w:val="00CE02B1"/>
    <w:rsid w:val="00CF7930"/>
    <w:rsid w:val="00D57D7E"/>
    <w:rsid w:val="00D663C3"/>
    <w:rsid w:val="00D70503"/>
    <w:rsid w:val="00D861BC"/>
    <w:rsid w:val="00D87005"/>
    <w:rsid w:val="00D93990"/>
    <w:rsid w:val="00D97546"/>
    <w:rsid w:val="00DD3CF6"/>
    <w:rsid w:val="00DE3E8F"/>
    <w:rsid w:val="00DF127F"/>
    <w:rsid w:val="00E01D77"/>
    <w:rsid w:val="00E05C3F"/>
    <w:rsid w:val="00E24D9A"/>
    <w:rsid w:val="00E34A70"/>
    <w:rsid w:val="00E40683"/>
    <w:rsid w:val="00E50DDB"/>
    <w:rsid w:val="00EA329D"/>
    <w:rsid w:val="00EB2FAE"/>
    <w:rsid w:val="00ED601D"/>
    <w:rsid w:val="00EF3C1F"/>
    <w:rsid w:val="00F12E71"/>
    <w:rsid w:val="00F2481A"/>
    <w:rsid w:val="00F30FBA"/>
    <w:rsid w:val="00F34AB5"/>
    <w:rsid w:val="00F416DF"/>
    <w:rsid w:val="00F46FE0"/>
    <w:rsid w:val="00F56571"/>
    <w:rsid w:val="00F66FEA"/>
    <w:rsid w:val="00F777EE"/>
    <w:rsid w:val="00F94DEB"/>
    <w:rsid w:val="00F96EE2"/>
    <w:rsid w:val="00FB0AC9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6566E"/>
  <w15:chartTrackingRefBased/>
  <w15:docId w15:val="{900BD35B-C04D-4E3D-B828-1DEE09B8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84DD4"/>
    <w:rPr>
      <w:sz w:val="20"/>
    </w:rPr>
  </w:style>
  <w:style w:type="character" w:customStyle="1" w:styleId="FootnoteTextChar">
    <w:name w:val="Footnote Text Char"/>
    <w:link w:val="FootnoteText"/>
    <w:uiPriority w:val="99"/>
    <w:rsid w:val="00684DD4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uiPriority w:val="99"/>
    <w:semiHidden/>
    <w:unhideWhenUsed/>
    <w:rsid w:val="00684DD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8F"/>
    <w:rPr>
      <w:rFonts w:ascii="Segoe UI" w:eastAsia="Μοντέρνα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A570A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530807343055011E-2"/>
          <c:y val="0.21332446432080249"/>
          <c:w val="0.88225012083279808"/>
          <c:h val="0.564201402624308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Graff_BG!$B$3</c:f>
              <c:strCache>
                <c:ptCount val="1"/>
                <c:pt idx="0">
                  <c:v>Нетна добавена стойност по базисни цени</c:v>
                </c:pt>
              </c:strCache>
            </c:strRef>
          </c:tx>
          <c:spPr>
            <a:solidFill>
              <a:srgbClr val="FFFF99"/>
            </a:solidFill>
            <a:ln w="25400" cap="rnd">
              <a:noFill/>
            </a:ln>
            <a:effectLst/>
          </c:spPr>
          <c:invertIfNegative val="0"/>
          <c:cat>
            <c:numRef>
              <c:f>Graff_BG!$C$2:$S$2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Graff_BG!$C$3:$S$3</c:f>
              <c:numCache>
                <c:formatCode>0</c:formatCode>
                <c:ptCount val="17"/>
                <c:pt idx="0">
                  <c:v>2176</c:v>
                </c:pt>
                <c:pt idx="1">
                  <c:v>3445</c:v>
                </c:pt>
                <c:pt idx="2">
                  <c:v>2187</c:v>
                </c:pt>
                <c:pt idx="3">
                  <c:v>2238</c:v>
                </c:pt>
                <c:pt idx="4">
                  <c:v>2624</c:v>
                </c:pt>
                <c:pt idx="5">
                  <c:v>2651</c:v>
                </c:pt>
                <c:pt idx="6">
                  <c:v>2644</c:v>
                </c:pt>
                <c:pt idx="7">
                  <c:v>2674</c:v>
                </c:pt>
                <c:pt idx="8">
                  <c:v>2387</c:v>
                </c:pt>
                <c:pt idx="9">
                  <c:v>2417</c:v>
                </c:pt>
                <c:pt idx="10">
                  <c:v>2635.6</c:v>
                </c:pt>
                <c:pt idx="11">
                  <c:v>2484.9</c:v>
                </c:pt>
                <c:pt idx="12" formatCode="General">
                  <c:v>2546.9</c:v>
                </c:pt>
                <c:pt idx="13" formatCode="General">
                  <c:v>2495.6999999999998</c:v>
                </c:pt>
                <c:pt idx="14" formatCode="General">
                  <c:v>4225.7</c:v>
                </c:pt>
                <c:pt idx="15" formatCode="General">
                  <c:v>4778</c:v>
                </c:pt>
                <c:pt idx="16" formatCode="General">
                  <c:v>3034.8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1-4469-9F25-266B1673EDAC}"/>
            </c:ext>
          </c:extLst>
        </c:ser>
        <c:ser>
          <c:idx val="2"/>
          <c:order val="1"/>
          <c:tx>
            <c:strRef>
              <c:f>Graff_BG!$B$4</c:f>
              <c:strCache>
                <c:ptCount val="1"/>
                <c:pt idx="0">
                  <c:v>Нетен опериращ излишък</c:v>
                </c:pt>
              </c:strCache>
            </c:strRef>
          </c:tx>
          <c:spPr>
            <a:solidFill>
              <a:srgbClr val="FFCC66"/>
            </a:solidFill>
            <a:ln w="25400"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CC66"/>
              </a:solidFill>
              <a:ln w="2540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5EB1-4469-9F25-266B1673EDAC}"/>
              </c:ext>
            </c:extLst>
          </c:dPt>
          <c:cat>
            <c:numRef>
              <c:f>Graff_BG!$C$2:$S$2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Graff_BG!$C$4:$S$4</c:f>
              <c:numCache>
                <c:formatCode>0</c:formatCode>
                <c:ptCount val="17"/>
                <c:pt idx="0">
                  <c:v>2350</c:v>
                </c:pt>
                <c:pt idx="1">
                  <c:v>4011</c:v>
                </c:pt>
                <c:pt idx="2">
                  <c:v>2548</c:v>
                </c:pt>
                <c:pt idx="3">
                  <c:v>2722</c:v>
                </c:pt>
                <c:pt idx="4">
                  <c:v>3028</c:v>
                </c:pt>
                <c:pt idx="5">
                  <c:v>3304</c:v>
                </c:pt>
                <c:pt idx="6">
                  <c:v>3659</c:v>
                </c:pt>
                <c:pt idx="7">
                  <c:v>3560</c:v>
                </c:pt>
                <c:pt idx="8">
                  <c:v>2905</c:v>
                </c:pt>
                <c:pt idx="9">
                  <c:v>3622.4</c:v>
                </c:pt>
                <c:pt idx="10">
                  <c:v>3614.7</c:v>
                </c:pt>
                <c:pt idx="11">
                  <c:v>3600.6</c:v>
                </c:pt>
                <c:pt idx="12" formatCode="General">
                  <c:v>3688.8</c:v>
                </c:pt>
                <c:pt idx="13" formatCode="General">
                  <c:v>3666.2</c:v>
                </c:pt>
                <c:pt idx="14" formatCode="General">
                  <c:v>4949.6000000000004</c:v>
                </c:pt>
                <c:pt idx="15" formatCode="General">
                  <c:v>5743.4</c:v>
                </c:pt>
                <c:pt idx="16" formatCode="General">
                  <c:v>3562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B1-4469-9F25-266B1673E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8648680"/>
        <c:axId val="488648024"/>
      </c:barChart>
      <c:lineChart>
        <c:grouping val="standard"/>
        <c:varyColors val="0"/>
        <c:ser>
          <c:idx val="4"/>
          <c:order val="2"/>
          <c:tx>
            <c:strRef>
              <c:f>Graff_BG!$B$5</c:f>
              <c:strCache>
                <c:ptCount val="1"/>
                <c:pt idx="0">
                  <c:v>Нетен предприемачески доход</c:v>
                </c:pt>
              </c:strCache>
            </c:strRef>
          </c:tx>
          <c:spPr>
            <a:ln w="25400" cap="sq">
              <a:solidFill>
                <a:srgbClr val="CC6600"/>
              </a:solidFill>
              <a:round/>
              <a:headEnd type="none"/>
            </a:ln>
            <a:effectLst/>
          </c:spPr>
          <c:marker>
            <c:symbol val="none"/>
          </c:marker>
          <c:dPt>
            <c:idx val="11"/>
            <c:marker>
              <c:symbol val="none"/>
            </c:marker>
            <c:bubble3D val="0"/>
            <c:spPr>
              <a:ln w="25400" cap="sq">
                <a:solidFill>
                  <a:srgbClr val="CC6600"/>
                </a:solidFill>
                <a:bevel/>
                <a:head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5-5EB1-4469-9F25-266B1673EDAC}"/>
              </c:ext>
            </c:extLst>
          </c:dPt>
          <c:cat>
            <c:numRef>
              <c:f>Graff_BG!$C$2:$S$2</c:f>
              <c:numCache>
                <c:formatCode>General</c:formatCode>
                <c:ptCount val="1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  <c:pt idx="16">
                  <c:v>2023</c:v>
                </c:pt>
              </c:numCache>
            </c:numRef>
          </c:cat>
          <c:val>
            <c:numRef>
              <c:f>Graff_BG!$C$5:$S$5</c:f>
              <c:numCache>
                <c:formatCode>0</c:formatCode>
                <c:ptCount val="17"/>
                <c:pt idx="0">
                  <c:v>2111</c:v>
                </c:pt>
                <c:pt idx="1">
                  <c:v>3666</c:v>
                </c:pt>
                <c:pt idx="2">
                  <c:v>2194</c:v>
                </c:pt>
                <c:pt idx="3">
                  <c:v>2243</c:v>
                </c:pt>
                <c:pt idx="4">
                  <c:v>2468</c:v>
                </c:pt>
                <c:pt idx="5">
                  <c:v>2473</c:v>
                </c:pt>
                <c:pt idx="6">
                  <c:v>2843</c:v>
                </c:pt>
                <c:pt idx="7">
                  <c:v>2646</c:v>
                </c:pt>
                <c:pt idx="8">
                  <c:v>1861</c:v>
                </c:pt>
                <c:pt idx="9">
                  <c:v>2544.1</c:v>
                </c:pt>
                <c:pt idx="10">
                  <c:v>2459.4</c:v>
                </c:pt>
                <c:pt idx="11">
                  <c:v>2419.8000000000002</c:v>
                </c:pt>
                <c:pt idx="12" formatCode="General">
                  <c:v>2477.1999999999998</c:v>
                </c:pt>
                <c:pt idx="13" formatCode="General">
                  <c:v>2413.9</c:v>
                </c:pt>
                <c:pt idx="14" formatCode="General">
                  <c:v>3274.9</c:v>
                </c:pt>
                <c:pt idx="15" formatCode="General">
                  <c:v>3194.2</c:v>
                </c:pt>
                <c:pt idx="16" formatCode="General">
                  <c:v>1067.3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EB1-4469-9F25-266B1673E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60"/>
          <c:upBars>
            <c:spPr>
              <a:solidFill>
                <a:schemeClr val="lt1"/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downBars>
        </c:upDownBars>
        <c:marker val="1"/>
        <c:smooth val="0"/>
        <c:axId val="488648680"/>
        <c:axId val="488648024"/>
      </c:lineChart>
      <c:dateAx>
        <c:axId val="48864868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8648024"/>
        <c:crossesAt val="0"/>
        <c:auto val="0"/>
        <c:lblOffset val="100"/>
        <c:baseTimeUnit val="days"/>
        <c:minorUnit val="1"/>
      </c:dateAx>
      <c:valAx>
        <c:axId val="488648024"/>
        <c:scaling>
          <c:orientation val="minMax"/>
          <c:max val="500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Млн. левове</a:t>
                </a:r>
                <a:endParaRPr lang="en-US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4608956300462927E-2"/>
              <c:y val="0.129661087446036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8648680"/>
        <c:crossesAt val="1"/>
        <c:crossBetween val="between"/>
        <c:majorUnit val="1000"/>
        <c:minorUnit val="500"/>
      </c:valAx>
      <c:spPr>
        <a:noFill/>
        <a:ln w="0">
          <a:noFill/>
        </a:ln>
        <a:effectLst>
          <a:outerShdw dir="5400000" sx="1000" sy="1000" algn="ctr" rotWithShape="0">
            <a:srgbClr val="000000"/>
          </a:outerShdw>
        </a:effectLst>
      </c:spPr>
    </c:plotArea>
    <c:legend>
      <c:legendPos val="b"/>
      <c:layout>
        <c:manualLayout>
          <c:xMode val="edge"/>
          <c:yMode val="edge"/>
          <c:x val="0"/>
          <c:y val="0.92792013888888891"/>
          <c:w val="0.99807409697799454"/>
          <c:h val="7.2079823186591965E-2"/>
        </c:manualLayout>
      </c:layout>
      <c:overlay val="0"/>
      <c:spPr>
        <a:noFill/>
        <a:ln>
          <a:noFill/>
        </a:ln>
        <a:effectLst>
          <a:glow>
            <a:schemeClr val="accent1">
              <a:alpha val="40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9595-EA3A-4C96-BACE-6E70980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8849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Originalni textove</cp:lastModifiedBy>
  <cp:revision>2</cp:revision>
  <cp:lastPrinted>2005-05-20T13:40:00Z</cp:lastPrinted>
  <dcterms:created xsi:type="dcterms:W3CDTF">2023-12-20T09:02:00Z</dcterms:created>
  <dcterms:modified xsi:type="dcterms:W3CDTF">2023-12-20T09:02:00Z</dcterms:modified>
</cp:coreProperties>
</file>