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F950" w14:textId="77777777" w:rsidR="00A02BBE" w:rsidRPr="00AA129D" w:rsidRDefault="00A02BBE" w:rsidP="008D28D7">
      <w:pPr>
        <w:rPr>
          <w:rFonts w:ascii="Calibri" w:hAnsi="Calibri"/>
          <w:lang w:val="bg-BG"/>
        </w:rPr>
      </w:pPr>
    </w:p>
    <w:p w14:paraId="641530ED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C02DD26" w14:textId="77777777" w:rsidR="000F0477" w:rsidRDefault="000F0477" w:rsidP="000F0477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3F70A8">
        <w:rPr>
          <w:rFonts w:ascii="Times New Roman" w:hAnsi="Times New Roman" w:cs="Times New Roman"/>
          <w:sz w:val="24"/>
          <w:szCs w:val="24"/>
          <w:lang w:val="bg-BG"/>
        </w:rPr>
        <w:t>АПРИЛ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34EAC79B" w14:textId="77777777" w:rsidR="000F0477" w:rsidRPr="005E483C" w:rsidRDefault="000F0477" w:rsidP="000F0477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По предварителни данни през </w:t>
      </w:r>
      <w:r w:rsidR="003F70A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април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AE5C3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</w:t>
      </w:r>
      <w:r w:rsidRPr="002B1083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сезонно изгладения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т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индекс на промишленото производство</w:t>
      </w:r>
      <w:r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3"/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3F70A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намалява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</w:t>
      </w:r>
      <w:r w:rsidR="00E06800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3F70A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3F70A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4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%</w:t>
      </w:r>
      <w:r w:rsidR="00C17E1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с </w:t>
      </w:r>
      <w:r w:rsidR="003F70A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март</w:t>
      </w:r>
      <w:r w:rsidR="00AE5C3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5E488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en-US"/>
        </w:rPr>
        <w:t xml:space="preserve"> </w:t>
      </w:r>
      <w:r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</w:p>
    <w:p w14:paraId="2DF8661E" w14:textId="77777777" w:rsidR="000F0477" w:rsidRPr="002B1083" w:rsidRDefault="000F0477" w:rsidP="000F0477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4D3A1B">
        <w:rPr>
          <w:rFonts w:ascii="Times New Roman" w:hAnsi="Times New Roman"/>
          <w:bCs/>
          <w:szCs w:val="24"/>
          <w:lang w:val="bg-BG"/>
        </w:rPr>
        <w:t>През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="003F70A8">
        <w:rPr>
          <w:rFonts w:ascii="Times New Roman" w:hAnsi="Times New Roman"/>
          <w:bCs/>
          <w:szCs w:val="24"/>
          <w:lang w:val="bg-BG"/>
        </w:rPr>
        <w:t>април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4D3A1B">
        <w:rPr>
          <w:rFonts w:ascii="Times New Roman" w:hAnsi="Times New Roman"/>
          <w:bCs/>
          <w:szCs w:val="24"/>
          <w:lang w:val="bg-BG"/>
        </w:rPr>
        <w:t>20</w:t>
      </w:r>
      <w:r>
        <w:rPr>
          <w:rFonts w:ascii="Times New Roman" w:hAnsi="Times New Roman"/>
          <w:bCs/>
          <w:szCs w:val="24"/>
          <w:lang w:val="bg-BG"/>
        </w:rPr>
        <w:t>2</w:t>
      </w:r>
      <w:r w:rsidR="00AE5C31">
        <w:rPr>
          <w:rFonts w:ascii="Times New Roman" w:hAnsi="Times New Roman"/>
          <w:bCs/>
          <w:szCs w:val="24"/>
          <w:lang w:val="bg-BG"/>
        </w:rPr>
        <w:t>2</w:t>
      </w:r>
      <w:r w:rsidRPr="004D3A1B">
        <w:rPr>
          <w:rFonts w:ascii="Times New Roman" w:hAnsi="Times New Roman"/>
          <w:bCs/>
          <w:szCs w:val="24"/>
          <w:lang w:val="bg-BG"/>
        </w:rPr>
        <w:t xml:space="preserve"> г.</w:t>
      </w:r>
      <w:r>
        <w:rPr>
          <w:rFonts w:ascii="Times New Roman" w:hAnsi="Times New Roman"/>
          <w:bCs/>
          <w:szCs w:val="24"/>
          <w:lang w:val="bg-BG"/>
        </w:rPr>
        <w:t xml:space="preserve"> </w:t>
      </w:r>
      <w:r w:rsidRPr="004D3A1B">
        <w:rPr>
          <w:rFonts w:ascii="Times New Roman" w:hAnsi="Times New Roman"/>
          <w:bCs/>
          <w:szCs w:val="24"/>
          <w:lang w:val="bg-BG"/>
        </w:rPr>
        <w:t>календарно изгладения</w:t>
      </w:r>
      <w:r>
        <w:rPr>
          <w:rFonts w:ascii="Times New Roman" w:hAnsi="Times New Roman"/>
          <w:bCs/>
          <w:szCs w:val="24"/>
          <w:lang w:val="bg-BG"/>
        </w:rPr>
        <w:t xml:space="preserve">т </w:t>
      </w:r>
      <w:r w:rsidRPr="004D3A1B">
        <w:rPr>
          <w:rFonts w:ascii="Times New Roman" w:hAnsi="Times New Roman"/>
          <w:bCs/>
          <w:szCs w:val="24"/>
          <w:lang w:val="bg-BG"/>
        </w:rPr>
        <w:t>индекс</w:t>
      </w:r>
      <w:r w:rsidRPr="00566B98">
        <w:rPr>
          <w:rStyle w:val="FootnoteReference"/>
          <w:rFonts w:ascii="Times New Roman" w:hAnsi="Times New Roman"/>
          <w:bCs/>
          <w:szCs w:val="24"/>
        </w:rPr>
        <w:footnoteReference w:id="4"/>
      </w:r>
      <w:r w:rsidRPr="002658ED">
        <w:rPr>
          <w:rFonts w:ascii="Times New Roman" w:hAnsi="Times New Roman"/>
          <w:bCs/>
          <w:szCs w:val="24"/>
          <w:lang w:val="bg-BG"/>
        </w:rPr>
        <w:t xml:space="preserve"> на промишленото производство</w:t>
      </w:r>
      <w:r>
        <w:rPr>
          <w:rFonts w:ascii="Times New Roman" w:hAnsi="Times New Roman"/>
          <w:bCs/>
          <w:szCs w:val="24"/>
          <w:lang w:val="bg-BG"/>
        </w:rPr>
        <w:t xml:space="preserve"> нараства с 1</w:t>
      </w:r>
      <w:r w:rsidR="003F70A8">
        <w:rPr>
          <w:rFonts w:ascii="Times New Roman" w:hAnsi="Times New Roman"/>
          <w:bCs/>
          <w:szCs w:val="24"/>
          <w:lang w:val="bg-BG"/>
        </w:rPr>
        <w:t>6</w:t>
      </w:r>
      <w:r>
        <w:rPr>
          <w:rFonts w:ascii="Times New Roman" w:hAnsi="Times New Roman"/>
          <w:bCs/>
          <w:szCs w:val="24"/>
          <w:lang w:val="bg-BG"/>
        </w:rPr>
        <w:t>.</w:t>
      </w:r>
      <w:r w:rsidR="003F70A8">
        <w:rPr>
          <w:rFonts w:ascii="Times New Roman" w:hAnsi="Times New Roman"/>
          <w:bCs/>
          <w:szCs w:val="24"/>
          <w:lang w:val="bg-BG"/>
        </w:rPr>
        <w:t>9</w:t>
      </w:r>
      <w:r>
        <w:rPr>
          <w:rFonts w:ascii="Times New Roman" w:hAnsi="Times New Roman"/>
          <w:bCs/>
          <w:szCs w:val="24"/>
          <w:lang w:val="bg-BG"/>
        </w:rPr>
        <w:t xml:space="preserve">% спрямо </w:t>
      </w:r>
      <w:r w:rsidRPr="004D3A1B">
        <w:rPr>
          <w:rFonts w:ascii="Times New Roman" w:hAnsi="Times New Roman"/>
          <w:bCs/>
          <w:szCs w:val="24"/>
          <w:lang w:val="bg-BG"/>
        </w:rPr>
        <w:t xml:space="preserve">съответния месец </w:t>
      </w:r>
      <w:r>
        <w:rPr>
          <w:rFonts w:ascii="Times New Roman" w:hAnsi="Times New Roman"/>
          <w:bCs/>
          <w:szCs w:val="24"/>
          <w:lang w:val="bg-BG"/>
        </w:rPr>
        <w:t>на</w:t>
      </w:r>
      <w:r w:rsidRPr="004D3A1B">
        <w:rPr>
          <w:rFonts w:ascii="Times New Roman" w:hAnsi="Times New Roman"/>
          <w:bCs/>
          <w:szCs w:val="24"/>
          <w:lang w:val="bg-BG"/>
        </w:rPr>
        <w:t xml:space="preserve"> 20</w:t>
      </w:r>
      <w:r>
        <w:rPr>
          <w:rFonts w:ascii="Times New Roman" w:hAnsi="Times New Roman"/>
          <w:bCs/>
          <w:szCs w:val="24"/>
          <w:lang w:val="bg-BG"/>
        </w:rPr>
        <w:t>2</w:t>
      </w:r>
      <w:r w:rsidR="00AE5C31">
        <w:rPr>
          <w:rFonts w:ascii="Times New Roman" w:hAnsi="Times New Roman"/>
          <w:bCs/>
          <w:szCs w:val="24"/>
          <w:lang w:val="bg-BG"/>
        </w:rPr>
        <w:t>1</w:t>
      </w:r>
      <w:r w:rsidRPr="004D3A1B">
        <w:rPr>
          <w:rFonts w:ascii="Times New Roman" w:hAnsi="Times New Roman"/>
          <w:bCs/>
          <w:szCs w:val="24"/>
          <w:lang w:val="bg-BG"/>
        </w:rPr>
        <w:t xml:space="preserve"> година.</w:t>
      </w:r>
    </w:p>
    <w:p w14:paraId="2D725A73" w14:textId="77777777" w:rsidR="00A02BBE" w:rsidRDefault="000F0477" w:rsidP="00BB18C4">
      <w:pPr>
        <w:spacing w:before="120"/>
        <w:jc w:val="center"/>
        <w:rPr>
          <w:rFonts w:ascii="Times New Roman" w:hAnsi="Times New Roman"/>
          <w:b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8F6B16">
        <w:rPr>
          <w:rFonts w:ascii="Times New Roman" w:hAnsi="Times New Roman"/>
          <w:b/>
        </w:rPr>
        <w:t>(2015 = 100)</w:t>
      </w:r>
    </w:p>
    <w:p w14:paraId="1704C78B" w14:textId="77777777" w:rsidR="000543F1" w:rsidRPr="008F6B16" w:rsidRDefault="000543F1" w:rsidP="00BB18C4">
      <w:pPr>
        <w:spacing w:before="120"/>
        <w:jc w:val="center"/>
        <w:rPr>
          <w:rFonts w:ascii="Times New Roman" w:hAnsi="Times New Roman"/>
          <w:lang w:val="en-US"/>
        </w:rPr>
      </w:pPr>
    </w:p>
    <w:p w14:paraId="2D67EA33" w14:textId="77777777" w:rsidR="00B56B66" w:rsidRDefault="000543F1" w:rsidP="0006099B">
      <w:pPr>
        <w:ind w:left="-284"/>
        <w:jc w:val="center"/>
        <w:rPr>
          <w:rFonts w:ascii="Calibri" w:hAnsi="Calibri"/>
          <w:lang w:val="en-US"/>
        </w:rPr>
      </w:pPr>
      <w:r>
        <w:rPr>
          <w:noProof/>
          <w:lang w:val="bg-BG"/>
        </w:rPr>
        <w:drawing>
          <wp:inline distT="0" distB="0" distL="0" distR="0" wp14:anchorId="64FD1E3E" wp14:editId="5D7E16A6">
            <wp:extent cx="6570980" cy="399288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90840B" w14:textId="77777777" w:rsidR="00B56B66" w:rsidRDefault="00B56B66" w:rsidP="00B56B6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14:paraId="7126417B" w14:textId="77777777" w:rsidR="00B56B66" w:rsidRPr="00B56B66" w:rsidRDefault="000F0477" w:rsidP="00B56B6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63AB0152" w14:textId="77777777" w:rsidR="000F0477" w:rsidRPr="00D22C69" w:rsidRDefault="000F0477" w:rsidP="007A18F8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6875BE">
        <w:rPr>
          <w:rFonts w:ascii="Times New Roman" w:hAnsi="Times New Roman"/>
          <w:szCs w:val="24"/>
          <w:lang w:val="bg-BG"/>
        </w:rPr>
        <w:t>април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20</w:t>
      </w:r>
      <w:r>
        <w:rPr>
          <w:rFonts w:ascii="Times New Roman" w:hAnsi="Times New Roman"/>
          <w:szCs w:val="24"/>
          <w:lang w:val="bg-BG"/>
        </w:rPr>
        <w:t>2</w:t>
      </w:r>
      <w:r w:rsidR="00AE5C3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г.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15CC2">
        <w:rPr>
          <w:rFonts w:ascii="Times New Roman" w:hAnsi="Times New Roman"/>
          <w:szCs w:val="24"/>
          <w:lang w:val="bg-BG"/>
        </w:rPr>
        <w:t>спад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спрямо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предходния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месец</w:t>
      </w:r>
      <w:r w:rsidRPr="00D22C69">
        <w:rPr>
          <w:rFonts w:ascii="Times New Roman" w:hAnsi="Times New Roman"/>
          <w:szCs w:val="24"/>
          <w:lang w:val="bg-BG"/>
        </w:rPr>
        <w:t xml:space="preserve"> е регистриран </w:t>
      </w:r>
      <w:r w:rsidR="00615CC2">
        <w:rPr>
          <w:rFonts w:ascii="Times New Roman" w:hAnsi="Times New Roman"/>
          <w:szCs w:val="24"/>
          <w:lang w:val="bg-BG"/>
        </w:rPr>
        <w:t>при</w:t>
      </w:r>
      <w:r w:rsidR="001212FB" w:rsidRPr="00D22C69">
        <w:rPr>
          <w:rFonts w:ascii="Times New Roman" w:hAnsi="Times New Roman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F45659">
        <w:rPr>
          <w:rFonts w:ascii="Times New Roman" w:hAnsi="Times New Roman"/>
          <w:szCs w:val="24"/>
          <w:lang w:val="en-US"/>
        </w:rPr>
        <w:t>-</w:t>
      </w:r>
      <w:r w:rsidR="001212FB">
        <w:rPr>
          <w:rFonts w:ascii="Times New Roman" w:hAnsi="Times New Roman"/>
          <w:szCs w:val="24"/>
          <w:lang w:val="bg-BG"/>
        </w:rPr>
        <w:t xml:space="preserve"> с 1</w:t>
      </w:r>
      <w:r w:rsidR="00ED1BC2">
        <w:rPr>
          <w:rFonts w:ascii="Times New Roman" w:hAnsi="Times New Roman"/>
          <w:szCs w:val="24"/>
          <w:lang w:val="bg-BG"/>
        </w:rPr>
        <w:t>9</w:t>
      </w:r>
      <w:r w:rsidR="001212FB">
        <w:rPr>
          <w:rFonts w:ascii="Times New Roman" w:hAnsi="Times New Roman"/>
          <w:szCs w:val="24"/>
          <w:lang w:val="bg-BG"/>
        </w:rPr>
        <w:t>.</w:t>
      </w:r>
      <w:r w:rsidR="00ED1BC2">
        <w:rPr>
          <w:rFonts w:ascii="Times New Roman" w:hAnsi="Times New Roman"/>
          <w:szCs w:val="24"/>
          <w:lang w:val="bg-BG"/>
        </w:rPr>
        <w:t>9</w:t>
      </w:r>
      <w:r w:rsidR="001212FB">
        <w:rPr>
          <w:rFonts w:ascii="Times New Roman" w:hAnsi="Times New Roman"/>
          <w:szCs w:val="24"/>
          <w:lang w:val="bg-BG"/>
        </w:rPr>
        <w:t>%</w:t>
      </w:r>
      <w:r w:rsidR="00AA129D">
        <w:rPr>
          <w:rFonts w:ascii="Times New Roman" w:hAnsi="Times New Roman"/>
          <w:szCs w:val="24"/>
          <w:lang w:val="bg-BG"/>
        </w:rPr>
        <w:t>,</w:t>
      </w:r>
      <w:r w:rsidR="00615CC2">
        <w:rPr>
          <w:rFonts w:ascii="Times New Roman" w:hAnsi="Times New Roman"/>
          <w:szCs w:val="24"/>
          <w:lang w:val="bg-BG"/>
        </w:rPr>
        <w:t xml:space="preserve"> и</w:t>
      </w:r>
      <w:r w:rsidR="001212FB">
        <w:rPr>
          <w:rFonts w:ascii="Times New Roman" w:hAnsi="Times New Roman"/>
          <w:szCs w:val="24"/>
          <w:lang w:val="bg-BG"/>
        </w:rPr>
        <w:t xml:space="preserve"> </w:t>
      </w:r>
      <w:r w:rsidR="003A7C7F" w:rsidRPr="00D22C69">
        <w:rPr>
          <w:rFonts w:ascii="Times New Roman" w:hAnsi="Times New Roman"/>
          <w:szCs w:val="24"/>
          <w:lang w:val="bg-BG"/>
        </w:rPr>
        <w:t xml:space="preserve">добивната промишленост - с </w:t>
      </w:r>
      <w:r w:rsidR="00ED1BC2">
        <w:rPr>
          <w:rFonts w:ascii="Times New Roman" w:hAnsi="Times New Roman"/>
          <w:szCs w:val="24"/>
          <w:lang w:val="bg-BG"/>
        </w:rPr>
        <w:t>1</w:t>
      </w:r>
      <w:r w:rsidR="001212FB">
        <w:rPr>
          <w:rFonts w:ascii="Times New Roman" w:hAnsi="Times New Roman"/>
          <w:szCs w:val="24"/>
          <w:lang w:val="bg-BG"/>
        </w:rPr>
        <w:t>6</w:t>
      </w:r>
      <w:r w:rsidR="003A7C7F" w:rsidRPr="00D22C69">
        <w:rPr>
          <w:rFonts w:ascii="Times New Roman" w:hAnsi="Times New Roman"/>
          <w:szCs w:val="24"/>
          <w:lang w:val="bg-BG"/>
        </w:rPr>
        <w:t>.</w:t>
      </w:r>
      <w:r w:rsidR="00ED1BC2">
        <w:rPr>
          <w:rFonts w:ascii="Times New Roman" w:hAnsi="Times New Roman"/>
          <w:szCs w:val="24"/>
          <w:lang w:val="bg-BG"/>
        </w:rPr>
        <w:t>3</w:t>
      </w:r>
      <w:r w:rsidR="003A7C7F" w:rsidRPr="00D22C69">
        <w:rPr>
          <w:rFonts w:ascii="Times New Roman" w:hAnsi="Times New Roman"/>
          <w:szCs w:val="24"/>
          <w:lang w:val="bg-BG"/>
        </w:rPr>
        <w:t xml:space="preserve">%, </w:t>
      </w:r>
      <w:r w:rsidR="00ED1BC2">
        <w:rPr>
          <w:rFonts w:ascii="Times New Roman" w:hAnsi="Times New Roman"/>
          <w:szCs w:val="24"/>
          <w:lang w:val="bg-BG"/>
        </w:rPr>
        <w:t xml:space="preserve">а повишение </w:t>
      </w:r>
      <w:r w:rsidR="003A7C7F" w:rsidRPr="00D22C69">
        <w:rPr>
          <w:rFonts w:ascii="Times New Roman" w:hAnsi="Times New Roman"/>
          <w:szCs w:val="24"/>
          <w:lang w:val="bg-BG"/>
        </w:rPr>
        <w:t xml:space="preserve">при </w:t>
      </w:r>
      <w:r w:rsidRPr="00D22C69">
        <w:rPr>
          <w:rFonts w:ascii="Times New Roman" w:hAnsi="Times New Roman"/>
          <w:szCs w:val="24"/>
          <w:lang w:val="bg-BG"/>
        </w:rPr>
        <w:t xml:space="preserve">преработващата промишленост - с </w:t>
      </w:r>
      <w:r w:rsidR="00ED1BC2">
        <w:rPr>
          <w:rFonts w:ascii="Times New Roman" w:hAnsi="Times New Roman"/>
          <w:szCs w:val="24"/>
          <w:lang w:val="bg-BG"/>
        </w:rPr>
        <w:t>3</w:t>
      </w:r>
      <w:r w:rsidRPr="00D22C69">
        <w:rPr>
          <w:rFonts w:ascii="Times New Roman" w:hAnsi="Times New Roman"/>
          <w:szCs w:val="24"/>
          <w:lang w:val="bg-BG"/>
        </w:rPr>
        <w:t>.</w:t>
      </w:r>
      <w:r w:rsidR="00ED1BC2">
        <w:rPr>
          <w:rFonts w:ascii="Times New Roman" w:hAnsi="Times New Roman"/>
          <w:szCs w:val="24"/>
          <w:lang w:val="bg-BG"/>
        </w:rPr>
        <w:t>3</w:t>
      </w:r>
      <w:r w:rsidRPr="00D22C69">
        <w:rPr>
          <w:rFonts w:ascii="Times New Roman" w:hAnsi="Times New Roman"/>
          <w:szCs w:val="24"/>
          <w:lang w:val="bg-BG"/>
        </w:rPr>
        <w:t>%</w:t>
      </w:r>
      <w:r w:rsidR="00893FA5" w:rsidRPr="00D22C69">
        <w:rPr>
          <w:rFonts w:ascii="Times New Roman" w:hAnsi="Times New Roman"/>
          <w:szCs w:val="24"/>
          <w:lang w:val="bg-BG"/>
        </w:rPr>
        <w:t>.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</w:p>
    <w:p w14:paraId="325E8786" w14:textId="77777777" w:rsidR="00750929" w:rsidRPr="00D22C69" w:rsidRDefault="00637893" w:rsidP="00CD4483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Съществен</w:t>
      </w:r>
      <w:r w:rsidR="003D1A4B" w:rsidRPr="00D22C69">
        <w:rPr>
          <w:rFonts w:ascii="Times New Roman" w:hAnsi="Times New Roman"/>
          <w:szCs w:val="24"/>
          <w:lang w:val="bg-BG"/>
        </w:rPr>
        <w:t xml:space="preserve"> </w:t>
      </w:r>
      <w:r w:rsidR="00615CC2">
        <w:rPr>
          <w:rFonts w:ascii="Times New Roman" w:hAnsi="Times New Roman"/>
          <w:szCs w:val="24"/>
          <w:lang w:val="bg-BG"/>
        </w:rPr>
        <w:t>ръст</w:t>
      </w:r>
      <w:r w:rsidR="003D1A4B" w:rsidRPr="00D22C69">
        <w:rPr>
          <w:rFonts w:ascii="Times New Roman" w:hAnsi="Times New Roman"/>
          <w:szCs w:val="24"/>
          <w:lang w:val="bg-BG"/>
        </w:rPr>
        <w:t xml:space="preserve">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метални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изделия, без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машини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оборудване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45.4%, 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- с 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>4.0%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</w:t>
      </w:r>
      <w:r w:rsidR="00A02FF4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на тютюневи изделия - с 1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A02FF4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0</w:t>
      </w:r>
      <w:r w:rsidR="00A02FF4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лекарствени вещества и продукти - с 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10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4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6F81E642" w14:textId="77777777" w:rsidR="000F0477" w:rsidRDefault="00637893" w:rsidP="00CD4483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По-значителн</w:t>
      </w:r>
      <w:r w:rsidR="00615CC2">
        <w:rPr>
          <w:rFonts w:ascii="Times New Roman" w:hAnsi="Times New Roman"/>
          <w:szCs w:val="24"/>
          <w:lang w:val="bg-BG"/>
        </w:rPr>
        <w:t>о</w:t>
      </w:r>
      <w:r w:rsidR="005941EE" w:rsidRPr="00D22C69">
        <w:rPr>
          <w:rFonts w:ascii="Times New Roman" w:hAnsi="Times New Roman"/>
          <w:szCs w:val="24"/>
          <w:lang w:val="bg-BG"/>
        </w:rPr>
        <w:t xml:space="preserve"> </w:t>
      </w:r>
      <w:r w:rsidR="00615CC2">
        <w:rPr>
          <w:rFonts w:ascii="Times New Roman" w:hAnsi="Times New Roman"/>
          <w:szCs w:val="24"/>
          <w:lang w:val="bg-BG"/>
        </w:rPr>
        <w:t>намаление</w:t>
      </w:r>
      <w:r w:rsidR="000F0477" w:rsidRPr="00D22C69">
        <w:rPr>
          <w:rFonts w:ascii="Times New Roman" w:hAnsi="Times New Roman"/>
          <w:szCs w:val="24"/>
          <w:lang w:val="bg-BG"/>
        </w:rPr>
        <w:t xml:space="preserve"> е регистриран</w:t>
      </w:r>
      <w:r w:rsidR="00615CC2">
        <w:rPr>
          <w:rFonts w:ascii="Times New Roman" w:hAnsi="Times New Roman"/>
          <w:szCs w:val="24"/>
          <w:lang w:val="bg-BG"/>
        </w:rPr>
        <w:t>о</w:t>
      </w:r>
      <w:r w:rsidR="000F0477" w:rsidRPr="00D22C69">
        <w:rPr>
          <w:rFonts w:ascii="Times New Roman" w:hAnsi="Times New Roman"/>
          <w:szCs w:val="24"/>
          <w:lang w:val="bg-BG"/>
        </w:rPr>
        <w:t xml:space="preserve"> при:</w:t>
      </w:r>
      <w:r w:rsidR="005A245A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02FF4" w:rsidRPr="00F26CC5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ремонта и </w:t>
      </w:r>
      <w:r w:rsidR="00A02FF4" w:rsidRPr="00F26CC5">
        <w:rPr>
          <w:rFonts w:ascii="Times New Roman" w:eastAsia="Times New Roman" w:hAnsi="Times New Roman"/>
          <w:color w:val="000000"/>
          <w:szCs w:val="24"/>
          <w:lang w:val="bg-BG" w:eastAsia="en-US"/>
        </w:rPr>
        <w:t>инсталирането</w:t>
      </w:r>
      <w:r w:rsidR="00A02FF4" w:rsidRPr="00F26CC5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</w:t>
      </w:r>
      <w:r w:rsidR="00A02FF4" w:rsidRPr="00F26CC5">
        <w:rPr>
          <w:rFonts w:ascii="Times New Roman" w:eastAsia="Times New Roman" w:hAnsi="Times New Roman"/>
          <w:color w:val="000000"/>
          <w:szCs w:val="24"/>
          <w:lang w:val="bg-BG" w:eastAsia="en-US"/>
        </w:rPr>
        <w:t>машини</w:t>
      </w:r>
      <w:r w:rsidR="00A02FF4" w:rsidRPr="00F26CC5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 </w:t>
      </w:r>
      <w:r w:rsidR="00A02FF4" w:rsidRPr="00F26CC5">
        <w:rPr>
          <w:rFonts w:ascii="Times New Roman" w:eastAsia="Times New Roman" w:hAnsi="Times New Roman"/>
          <w:color w:val="000000"/>
          <w:szCs w:val="24"/>
          <w:lang w:val="bg-BG" w:eastAsia="en-US"/>
        </w:rPr>
        <w:t>оборудване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12.3%, </w:t>
      </w:r>
      <w:proofErr w:type="spellStart"/>
      <w:r w:rsidR="00A02FF4" w:rsidRPr="00A02FF4">
        <w:rPr>
          <w:rFonts w:ascii="Times New Roman" w:eastAsia="Times New Roman" w:hAnsi="Times New Roman"/>
          <w:color w:val="000000"/>
          <w:szCs w:val="24"/>
          <w:lang w:val="ru-RU" w:eastAsia="en-US"/>
        </w:rPr>
        <w:t>производството</w:t>
      </w:r>
      <w:proofErr w:type="spellEnd"/>
      <w:r w:rsidR="00A02FF4" w:rsidRPr="00A02FF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на автомобили,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ремаркета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 </w:t>
      </w:r>
      <w:r w:rsidR="00A02FF4" w:rsidRP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полуремаркета</w:t>
      </w:r>
      <w:r w:rsidR="00A02FF4">
        <w:rPr>
          <w:rFonts w:ascii="Times New Roman" w:hAnsi="Times New Roman"/>
          <w:szCs w:val="24"/>
          <w:lang w:val="bg-BG"/>
        </w:rPr>
        <w:t xml:space="preserve"> - с 11.5%, </w:t>
      </w:r>
      <w:r w:rsidR="00A02FF4" w:rsidRPr="00510E93">
        <w:rPr>
          <w:rFonts w:ascii="Times New Roman" w:hAnsi="Times New Roman"/>
          <w:szCs w:val="24"/>
          <w:lang w:val="bg-BG"/>
        </w:rPr>
        <w:t>п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роизводството на химични продукти - с </w:t>
      </w:r>
      <w:r w:rsidR="00A02FF4">
        <w:rPr>
          <w:rFonts w:ascii="Times New Roman" w:eastAsia="Times New Roman" w:hAnsi="Times New Roman"/>
          <w:color w:val="000000"/>
          <w:szCs w:val="24"/>
          <w:lang w:val="bg-BG" w:eastAsia="en-US"/>
        </w:rPr>
        <w:t>10</w:t>
      </w:r>
      <w:r w:rsidR="00A02FF4" w:rsidRPr="00510E93">
        <w:rPr>
          <w:rFonts w:ascii="Times New Roman" w:eastAsia="Times New Roman" w:hAnsi="Times New Roman"/>
          <w:color w:val="000000"/>
          <w:szCs w:val="24"/>
          <w:lang w:val="bg-BG" w:eastAsia="en-US"/>
        </w:rPr>
        <w:t>.5%.</w:t>
      </w:r>
    </w:p>
    <w:p w14:paraId="656B7639" w14:textId="77777777" w:rsidR="00B56B66" w:rsidRDefault="00B56B66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66A35979" w14:textId="77777777" w:rsidR="000F0477" w:rsidRPr="00EE43C5" w:rsidRDefault="000F0477" w:rsidP="000F0477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14:paraId="23AC5EF6" w14:textId="77777777" w:rsidR="000F047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14:paraId="26C3BB57" w14:textId="77777777" w:rsidR="00B56B66" w:rsidRDefault="00B56B66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3DF6C662" w14:textId="77777777" w:rsidR="00EF047A" w:rsidRPr="00F50FA8" w:rsidRDefault="00EF047A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3F2565E8" w14:textId="77777777" w:rsidR="000F0477" w:rsidRPr="002B1083" w:rsidRDefault="000543F1" w:rsidP="000543F1">
      <w:pPr>
        <w:ind w:left="-284"/>
        <w:jc w:val="center"/>
        <w:rPr>
          <w:rFonts w:ascii="Calibri" w:hAnsi="Calibri"/>
          <w:lang w:val="ru-RU"/>
        </w:rPr>
      </w:pPr>
      <w:r>
        <w:rPr>
          <w:rFonts w:ascii="Calibri" w:hAnsi="Calibri"/>
          <w:noProof/>
          <w:lang w:val="bg-BG"/>
        </w:rPr>
        <w:object w:dxaOrig="14736" w:dyaOrig="9659" w14:anchorId="4937C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335.4pt" o:ole="">
            <v:imagedata r:id="rId8" o:title=""/>
          </v:shape>
          <o:OLEObject Type="Embed" ProgID="Excel.Sheet.8" ShapeID="_x0000_i1025" DrawAspect="Content" ObjectID="_1716364757" r:id="rId9"/>
        </w:object>
      </w:r>
    </w:p>
    <w:p w14:paraId="18C359FD" w14:textId="77777777" w:rsidR="001D4B8A" w:rsidRDefault="001D4B8A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14:paraId="195FF72F" w14:textId="77777777" w:rsidR="00EF047A" w:rsidRDefault="00EF047A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14:paraId="119A895D" w14:textId="77777777" w:rsidR="00AB48C5" w:rsidRDefault="00AB48C5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14:paraId="70946C9B" w14:textId="77777777" w:rsidR="0043059C" w:rsidRDefault="0043059C" w:rsidP="000F0477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14:paraId="09175C84" w14:textId="77777777" w:rsidR="000F0477" w:rsidRPr="00AA129D" w:rsidRDefault="000F0477" w:rsidP="00255FA5">
      <w:pPr>
        <w:spacing w:before="120"/>
        <w:ind w:firstLine="851"/>
        <w:jc w:val="both"/>
        <w:rPr>
          <w:rFonts w:ascii="Times New Roman" w:hAnsi="Times New Roman"/>
          <w:b/>
          <w:szCs w:val="24"/>
          <w:lang w:val="bg-BG"/>
        </w:rPr>
      </w:pPr>
      <w:r w:rsidRPr="00AA129D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6044DE23" w14:textId="77777777" w:rsidR="000F0477" w:rsidRPr="00AA129D" w:rsidRDefault="000F0477" w:rsidP="007A18F8">
      <w:pPr>
        <w:pStyle w:val="BodyText"/>
        <w:tabs>
          <w:tab w:val="left" w:pos="851"/>
        </w:tabs>
        <w:spacing w:before="120" w:after="0"/>
        <w:ind w:firstLine="851"/>
        <w:jc w:val="both"/>
        <w:rPr>
          <w:sz w:val="24"/>
          <w:szCs w:val="24"/>
          <w:lang w:val="bg-BG"/>
        </w:rPr>
      </w:pPr>
      <w:r w:rsidRPr="00AA129D">
        <w:rPr>
          <w:sz w:val="24"/>
          <w:szCs w:val="24"/>
          <w:lang w:val="bg-BG"/>
        </w:rPr>
        <w:t xml:space="preserve">На годишна база ръст на промишленото производство, изчислен от календарно изгладените данни, е отчетен </w:t>
      </w:r>
      <w:r w:rsidR="00E5467A" w:rsidRPr="00AA129D">
        <w:rPr>
          <w:sz w:val="24"/>
          <w:szCs w:val="24"/>
          <w:lang w:val="bg-BG"/>
        </w:rPr>
        <w:t>в</w:t>
      </w:r>
      <w:r w:rsidRPr="00AA129D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- с </w:t>
      </w:r>
      <w:r w:rsidR="00A4544B" w:rsidRPr="00AA129D">
        <w:rPr>
          <w:sz w:val="24"/>
          <w:szCs w:val="24"/>
          <w:lang w:val="bg-BG"/>
        </w:rPr>
        <w:t>19</w:t>
      </w:r>
      <w:r w:rsidRPr="00AA129D">
        <w:rPr>
          <w:sz w:val="24"/>
          <w:szCs w:val="24"/>
          <w:lang w:val="bg-BG"/>
        </w:rPr>
        <w:t>.</w:t>
      </w:r>
      <w:r w:rsidR="00A4544B" w:rsidRPr="00AA129D">
        <w:rPr>
          <w:sz w:val="24"/>
          <w:szCs w:val="24"/>
          <w:lang w:val="bg-BG"/>
        </w:rPr>
        <w:t>8</w:t>
      </w:r>
      <w:r w:rsidRPr="00AA129D">
        <w:rPr>
          <w:sz w:val="24"/>
          <w:szCs w:val="24"/>
          <w:lang w:val="bg-BG"/>
        </w:rPr>
        <w:t>%,</w:t>
      </w:r>
      <w:r w:rsidR="00A4544B" w:rsidRPr="00AA129D">
        <w:rPr>
          <w:sz w:val="24"/>
          <w:szCs w:val="24"/>
          <w:lang w:val="bg-BG"/>
        </w:rPr>
        <w:t xml:space="preserve"> преработващата промишленост - със 17.8%, и при </w:t>
      </w:r>
      <w:r w:rsidR="00B6040C" w:rsidRPr="00AA129D">
        <w:rPr>
          <w:sz w:val="24"/>
          <w:szCs w:val="24"/>
          <w:lang w:val="bg-BG"/>
        </w:rPr>
        <w:t xml:space="preserve">добивната промишленост </w:t>
      </w:r>
      <w:r w:rsidR="00460BB5" w:rsidRPr="00AA129D">
        <w:rPr>
          <w:sz w:val="24"/>
          <w:szCs w:val="24"/>
          <w:lang w:val="bg-BG"/>
        </w:rPr>
        <w:t>-</w:t>
      </w:r>
      <w:r w:rsidR="00B6040C" w:rsidRPr="00AA129D">
        <w:rPr>
          <w:sz w:val="24"/>
          <w:szCs w:val="24"/>
          <w:lang w:val="bg-BG"/>
        </w:rPr>
        <w:t xml:space="preserve"> с</w:t>
      </w:r>
      <w:r w:rsidR="00A4544B" w:rsidRPr="00AA129D">
        <w:rPr>
          <w:sz w:val="24"/>
          <w:szCs w:val="24"/>
          <w:lang w:val="bg-BG"/>
        </w:rPr>
        <w:t>ъс 7</w:t>
      </w:r>
      <w:r w:rsidR="00B6040C" w:rsidRPr="00AA129D">
        <w:rPr>
          <w:sz w:val="24"/>
          <w:szCs w:val="24"/>
          <w:lang w:val="bg-BG"/>
        </w:rPr>
        <w:t>.</w:t>
      </w:r>
      <w:r w:rsidR="00A4544B" w:rsidRPr="00AA129D">
        <w:rPr>
          <w:sz w:val="24"/>
          <w:szCs w:val="24"/>
          <w:lang w:val="bg-BG"/>
        </w:rPr>
        <w:t>0</w:t>
      </w:r>
      <w:r w:rsidR="00B6040C" w:rsidRPr="00AA129D">
        <w:rPr>
          <w:sz w:val="24"/>
          <w:szCs w:val="24"/>
          <w:lang w:val="bg-BG"/>
        </w:rPr>
        <w:t>%</w:t>
      </w:r>
      <w:r w:rsidR="00A4544B" w:rsidRPr="00AA129D">
        <w:rPr>
          <w:sz w:val="24"/>
          <w:szCs w:val="24"/>
          <w:lang w:val="bg-BG"/>
        </w:rPr>
        <w:t>.</w:t>
      </w:r>
      <w:r w:rsidR="00B6040C" w:rsidRPr="00AA129D">
        <w:rPr>
          <w:sz w:val="24"/>
          <w:szCs w:val="24"/>
          <w:lang w:val="bg-BG"/>
        </w:rPr>
        <w:t xml:space="preserve"> </w:t>
      </w:r>
    </w:p>
    <w:p w14:paraId="4D0AC8AB" w14:textId="77777777" w:rsidR="00A4544B" w:rsidRPr="00AA129D" w:rsidRDefault="00615CC2" w:rsidP="00CD4483">
      <w:pPr>
        <w:ind w:firstLine="851"/>
        <w:jc w:val="both"/>
        <w:rPr>
          <w:rFonts w:ascii="Times New Roman" w:eastAsia="Times New Roman" w:hAnsi="Times New Roman"/>
          <w:color w:val="000000"/>
          <w:szCs w:val="24"/>
          <w:lang w:val="en-US" w:eastAsia="en-US"/>
        </w:rPr>
      </w:pPr>
      <w:r w:rsidRPr="00AA129D">
        <w:rPr>
          <w:rFonts w:ascii="Times New Roman" w:hAnsi="Times New Roman"/>
          <w:szCs w:val="24"/>
          <w:lang w:val="bg-BG"/>
        </w:rPr>
        <w:t>С</w:t>
      </w:r>
      <w:r w:rsidR="000F0477" w:rsidRPr="00AA129D">
        <w:rPr>
          <w:rFonts w:ascii="Times New Roman" w:hAnsi="Times New Roman"/>
          <w:szCs w:val="24"/>
          <w:lang w:val="bg-BG"/>
        </w:rPr>
        <w:t xml:space="preserve">ъществен ръст в преработващата промишленост спрямо съответния месец на предходната година се наблюдава при: производството, некласифицирано другаде - с </w:t>
      </w:r>
      <w:r w:rsidR="00A4544B" w:rsidRPr="00AA129D">
        <w:rPr>
          <w:rFonts w:ascii="Times New Roman" w:hAnsi="Times New Roman"/>
          <w:szCs w:val="24"/>
          <w:lang w:val="bg-BG"/>
        </w:rPr>
        <w:t>57</w:t>
      </w:r>
      <w:r w:rsidR="00804CD6" w:rsidRPr="00AA129D">
        <w:rPr>
          <w:rFonts w:ascii="Times New Roman" w:hAnsi="Times New Roman"/>
          <w:szCs w:val="24"/>
          <w:lang w:val="bg-BG"/>
        </w:rPr>
        <w:t>.</w:t>
      </w:r>
      <w:r w:rsidR="00A4544B" w:rsidRPr="00AA129D">
        <w:rPr>
          <w:rFonts w:ascii="Times New Roman" w:hAnsi="Times New Roman"/>
          <w:szCs w:val="24"/>
          <w:lang w:val="bg-BG"/>
        </w:rPr>
        <w:t>2</w:t>
      </w:r>
      <w:r w:rsidR="000F0477" w:rsidRPr="00AA129D">
        <w:rPr>
          <w:rFonts w:ascii="Times New Roman" w:hAnsi="Times New Roman"/>
          <w:szCs w:val="24"/>
          <w:lang w:val="bg-BG"/>
        </w:rPr>
        <w:t>%,</w:t>
      </w:r>
      <w:r w:rsidR="00804CD6" w:rsidRPr="00AA129D">
        <w:rPr>
          <w:rFonts w:ascii="Times New Roman" w:hAnsi="Times New Roman"/>
          <w:szCs w:val="24"/>
          <w:lang w:val="bg-BG"/>
        </w:rPr>
        <w:t xml:space="preserve"> </w:t>
      </w:r>
      <w:r w:rsidR="00361043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- с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43</w:t>
      </w:r>
      <w:r w:rsidR="00361043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361043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B331CD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напитки - с 42.3%,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метални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изделия, без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машини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оборудване - с 4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A4544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</w:p>
    <w:p w14:paraId="31C12DCD" w14:textId="77777777" w:rsidR="0083502B" w:rsidRPr="00AA129D" w:rsidRDefault="001C1BD4" w:rsidP="00CD4483">
      <w:pPr>
        <w:ind w:firstLine="85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  <w:r w:rsidRPr="00AA129D">
        <w:rPr>
          <w:rFonts w:ascii="Times New Roman" w:hAnsi="Times New Roman"/>
          <w:szCs w:val="24"/>
          <w:lang w:val="bg-BG"/>
        </w:rPr>
        <w:t>Н</w:t>
      </w:r>
      <w:r w:rsidR="00637893" w:rsidRPr="00AA129D">
        <w:rPr>
          <w:rFonts w:ascii="Times New Roman" w:hAnsi="Times New Roman"/>
          <w:szCs w:val="24"/>
          <w:lang w:val="bg-BG"/>
        </w:rPr>
        <w:t>амаление</w:t>
      </w:r>
      <w:r w:rsidR="000F0477" w:rsidRPr="00AA129D">
        <w:rPr>
          <w:rFonts w:ascii="Times New Roman" w:hAnsi="Times New Roman"/>
          <w:szCs w:val="24"/>
          <w:lang w:val="bg-BG"/>
        </w:rPr>
        <w:t xml:space="preserve"> е отчетен</w:t>
      </w:r>
      <w:r w:rsidR="00637893" w:rsidRPr="00AA129D">
        <w:rPr>
          <w:rFonts w:ascii="Times New Roman" w:hAnsi="Times New Roman"/>
          <w:szCs w:val="24"/>
          <w:lang w:val="bg-BG"/>
        </w:rPr>
        <w:t>о</w:t>
      </w:r>
      <w:r w:rsidR="000F0477" w:rsidRPr="00AA129D">
        <w:rPr>
          <w:rFonts w:ascii="Times New Roman" w:hAnsi="Times New Roman"/>
          <w:szCs w:val="24"/>
          <w:lang w:val="bg-BG"/>
        </w:rPr>
        <w:t xml:space="preserve"> при</w:t>
      </w:r>
      <w:r w:rsidR="00255FA5" w:rsidRPr="00AA129D">
        <w:rPr>
          <w:rFonts w:ascii="Times New Roman" w:hAnsi="Times New Roman"/>
          <w:szCs w:val="24"/>
          <w:lang w:val="bg-BG"/>
        </w:rPr>
        <w:t>:</w:t>
      </w:r>
      <w:r w:rsidR="000F0477" w:rsidRPr="00AA129D">
        <w:rPr>
          <w:rFonts w:ascii="Times New Roman" w:hAnsi="Times New Roman"/>
          <w:color w:val="000000"/>
          <w:szCs w:val="24"/>
          <w:lang w:val="bg-BG" w:eastAsia="en-US"/>
        </w:rPr>
        <w:t xml:space="preserve"> </w:t>
      </w:r>
      <w:r w:rsidR="00E0205A" w:rsidRPr="00AA129D">
        <w:rPr>
          <w:rFonts w:ascii="Times New Roman" w:hAnsi="Times New Roman"/>
          <w:szCs w:val="24"/>
          <w:lang w:val="bg-BG"/>
        </w:rPr>
        <w:t xml:space="preserve">производството на превозни средства, без автомобили </w:t>
      </w:r>
      <w:r w:rsidR="0020169D" w:rsidRPr="00AA129D">
        <w:rPr>
          <w:rFonts w:ascii="Times New Roman" w:hAnsi="Times New Roman"/>
          <w:szCs w:val="24"/>
          <w:lang w:val="bg-BG"/>
        </w:rPr>
        <w:t>-</w:t>
      </w:r>
      <w:r w:rsidR="00E0205A" w:rsidRPr="00AA129D">
        <w:rPr>
          <w:rFonts w:ascii="Times New Roman" w:hAnsi="Times New Roman"/>
          <w:szCs w:val="24"/>
          <w:lang w:val="bg-BG"/>
        </w:rPr>
        <w:t xml:space="preserve"> с </w:t>
      </w:r>
      <w:r w:rsidR="0083502B" w:rsidRPr="00AA129D">
        <w:rPr>
          <w:rFonts w:ascii="Times New Roman" w:hAnsi="Times New Roman"/>
          <w:szCs w:val="24"/>
          <w:lang w:val="bg-BG"/>
        </w:rPr>
        <w:t>3</w:t>
      </w:r>
      <w:r w:rsidR="00E0205A" w:rsidRPr="00AA129D">
        <w:rPr>
          <w:rFonts w:ascii="Times New Roman" w:hAnsi="Times New Roman"/>
          <w:szCs w:val="24"/>
          <w:lang w:val="bg-BG"/>
        </w:rPr>
        <w:t>.</w:t>
      </w:r>
      <w:r w:rsidR="0083502B" w:rsidRPr="00AA129D">
        <w:rPr>
          <w:rFonts w:ascii="Times New Roman" w:hAnsi="Times New Roman"/>
          <w:szCs w:val="24"/>
          <w:lang w:val="bg-BG"/>
        </w:rPr>
        <w:t>5</w:t>
      </w:r>
      <w:r w:rsidR="00E0205A" w:rsidRPr="00AA129D">
        <w:rPr>
          <w:rFonts w:ascii="Times New Roman" w:hAnsi="Times New Roman"/>
          <w:szCs w:val="24"/>
          <w:lang w:val="bg-BG"/>
        </w:rPr>
        <w:t>%</w:t>
      </w:r>
      <w:r w:rsidR="0083502B" w:rsidRPr="00AA129D">
        <w:rPr>
          <w:rFonts w:ascii="Times New Roman" w:hAnsi="Times New Roman"/>
          <w:szCs w:val="24"/>
          <w:lang w:val="bg-BG"/>
        </w:rPr>
        <w:t xml:space="preserve">, 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основни метали - с 2.5%, 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ru-RU" w:eastAsia="en-US"/>
        </w:rPr>
        <w:t>производството на изделия от каучук и</w:t>
      </w:r>
      <w:r w:rsidR="00255054" w:rsidRPr="00AA129D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пластмаси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1.9%</w:t>
      </w:r>
      <w:r w:rsidR="00246C09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Pr="00246C09">
        <w:rPr>
          <w:rFonts w:ascii="Times New Roman" w:eastAsia="Times New Roman" w:hAnsi="Times New Roman"/>
          <w:color w:val="000000"/>
          <w:szCs w:val="24"/>
          <w:lang w:val="en-US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обработка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та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на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кожи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производство</w:t>
      </w:r>
      <w:r w:rsidR="007C1794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на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обувки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и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други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изделия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от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обработени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кожи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без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AA129D">
        <w:rPr>
          <w:rFonts w:ascii="Times New Roman" w:eastAsia="Times New Roman" w:hAnsi="Times New Roman" w:hint="eastAsia"/>
          <w:color w:val="000000"/>
          <w:szCs w:val="24"/>
          <w:lang w:val="bg-BG" w:eastAsia="en-US"/>
        </w:rPr>
        <w:t>косъм</w:t>
      </w:r>
      <w:r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0.6%</w:t>
      </w:r>
      <w:r w:rsidR="0083502B" w:rsidRPr="00AA129D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5B06D79B" w14:textId="77777777" w:rsidR="00255FA5" w:rsidRPr="00AA129D" w:rsidRDefault="00255FA5" w:rsidP="007A18F8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308A2FC0" w14:textId="77777777" w:rsidR="000F0477" w:rsidRPr="00AA129D" w:rsidRDefault="000F0477" w:rsidP="00255FA5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40569571" w14:textId="77777777" w:rsidR="007A2A19" w:rsidRPr="00AA129D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AA129D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54AFEED6" w14:textId="77777777" w:rsidR="000F0477" w:rsidRPr="00AA129D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ru-RU"/>
        </w:rPr>
      </w:pPr>
      <w:r w:rsidRPr="00AA129D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7C6A58F6" w14:textId="77777777" w:rsidR="00A02BBE" w:rsidRPr="00246C09" w:rsidRDefault="000F0477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F75581">
        <w:rPr>
          <w:rFonts w:ascii="Times New Roman" w:hAnsi="Times New Roman"/>
          <w:b/>
          <w:noProof/>
          <w:szCs w:val="24"/>
          <w:lang w:val="bg-BG"/>
        </w:rPr>
        <w:t>(</w:t>
      </w:r>
      <w:r w:rsidRPr="00AA129D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AA129D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FC7E29" w:rsidRPr="00AA129D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16E3D1AD" w14:textId="77777777" w:rsidR="0043059C" w:rsidRDefault="000543F1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bg-BG"/>
        </w:rPr>
        <w:object w:dxaOrig="14736" w:dyaOrig="9672" w14:anchorId="7CF02EF5">
          <v:shape id="_x0000_i1026" type="#_x0000_t75" style="width:7in;height:330.6pt" o:ole="">
            <v:imagedata r:id="rId10" o:title=""/>
          </v:shape>
          <o:OLEObject Type="Embed" ProgID="Excel.Sheet.8" ShapeID="_x0000_i1026" DrawAspect="Content" ObjectID="_1716364758" r:id="rId11"/>
        </w:object>
      </w:r>
    </w:p>
    <w:p w14:paraId="3CEF9A83" w14:textId="77777777" w:rsidR="000543F1" w:rsidRDefault="000543F1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</w:p>
    <w:p w14:paraId="4F076410" w14:textId="77777777" w:rsidR="000543F1" w:rsidRDefault="000543F1" w:rsidP="00B56B66">
      <w:pPr>
        <w:pStyle w:val="BodyText"/>
        <w:tabs>
          <w:tab w:val="left" w:pos="6960"/>
        </w:tabs>
        <w:spacing w:before="120" w:after="0"/>
        <w:ind w:left="-284"/>
        <w:jc w:val="center"/>
        <w:rPr>
          <w:b/>
          <w:noProof/>
          <w:sz w:val="24"/>
          <w:szCs w:val="24"/>
          <w:lang w:val="bg-BG"/>
        </w:rPr>
      </w:pPr>
    </w:p>
    <w:p w14:paraId="699696CC" w14:textId="77777777" w:rsidR="000F0477" w:rsidRPr="00E5520D" w:rsidRDefault="000F0477" w:rsidP="00C80835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14:paraId="5123F9E8" w14:textId="77777777" w:rsidR="000F0477" w:rsidRPr="00B64848" w:rsidRDefault="000F0477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14:paraId="6C372567" w14:textId="77777777" w:rsidR="000F0477" w:rsidRPr="00F50FA8" w:rsidRDefault="000F0477" w:rsidP="00C80835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1AA2BE61" w14:textId="77777777" w:rsidR="000F0477" w:rsidRPr="009737AE" w:rsidRDefault="000F0477" w:rsidP="00D43358">
      <w:pPr>
        <w:pStyle w:val="BodyText"/>
        <w:spacing w:after="0"/>
        <w:ind w:right="-142" w:firstLine="709"/>
        <w:jc w:val="right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9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738"/>
        <w:gridCol w:w="680"/>
        <w:gridCol w:w="709"/>
        <w:gridCol w:w="708"/>
        <w:gridCol w:w="817"/>
      </w:tblGrid>
      <w:tr w:rsidR="0031520A" w:rsidRPr="000543F1" w14:paraId="596DBE7B" w14:textId="77777777" w:rsidTr="000543F1">
        <w:trPr>
          <w:trHeight w:val="24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60AF" w14:textId="77777777" w:rsidR="0031520A" w:rsidRPr="000543F1" w:rsidRDefault="0031520A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046C" w14:textId="77777777" w:rsidR="0031520A" w:rsidRPr="000543F1" w:rsidRDefault="0031520A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7DF9" w14:textId="77777777" w:rsidR="0031520A" w:rsidRPr="000543F1" w:rsidRDefault="0031520A" w:rsidP="00D433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9205" w14:textId="77777777" w:rsidR="0031520A" w:rsidRPr="000543F1" w:rsidRDefault="0031520A" w:rsidP="001001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0543F1" w:rsidRPr="000543F1" w14:paraId="456B06E8" w14:textId="77777777" w:rsidTr="000543F1">
        <w:trPr>
          <w:trHeight w:val="263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767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28A4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D67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B0F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XII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68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A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44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CCB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IV*</w:t>
            </w:r>
          </w:p>
        </w:tc>
      </w:tr>
      <w:tr w:rsidR="000543F1" w:rsidRPr="000543F1" w14:paraId="43D67883" w14:textId="77777777" w:rsidTr="000543F1">
        <w:trPr>
          <w:trHeight w:val="371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F4D350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B868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469B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1.6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83A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1.3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306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C8B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361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3559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-0.4</w:t>
            </w:r>
          </w:p>
        </w:tc>
      </w:tr>
      <w:tr w:rsidR="000543F1" w:rsidRPr="000543F1" w14:paraId="69FCEEF1" w14:textId="77777777" w:rsidTr="000543F1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A1588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8B10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B99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8.6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52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FBD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0B3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525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A14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-16.3</w:t>
            </w:r>
          </w:p>
        </w:tc>
      </w:tr>
      <w:tr w:rsidR="000543F1" w:rsidRPr="000543F1" w14:paraId="3257316A" w14:textId="77777777" w:rsidTr="000543F1">
        <w:trPr>
          <w:trHeight w:val="9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677EC6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48F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3B0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2D9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B06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64CE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1AD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B8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-19.4</w:t>
            </w:r>
          </w:p>
        </w:tc>
      </w:tr>
      <w:tr w:rsidR="000543F1" w:rsidRPr="000543F1" w14:paraId="518FE793" w14:textId="77777777" w:rsidTr="000543F1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0F6CCC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BE4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806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0151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B7D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C4E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312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69C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2E3E3AED" w14:textId="77777777" w:rsidTr="000543F1">
        <w:trPr>
          <w:trHeight w:val="13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B3CF6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F2C3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90EF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D15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54D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88C7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1E0C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96F4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-20.5</w:t>
            </w:r>
          </w:p>
        </w:tc>
      </w:tr>
      <w:tr w:rsidR="000543F1" w:rsidRPr="000543F1" w14:paraId="52E3043C" w14:textId="77777777" w:rsidTr="000543F1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676AEB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848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E9A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CED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E3E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537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B7D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666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-6.1</w:t>
            </w:r>
          </w:p>
        </w:tc>
      </w:tr>
      <w:tr w:rsidR="000543F1" w:rsidRPr="000543F1" w14:paraId="52F42126" w14:textId="77777777" w:rsidTr="000543F1">
        <w:trPr>
          <w:trHeight w:val="17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65FF0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7AD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5F3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5F4B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A0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828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B450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BCF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6852973D" w14:textId="77777777" w:rsidTr="000543F1">
        <w:trPr>
          <w:trHeight w:val="3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88019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425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7FE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C17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6585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D6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DEC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34C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3.3</w:t>
            </w:r>
          </w:p>
        </w:tc>
      </w:tr>
      <w:tr w:rsidR="000543F1" w:rsidRPr="000543F1" w14:paraId="33AF326E" w14:textId="77777777" w:rsidTr="000543F1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0F70C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52D0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CC0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319E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5D2A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A77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37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D89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0543F1" w:rsidRPr="000543F1" w14:paraId="0B23F9B1" w14:textId="77777777" w:rsidTr="000543F1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2E742F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C213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220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53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3B9D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4F4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BB5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3392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</w:tr>
      <w:tr w:rsidR="000543F1" w:rsidRPr="000543F1" w14:paraId="751F02D6" w14:textId="77777777" w:rsidTr="000543F1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2EA61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68F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B6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85B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-21.0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4D2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367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668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6177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11.0</w:t>
            </w:r>
          </w:p>
        </w:tc>
      </w:tr>
      <w:tr w:rsidR="000543F1" w:rsidRPr="000543F1" w14:paraId="51302A22" w14:textId="77777777" w:rsidTr="000543F1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C2CE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018A2471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C118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0787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-8.7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E5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ACE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513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D0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3C1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</w:tr>
      <w:tr w:rsidR="000543F1" w:rsidRPr="000543F1" w14:paraId="3520FF31" w14:textId="77777777" w:rsidTr="000543F1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D2F0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B66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29E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6EA9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1953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39D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266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F8B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</w:tr>
      <w:tr w:rsidR="000543F1" w:rsidRPr="000543F1" w14:paraId="42C55FA9" w14:textId="77777777" w:rsidTr="000543F1">
        <w:trPr>
          <w:trHeight w:val="3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ACBCC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3993883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C68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28AE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69F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69E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7A0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885E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F3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</w:tr>
      <w:tr w:rsidR="000543F1" w:rsidRPr="000543F1" w14:paraId="04937CE9" w14:textId="77777777" w:rsidTr="000543F1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39FAD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25417C0D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CE25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4FF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672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26A3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1BF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DE5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D8D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</w:tr>
      <w:tr w:rsidR="000543F1" w:rsidRPr="000543F1" w14:paraId="524758EF" w14:textId="77777777" w:rsidTr="000543F1">
        <w:trPr>
          <w:trHeight w:val="31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2BB117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0C358CE9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7A0B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5E91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AE86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265D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B0D8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2D50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3C7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</w:tr>
      <w:tr w:rsidR="000543F1" w:rsidRPr="000543F1" w14:paraId="6EAEC2B8" w14:textId="77777777" w:rsidTr="000543F1">
        <w:trPr>
          <w:trHeight w:val="23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BAB5C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459966E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CC1AB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907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184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B58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1C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1568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081C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</w:tr>
      <w:tr w:rsidR="000543F1" w:rsidRPr="000543F1" w14:paraId="6FCAC93C" w14:textId="77777777" w:rsidTr="000543F1">
        <w:trPr>
          <w:trHeight w:val="21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1057B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043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A01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0C2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71A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224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FC4A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73A7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51AD0735" w14:textId="77777777" w:rsidTr="000543F1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6F31D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842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16E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498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B7A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2B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9756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9F8D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-10.5</w:t>
            </w:r>
          </w:p>
        </w:tc>
      </w:tr>
      <w:tr w:rsidR="000543F1" w:rsidRPr="000543F1" w14:paraId="08DBF83E" w14:textId="77777777" w:rsidTr="000543F1">
        <w:trPr>
          <w:trHeight w:val="11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FA5CAF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9D03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E443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CFBA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1C8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6E97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78CC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1064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</w:tr>
      <w:tr w:rsidR="000543F1" w:rsidRPr="000543F1" w14:paraId="7EADDFC3" w14:textId="77777777" w:rsidTr="000543F1">
        <w:trPr>
          <w:trHeight w:val="1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CF1998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C978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EADC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731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7A5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3E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EB8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8D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</w:tr>
      <w:tr w:rsidR="000543F1" w:rsidRPr="000543F1" w14:paraId="17BC7E1F" w14:textId="77777777" w:rsidTr="000543F1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6E4927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74F94D2F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2F33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870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E4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-8.1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C4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DDC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D2F4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CACC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0543F1" w:rsidRPr="000543F1" w14:paraId="2721CA93" w14:textId="77777777" w:rsidTr="000543F1">
        <w:trPr>
          <w:trHeight w:val="14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3F3777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F9FA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B83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2E0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11C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751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4BA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EE8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</w:tr>
      <w:tr w:rsidR="000543F1" w:rsidRPr="000543F1" w14:paraId="32054B70" w14:textId="77777777" w:rsidTr="000543F1">
        <w:trPr>
          <w:trHeight w:val="50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6523D8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011D0963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CE5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B6D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DB22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907D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DC1D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BBB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F8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45.4</w:t>
            </w:r>
          </w:p>
        </w:tc>
      </w:tr>
      <w:tr w:rsidR="000543F1" w:rsidRPr="000543F1" w14:paraId="5E308728" w14:textId="77777777" w:rsidTr="000543F1">
        <w:trPr>
          <w:trHeight w:val="19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2BE35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7EBCC69C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383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A02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CFA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992A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125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B640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8506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14.0</w:t>
            </w:r>
          </w:p>
        </w:tc>
      </w:tr>
      <w:tr w:rsidR="000543F1" w:rsidRPr="000543F1" w14:paraId="476D5AA6" w14:textId="77777777" w:rsidTr="000543F1">
        <w:trPr>
          <w:trHeight w:val="23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DF55B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6625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7B3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151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010D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1F18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A919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042B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</w:tr>
      <w:tr w:rsidR="000543F1" w:rsidRPr="000543F1" w14:paraId="1D5C1448" w14:textId="77777777" w:rsidTr="000543F1">
        <w:trPr>
          <w:trHeight w:val="3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B7429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8E42B47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093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C60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806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366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9B82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9922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86C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0543F1" w:rsidRPr="000543F1" w14:paraId="5EBAD9C2" w14:textId="77777777" w:rsidTr="000543F1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2DEA0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67A3A379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42D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B21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8F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A4F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4E43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3B9D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5F3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-11.5</w:t>
            </w:r>
          </w:p>
        </w:tc>
      </w:tr>
      <w:tr w:rsidR="000543F1" w:rsidRPr="000543F1" w14:paraId="6AE58C8F" w14:textId="77777777" w:rsidTr="000543F1">
        <w:trPr>
          <w:trHeight w:val="25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40CF5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99E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7C0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E01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70AD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488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16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-12.6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58A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</w:tr>
      <w:tr w:rsidR="000543F1" w:rsidRPr="000543F1" w14:paraId="17617FC4" w14:textId="77777777" w:rsidTr="000543F1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4E2E22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7C48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8BD4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17B6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AE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953E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4AD7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EB0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-3.5</w:t>
            </w:r>
          </w:p>
        </w:tc>
      </w:tr>
      <w:tr w:rsidR="000543F1" w:rsidRPr="000543F1" w14:paraId="1ECA4A03" w14:textId="77777777" w:rsidTr="000543F1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6F4D22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EDD6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A04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32.8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477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763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3CC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1AD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2BE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0543F1" w:rsidRPr="000543F1" w14:paraId="2498A1BC" w14:textId="77777777" w:rsidTr="000543F1">
        <w:trPr>
          <w:trHeight w:val="16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609B0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E926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881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-18.5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8617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42A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B2AB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5AC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D21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-12.3</w:t>
            </w:r>
          </w:p>
        </w:tc>
      </w:tr>
      <w:tr w:rsidR="000543F1" w:rsidRPr="000543F1" w14:paraId="73AC5C4D" w14:textId="77777777" w:rsidTr="000543F1">
        <w:trPr>
          <w:trHeight w:val="30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8179EC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F174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D79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-2.9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69A5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BF8E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EAE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F3A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24.2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A6B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-19.9</w:t>
            </w:r>
          </w:p>
        </w:tc>
      </w:tr>
      <w:tr w:rsidR="00610808" w:rsidRPr="000543F1" w14:paraId="2882E1AE" w14:textId="77777777" w:rsidTr="000543F1">
        <w:trPr>
          <w:trHeight w:val="2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DE64B" w14:textId="77777777" w:rsidR="00610808" w:rsidRPr="000543F1" w:rsidRDefault="00610808" w:rsidP="00610808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4B588983" w14:textId="77777777" w:rsidR="00610808" w:rsidRPr="000543F1" w:rsidRDefault="00610808" w:rsidP="00610808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03E42" w14:textId="77777777" w:rsidR="00610808" w:rsidRPr="000543F1" w:rsidRDefault="00610808" w:rsidP="0061080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3163" w14:textId="77777777" w:rsidR="00610808" w:rsidRPr="000543F1" w:rsidRDefault="00610808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05A69" w14:textId="77777777" w:rsidR="00610808" w:rsidRPr="000543F1" w:rsidRDefault="00610808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57DF" w14:textId="77777777" w:rsidR="00610808" w:rsidRPr="000543F1" w:rsidRDefault="00610808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C4E0" w14:textId="77777777" w:rsidR="00610808" w:rsidRPr="000543F1" w:rsidRDefault="00610808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AE6C" w14:textId="77777777" w:rsidR="00610808" w:rsidRPr="000543F1" w:rsidRDefault="00610808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588C" w14:textId="77777777" w:rsidR="00610808" w:rsidRPr="000543F1" w:rsidRDefault="00610808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18.2</w:t>
            </w:r>
          </w:p>
        </w:tc>
      </w:tr>
    </w:tbl>
    <w:p w14:paraId="40189C90" w14:textId="77777777" w:rsidR="00A566BC" w:rsidRPr="00B64848" w:rsidRDefault="00A566BC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0B3B1DAD" w14:textId="77777777" w:rsidR="00A566BC" w:rsidRDefault="00A566BC" w:rsidP="00C8083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75EE35C2" w14:textId="77777777" w:rsidR="00A566BC" w:rsidRPr="009737AE" w:rsidRDefault="00A566BC" w:rsidP="00580FDC">
      <w:pPr>
        <w:pStyle w:val="BodyText"/>
        <w:spacing w:after="0"/>
        <w:ind w:right="-142"/>
        <w:jc w:val="right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471" w:type="dxa"/>
        <w:tblInd w:w="93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134"/>
        <w:gridCol w:w="850"/>
        <w:gridCol w:w="738"/>
        <w:gridCol w:w="680"/>
        <w:gridCol w:w="709"/>
        <w:gridCol w:w="708"/>
        <w:gridCol w:w="817"/>
      </w:tblGrid>
      <w:tr w:rsidR="003D5772" w:rsidRPr="000543F1" w14:paraId="0CEA8D51" w14:textId="77777777" w:rsidTr="000543F1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515B" w14:textId="77777777" w:rsidR="003D5772" w:rsidRPr="000543F1" w:rsidRDefault="003D5772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EFE5" w14:textId="77777777" w:rsidR="003D5772" w:rsidRPr="000543F1" w:rsidRDefault="003D5772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E3E1" w14:textId="77777777" w:rsidR="003D5772" w:rsidRPr="000543F1" w:rsidRDefault="003D5772" w:rsidP="00580F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17B7" w14:textId="77777777" w:rsidR="003D5772" w:rsidRPr="000543F1" w:rsidRDefault="003D5772" w:rsidP="001B2A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0543F1" w:rsidRPr="000543F1" w14:paraId="143F86C9" w14:textId="77777777" w:rsidTr="000543F1">
        <w:trPr>
          <w:trHeight w:val="31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1AFE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F74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CC1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11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BDE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00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CA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BCF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IV*</w:t>
            </w:r>
          </w:p>
        </w:tc>
      </w:tr>
      <w:tr w:rsidR="000543F1" w:rsidRPr="000543F1" w14:paraId="51189C65" w14:textId="77777777" w:rsidTr="000543F1">
        <w:trPr>
          <w:trHeight w:val="409"/>
        </w:trPr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2276D4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58A7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ED7B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13.2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58BE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14.7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C8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77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14.8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B07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19.2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998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16.9</w:t>
            </w:r>
          </w:p>
        </w:tc>
      </w:tr>
      <w:tr w:rsidR="000543F1" w:rsidRPr="000543F1" w14:paraId="35E823CA" w14:textId="77777777" w:rsidTr="000543F1">
        <w:trPr>
          <w:trHeight w:val="16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4AC0E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5500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EB88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41.6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97FC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282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53.5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037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68E9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23.0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A51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7.0</w:t>
            </w:r>
          </w:p>
        </w:tc>
      </w:tr>
      <w:tr w:rsidR="000543F1" w:rsidRPr="000543F1" w14:paraId="3AE0BFC7" w14:textId="77777777" w:rsidTr="000543F1">
        <w:trPr>
          <w:trHeight w:val="21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1BDF2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C448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D00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98.8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8710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76.4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8EA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761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11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81.7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7C0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52.3</w:t>
            </w:r>
          </w:p>
        </w:tc>
      </w:tr>
      <w:tr w:rsidR="000543F1" w:rsidRPr="000543F1" w14:paraId="6EB97538" w14:textId="77777777" w:rsidTr="000543F1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29FC79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9D3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89C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14C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FDC9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DDB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3C1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FB75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46DE2414" w14:textId="77777777" w:rsidTr="000543F1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E5C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9D4B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21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39.0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DBB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30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C9E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631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0D2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-14.3</w:t>
            </w:r>
          </w:p>
        </w:tc>
      </w:tr>
      <w:tr w:rsidR="000543F1" w:rsidRPr="000543F1" w14:paraId="0711A2EC" w14:textId="77777777" w:rsidTr="000543F1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1AFDF6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B96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DB77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72C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08C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418F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02A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F15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</w:tr>
      <w:tr w:rsidR="000543F1" w:rsidRPr="000543F1" w14:paraId="692D0049" w14:textId="77777777" w:rsidTr="000543F1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A3D9D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664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21A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C549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6E2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BBB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A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6CA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1728A5C3" w14:textId="77777777" w:rsidTr="000543F1">
        <w:trPr>
          <w:trHeight w:val="28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0EFBF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A5C8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DC2A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5.7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447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BED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96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3CF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13.1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E86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17.8</w:t>
            </w:r>
          </w:p>
        </w:tc>
      </w:tr>
      <w:tr w:rsidR="000543F1" w:rsidRPr="000543F1" w14:paraId="0420B47D" w14:textId="77777777" w:rsidTr="000543F1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6BD91F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5455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F49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4AE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580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1C2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BCC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B379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11.5</w:t>
            </w:r>
          </w:p>
        </w:tc>
      </w:tr>
      <w:tr w:rsidR="000543F1" w:rsidRPr="000543F1" w14:paraId="264CB538" w14:textId="77777777" w:rsidTr="000543F1">
        <w:trPr>
          <w:trHeight w:val="22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8D308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DFE1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8BE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-25.0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527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7DC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6AF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0A7B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592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42.3</w:t>
            </w:r>
          </w:p>
        </w:tc>
      </w:tr>
      <w:tr w:rsidR="000543F1" w:rsidRPr="000543F1" w14:paraId="0DC1D1EB" w14:textId="77777777" w:rsidTr="000543F1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0DCB7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3B3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561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BD23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-33.9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8F5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07E8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DC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FA46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</w:tr>
      <w:tr w:rsidR="000543F1" w:rsidRPr="000543F1" w14:paraId="2B1D2AFF" w14:textId="77777777" w:rsidTr="000543F1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9ECC1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6A0825CE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4A6B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6CB0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C0E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28.1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1C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9943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6CC4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ADA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5.8</w:t>
            </w:r>
          </w:p>
        </w:tc>
      </w:tr>
      <w:tr w:rsidR="000543F1" w:rsidRPr="000543F1" w14:paraId="1B30CEDF" w14:textId="77777777" w:rsidTr="000543F1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0737F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51C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F35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8403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E9A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631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D7F7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22.1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078A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26.2</w:t>
            </w:r>
          </w:p>
        </w:tc>
      </w:tr>
      <w:tr w:rsidR="000543F1" w:rsidRPr="000543F1" w14:paraId="2E7B419A" w14:textId="77777777" w:rsidTr="000543F1">
        <w:trPr>
          <w:trHeight w:val="2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D09B1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9E9AC7B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DB13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53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49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0F4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E42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7035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D4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</w:tr>
      <w:tr w:rsidR="000543F1" w:rsidRPr="000543F1" w14:paraId="0F312655" w14:textId="77777777" w:rsidTr="000543F1">
        <w:trPr>
          <w:trHeight w:val="34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06CBD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44A8668D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0B8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E583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20D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3F9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FE7F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1B8B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36.1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AFE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28.0</w:t>
            </w:r>
          </w:p>
        </w:tc>
      </w:tr>
      <w:tr w:rsidR="000543F1" w:rsidRPr="000543F1" w14:paraId="5B067997" w14:textId="77777777" w:rsidTr="000543F1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8568E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4E3D70F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4C1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9CB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BFA1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19.6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3E3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586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8D0F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4748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9.6</w:t>
            </w:r>
          </w:p>
        </w:tc>
      </w:tr>
      <w:tr w:rsidR="000543F1" w:rsidRPr="000543F1" w14:paraId="6C508F43" w14:textId="77777777" w:rsidTr="000543F1">
        <w:trPr>
          <w:trHeight w:val="18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737218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1ECCD33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E62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809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22.6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08D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71C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BAC9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FED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781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</w:tr>
      <w:tr w:rsidR="000543F1" w:rsidRPr="000543F1" w14:paraId="59A31798" w14:textId="77777777" w:rsidTr="000543F1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4E66D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C72E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F2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BF9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292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651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8F8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21C4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34D29E35" w14:textId="77777777" w:rsidTr="000543F1">
        <w:trPr>
          <w:trHeight w:val="2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CD199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2A2B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80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20.1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4F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975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4C0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929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9F5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25.3</w:t>
            </w:r>
          </w:p>
        </w:tc>
      </w:tr>
      <w:tr w:rsidR="000543F1" w:rsidRPr="000543F1" w14:paraId="2D306AF6" w14:textId="77777777" w:rsidTr="000543F1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C1A50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5E5A2532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1E53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33C4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678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B00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65D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2C18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-9.6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F2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16.3</w:t>
            </w:r>
          </w:p>
        </w:tc>
      </w:tr>
      <w:tr w:rsidR="000543F1" w:rsidRPr="000543F1" w14:paraId="376DBC0A" w14:textId="77777777" w:rsidTr="000543F1">
        <w:trPr>
          <w:trHeight w:val="24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4267A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4D84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92FD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6E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903D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403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DB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9FB6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-1.9</w:t>
            </w:r>
          </w:p>
        </w:tc>
      </w:tr>
      <w:tr w:rsidR="000543F1" w:rsidRPr="000543F1" w14:paraId="626FE47A" w14:textId="77777777" w:rsidTr="000543F1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3928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5AA8A559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C278B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5BBA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D3D2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EE2B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B99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31C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D2A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18.2</w:t>
            </w:r>
          </w:p>
        </w:tc>
      </w:tr>
      <w:tr w:rsidR="000543F1" w:rsidRPr="000543F1" w14:paraId="0AD27A47" w14:textId="77777777" w:rsidTr="000543F1">
        <w:trPr>
          <w:trHeight w:val="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D0DE9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B8B93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377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428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4DF0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D1E8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82A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6694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</w:tr>
      <w:tr w:rsidR="000543F1" w:rsidRPr="000543F1" w14:paraId="5EBDB529" w14:textId="77777777" w:rsidTr="000543F1">
        <w:trPr>
          <w:trHeight w:val="26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9BE53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5F74966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A054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E7AE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EA9B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C69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8B7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F0A5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C17E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41.9</w:t>
            </w:r>
          </w:p>
        </w:tc>
      </w:tr>
      <w:tr w:rsidR="000543F1" w:rsidRPr="000543F1" w14:paraId="3C828CFB" w14:textId="77777777" w:rsidTr="000543F1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DBC13C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3F90DE62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294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1E5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14E9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C02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C84B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6E4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ED9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43.1</w:t>
            </w:r>
          </w:p>
        </w:tc>
      </w:tr>
      <w:tr w:rsidR="000543F1" w:rsidRPr="000543F1" w14:paraId="6EC19B48" w14:textId="77777777" w:rsidTr="000543F1">
        <w:trPr>
          <w:trHeight w:val="12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675711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17DE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80A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975A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EE8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2568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8C2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50B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</w:tr>
      <w:tr w:rsidR="000543F1" w:rsidRPr="000543F1" w14:paraId="420C8E42" w14:textId="77777777" w:rsidTr="000543F1">
        <w:trPr>
          <w:trHeight w:val="43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F089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02A8CD2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9A7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CD6D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BFB5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C3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25EF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459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37C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18.8</w:t>
            </w:r>
          </w:p>
        </w:tc>
      </w:tr>
      <w:tr w:rsidR="000543F1" w:rsidRPr="000543F1" w14:paraId="75215CAA" w14:textId="77777777" w:rsidTr="000543F1">
        <w:trPr>
          <w:trHeight w:val="35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BA3FF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62348CDE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0C0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300D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-26.8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4C7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-9.7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17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9F61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2CED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B29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0543F1" w:rsidRPr="000543F1" w14:paraId="3C42E40D" w14:textId="77777777" w:rsidTr="000543F1">
        <w:trPr>
          <w:trHeight w:val="1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CD1BB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C308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EA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1BC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B311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C88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4B63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-6.4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274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-3.5</w:t>
            </w:r>
          </w:p>
        </w:tc>
      </w:tr>
      <w:tr w:rsidR="000543F1" w:rsidRPr="000543F1" w14:paraId="39F36DE2" w14:textId="77777777" w:rsidTr="000543F1">
        <w:trPr>
          <w:trHeight w:val="14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399F7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6915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87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A0C6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FF7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64D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A7B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595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0543F1" w:rsidRPr="000543F1" w14:paraId="180C2A0A" w14:textId="77777777" w:rsidTr="000543F1">
        <w:trPr>
          <w:trHeight w:val="20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CB5B5B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8D3E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85E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65.5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4A4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4AB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344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0D4F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93.8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E8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57.2</w:t>
            </w:r>
          </w:p>
        </w:tc>
      </w:tr>
      <w:tr w:rsidR="000543F1" w:rsidRPr="000543F1" w14:paraId="5444BE00" w14:textId="77777777" w:rsidTr="000543F1">
        <w:trPr>
          <w:trHeight w:val="14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B57AF4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BAC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B6F5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-17.7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AD4F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CD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125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D97C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BD1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</w:tr>
      <w:tr w:rsidR="000543F1" w:rsidRPr="000543F1" w14:paraId="7A2EEC1F" w14:textId="77777777" w:rsidTr="000543F1">
        <w:trPr>
          <w:trHeight w:val="2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39F63D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861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DB51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47.3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81F4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36.8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5837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884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8D9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53.0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DDB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19.8</w:t>
            </w:r>
          </w:p>
        </w:tc>
      </w:tr>
      <w:tr w:rsidR="000543F1" w:rsidRPr="000543F1" w14:paraId="1E145705" w14:textId="77777777" w:rsidTr="000543F1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56821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3718B865" w14:textId="77777777" w:rsidR="000543F1" w:rsidRPr="000543F1" w:rsidRDefault="000543F1" w:rsidP="000543F1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BEA7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0543F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CDCD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10B9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270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4E1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463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53.0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91C6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19.8</w:t>
            </w:r>
          </w:p>
        </w:tc>
      </w:tr>
    </w:tbl>
    <w:p w14:paraId="0D5B10FE" w14:textId="77777777" w:rsidR="00A566BC" w:rsidRPr="00B64848" w:rsidRDefault="00A566BC" w:rsidP="00A566B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14:paraId="79A7A042" w14:textId="77777777" w:rsidR="00A566BC" w:rsidRPr="001570FE" w:rsidRDefault="00A566BC" w:rsidP="00A566B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2EBC08D3" w14:textId="77777777" w:rsidR="00A566BC" w:rsidRDefault="00A566BC" w:rsidP="00A566B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изгладени, 20</w:t>
      </w:r>
      <w:r w:rsidRPr="00C753ED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80" w:type="dxa"/>
        <w:tblInd w:w="5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697"/>
        <w:gridCol w:w="590"/>
        <w:gridCol w:w="690"/>
        <w:gridCol w:w="690"/>
        <w:gridCol w:w="747"/>
        <w:gridCol w:w="696"/>
        <w:gridCol w:w="709"/>
        <w:gridCol w:w="709"/>
        <w:gridCol w:w="67"/>
        <w:gridCol w:w="543"/>
        <w:gridCol w:w="700"/>
        <w:gridCol w:w="700"/>
        <w:gridCol w:w="700"/>
      </w:tblGrid>
      <w:tr w:rsidR="00A566BC" w:rsidRPr="000543F1" w14:paraId="7882B354" w14:textId="77777777" w:rsidTr="000543F1">
        <w:trPr>
          <w:trHeight w:val="2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270" w14:textId="77777777" w:rsidR="00A566BC" w:rsidRPr="000543F1" w:rsidRDefault="00A566BC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5016" w14:textId="77777777"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16F5" w14:textId="77777777"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543F1" w:rsidRPr="000543F1" w14:paraId="117C3FC4" w14:textId="77777777" w:rsidTr="000543F1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A74F" w14:textId="77777777" w:rsidR="000543F1" w:rsidRPr="000543F1" w:rsidRDefault="000543F1" w:rsidP="000543F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5D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0C3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943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D91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78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VIII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64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CA8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4E0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3A7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XII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4A6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42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F9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549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IV*</w:t>
            </w:r>
          </w:p>
        </w:tc>
      </w:tr>
      <w:tr w:rsidR="000543F1" w:rsidRPr="000543F1" w14:paraId="1CA6D17C" w14:textId="77777777" w:rsidTr="000543F1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A6FA2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D85E2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109.0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FB9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107.9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CC42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108.4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E5DE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109.3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DD7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111.3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16F8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113.0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1F8E1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F2B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1872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117.3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B159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119.9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6E8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120.3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58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126.6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CC4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126.0</w:t>
            </w:r>
          </w:p>
        </w:tc>
      </w:tr>
      <w:tr w:rsidR="000543F1" w:rsidRPr="000543F1" w14:paraId="1C66E82F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F5345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EA540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109.8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A5B7A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113.4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8457B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117.7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5E89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58ABE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1F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3160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9B2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F3A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123.3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818A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135.6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2B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4CA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141.6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5D05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118.5</w:t>
            </w:r>
          </w:p>
        </w:tc>
      </w:tr>
      <w:tr w:rsidR="000543F1" w:rsidRPr="000543F1" w14:paraId="1D52E0B0" w14:textId="77777777" w:rsidTr="000543F1">
        <w:trPr>
          <w:trHeight w:val="35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6249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6CD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84.9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4A8B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78.6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8A25A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84.8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D3BDD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74.3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73EE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97.5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A4A3D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E685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A76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CD2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112.5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1DD2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23C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F07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201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120.6</w:t>
            </w:r>
          </w:p>
        </w:tc>
      </w:tr>
      <w:tr w:rsidR="000543F1" w:rsidRPr="000543F1" w14:paraId="79FACD02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828600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5B5B1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C301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2FFEF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4D1B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FF76F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293E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70E00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67F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B55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78D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865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180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12BD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0F798995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97CEF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CDD7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9B78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1F1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144.4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A573A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119.7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29A0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140.2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EB8F2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E097A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ACA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CEF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135.4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753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E82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72E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39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103.2</w:t>
            </w:r>
          </w:p>
        </w:tc>
      </w:tr>
      <w:tr w:rsidR="000543F1" w:rsidRPr="000543F1" w14:paraId="40FCA272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FD00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D620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6A88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148.7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CBBF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142.1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E3693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146.5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83A3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135.5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D7A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80DD9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1849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023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146.4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55B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535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545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C9A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151.9</w:t>
            </w:r>
          </w:p>
        </w:tc>
      </w:tr>
      <w:tr w:rsidR="000543F1" w:rsidRPr="000543F1" w14:paraId="5C0F4784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0D1A5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A785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4E1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2089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DFFD1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FD47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B490E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7662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B7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3A6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7A3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404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FD08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F20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52EDC82A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3789D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C73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115.9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854D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114.8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B823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115.1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0389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115.2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828A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116.4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BD3F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50D54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3A19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2E0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121.0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3B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7547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24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128.3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97D6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132.5</w:t>
            </w:r>
          </w:p>
        </w:tc>
      </w:tr>
      <w:tr w:rsidR="000543F1" w:rsidRPr="000543F1" w14:paraId="4E26C641" w14:textId="77777777" w:rsidTr="000543F1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24DFF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B1692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1C46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AB83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110.6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8D01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40D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9869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DF01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00E3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99B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C2A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CEE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CFD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FCB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129.1</w:t>
            </w:r>
          </w:p>
        </w:tc>
      </w:tr>
      <w:tr w:rsidR="000543F1" w:rsidRPr="000543F1" w14:paraId="79C54B0C" w14:textId="77777777" w:rsidTr="000543F1">
        <w:trPr>
          <w:trHeight w:val="2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09A48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BA0D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66.8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6F68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64.6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D8F3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62.0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CCEF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66.9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D596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64.4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AFB8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B4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1E2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6A7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62.3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CB1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2475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CD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B61D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94.9</w:t>
            </w:r>
          </w:p>
        </w:tc>
      </w:tr>
      <w:tr w:rsidR="000543F1" w:rsidRPr="000543F1" w14:paraId="0B7CABB7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CF250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8B0B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B04B8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E34D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49.3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ECC5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104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35.8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9BB2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42.0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D4D5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CBD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69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26.9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FE2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EF2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05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F15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39.7</w:t>
            </w:r>
          </w:p>
        </w:tc>
      </w:tr>
      <w:tr w:rsidR="000543F1" w:rsidRPr="000543F1" w14:paraId="2435E07D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D450C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2C2FE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64E3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105.5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36E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881A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110.2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B41D4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125.3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4B6D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78166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1AD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136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129.7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551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AAC3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A76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156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118.5</w:t>
            </w:r>
          </w:p>
        </w:tc>
      </w:tr>
      <w:tr w:rsidR="000543F1" w:rsidRPr="000543F1" w14:paraId="34142669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1E25E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60A8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E1FA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69.5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2212D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69.5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926E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69.1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966E9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74.0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D8EA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F6FA9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E6E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ED04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77.4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851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F64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6379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629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87.1</w:t>
            </w:r>
          </w:p>
        </w:tc>
      </w:tr>
      <w:tr w:rsidR="000543F1" w:rsidRPr="000543F1" w14:paraId="29C11928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249E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A393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6227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70.1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9D08F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D8F0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71.9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4A1D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69.6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2564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03D39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B83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31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75.0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059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D69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E77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E28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76.3</w:t>
            </w:r>
          </w:p>
        </w:tc>
      </w:tr>
      <w:tr w:rsidR="000543F1" w:rsidRPr="000543F1" w14:paraId="63E8B9AF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EECB4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9420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6DB4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76A1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ACF34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84.2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FCDF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90.8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297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A4BF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1D78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BC3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88.5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18A7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582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01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2627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107.2</w:t>
            </w:r>
          </w:p>
        </w:tc>
      </w:tr>
      <w:tr w:rsidR="000543F1" w:rsidRPr="000543F1" w14:paraId="3794725A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866D5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DE7A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D99B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96.5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EA7F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AFA30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106.2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EF33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95D92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B97C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81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DC0D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07B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BFA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A6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1D20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107.6</w:t>
            </w:r>
          </w:p>
        </w:tc>
      </w:tr>
      <w:tr w:rsidR="000543F1" w:rsidRPr="000543F1" w14:paraId="20AF475E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F3A58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23480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DF4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110.0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53D4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CC0B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9B98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125.9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0EEE0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E135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4B5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24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223D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E7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2A1F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D74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121.0</w:t>
            </w:r>
          </w:p>
        </w:tc>
      </w:tr>
      <w:tr w:rsidR="000543F1" w:rsidRPr="000543F1" w14:paraId="65E4E855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51A2E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4971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55FB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4D96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4FE9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A6B25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510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7DD1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AB39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C28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853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9C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9ED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2B0C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0543F1" w:rsidRPr="000543F1" w14:paraId="5E5AFA1E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1F280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E85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F767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010AB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5445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B44A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5712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724D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E4B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922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140.9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987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F2DF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6E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5961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129.9</w:t>
            </w:r>
          </w:p>
        </w:tc>
      </w:tr>
      <w:tr w:rsidR="000543F1" w:rsidRPr="000543F1" w14:paraId="767357B2" w14:textId="77777777" w:rsidTr="000543F1">
        <w:trPr>
          <w:trHeight w:val="1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3A38F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88DC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33B7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E3FD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3161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3FA3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132.0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D2620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08594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6AAE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2D4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124.7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488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11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5E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310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127.3</w:t>
            </w:r>
          </w:p>
        </w:tc>
      </w:tr>
      <w:tr w:rsidR="000543F1" w:rsidRPr="000543F1" w14:paraId="1CD05007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84CA9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A1D91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3390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149.1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89F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150.4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3934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A2CAA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151.8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44A3E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FF8D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D42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AEA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146.2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891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652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DA5C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422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149.5</w:t>
            </w:r>
          </w:p>
        </w:tc>
      </w:tr>
      <w:tr w:rsidR="000543F1" w:rsidRPr="000543F1" w14:paraId="29933179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ADF4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75871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CF3A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BDCC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98D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EE26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123.8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936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F1A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96EA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640F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8D1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350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115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D88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131.7</w:t>
            </w:r>
          </w:p>
        </w:tc>
      </w:tr>
      <w:tr w:rsidR="000543F1" w:rsidRPr="000543F1" w14:paraId="3278FBE7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DDA98E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BE61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754A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6E3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0805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94.1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9ADE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96.0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063C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8FED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DB0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6E0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4EF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878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962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A1F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115.1</w:t>
            </w:r>
          </w:p>
        </w:tc>
      </w:tr>
      <w:tr w:rsidR="000543F1" w:rsidRPr="000543F1" w14:paraId="19AD0E15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48FAD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8D9F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134.6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F4ED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132.4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18E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5636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133.6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D44F6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7C19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BAD0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DAB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EF0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1A06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C78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EB1C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2B9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183.5</w:t>
            </w:r>
          </w:p>
        </w:tc>
      </w:tr>
      <w:tr w:rsidR="000543F1" w:rsidRPr="000543F1" w14:paraId="5DE47E91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20762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2069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204.8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33CA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215.1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DA80D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209.9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CF44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213.2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D2C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224.3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9663C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7F64B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278.7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8D2D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268.7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D920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205.4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8873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80C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549B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25A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285.8</w:t>
            </w:r>
          </w:p>
        </w:tc>
      </w:tr>
      <w:tr w:rsidR="000543F1" w:rsidRPr="000543F1" w14:paraId="08AD2644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7245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482A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431D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154.2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9707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150.4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C006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147.0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98A8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148.9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C5102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0A56B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093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6A0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150.9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1C54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A8E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C43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157.7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B50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164.6</w:t>
            </w:r>
          </w:p>
        </w:tc>
      </w:tr>
      <w:tr w:rsidR="000543F1" w:rsidRPr="000543F1" w14:paraId="79F47E35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1A3CA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5793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110.8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D7FE2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D3F5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B2953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1223F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A6E3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2B8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357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9D62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D71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FF65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BD9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88DC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131.3</w:t>
            </w:r>
          </w:p>
        </w:tc>
      </w:tr>
      <w:tr w:rsidR="000543F1" w:rsidRPr="000543F1" w14:paraId="114B5EBE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AB2D0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A9D4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0336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C0363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134.5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EC4F8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119.3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B45B7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144.9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26BC0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0733E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E28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A10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153.7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40D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E2DC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DAD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CA3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135.4</w:t>
            </w:r>
          </w:p>
        </w:tc>
      </w:tr>
      <w:tr w:rsidR="000543F1" w:rsidRPr="000543F1" w14:paraId="55981D0A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7E678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5785D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233.6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60E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5CE13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264.7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94FB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258.5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379D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190.2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70C7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5403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227.2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E414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D1F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257.3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6E1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206.9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23A8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240.8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F0E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DAE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228.1</w:t>
            </w:r>
          </w:p>
        </w:tc>
      </w:tr>
      <w:tr w:rsidR="000543F1" w:rsidRPr="000543F1" w14:paraId="272AE2CF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9EFC0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7418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9BF9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104.1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98051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8C35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107.3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99A1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102.2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A6AB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D6F4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235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F3A8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103.7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38F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118.4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39C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EC7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906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111.9</w:t>
            </w:r>
          </w:p>
        </w:tc>
      </w:tr>
      <w:tr w:rsidR="000543F1" w:rsidRPr="000543F1" w14:paraId="7B6F37FA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BE58F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267E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49EC2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116.0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741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128.4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300E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140.8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F75FE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150.3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64E9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170.2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11F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0053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176.2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37B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201.3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2068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179.4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3D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185.4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6AC1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A30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216.5</w:t>
            </w:r>
          </w:p>
        </w:tc>
      </w:tr>
      <w:tr w:rsidR="000543F1" w:rsidRPr="000543F1" w14:paraId="65154A89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37C5C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6DB9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107.4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4228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112.0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CD5EA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105.8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3E1FC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101.0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173C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108.1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3CDC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121.2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AD48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88C4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A209D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06F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389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41DE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BA06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114.8</w:t>
            </w:r>
          </w:p>
        </w:tc>
      </w:tr>
      <w:tr w:rsidR="000543F1" w:rsidRPr="000543F1" w14:paraId="2037865A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94FBE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5346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81.4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7D0A6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79.2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C2E7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78.8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08ED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87.8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47345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88.9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6FB8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B4ABE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F54C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5CF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98.7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4CB0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0CC2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158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119.9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5F44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43F1">
              <w:rPr>
                <w:rFonts w:ascii="Times New Roman" w:hAnsi="Times New Roman"/>
                <w:b/>
                <w:sz w:val="18"/>
                <w:szCs w:val="18"/>
              </w:rPr>
              <w:t>96.0</w:t>
            </w:r>
          </w:p>
        </w:tc>
      </w:tr>
      <w:tr w:rsidR="000543F1" w:rsidRPr="000543F1" w14:paraId="299A47CC" w14:textId="77777777" w:rsidTr="000543F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9EB96" w14:textId="77777777" w:rsidR="000543F1" w:rsidRPr="000543F1" w:rsidRDefault="000543F1" w:rsidP="000543F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3F988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A83D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79.2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106C1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78.8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CFBAB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87.8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FBBF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88.9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BD63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E4E43F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54BE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E96A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98.7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02AB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94.6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E349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3D77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119.9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9BED2" w14:textId="77777777" w:rsidR="000543F1" w:rsidRPr="000543F1" w:rsidRDefault="000543F1" w:rsidP="000543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43F1">
              <w:rPr>
                <w:rFonts w:ascii="Times New Roman" w:hAnsi="Times New Roman"/>
                <w:sz w:val="18"/>
                <w:szCs w:val="18"/>
              </w:rPr>
              <w:t>96.0</w:t>
            </w:r>
          </w:p>
        </w:tc>
      </w:tr>
    </w:tbl>
    <w:p w14:paraId="1EC117DB" w14:textId="77777777" w:rsidR="00381FF0" w:rsidRDefault="00381FF0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14:paraId="70BCEF9E" w14:textId="77777777" w:rsidR="00B453DE" w:rsidRPr="00B64848" w:rsidRDefault="00B453DE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14:paraId="1B41700B" w14:textId="77777777" w:rsidR="00B453DE" w:rsidRPr="007D109E" w:rsidRDefault="00B453DE" w:rsidP="00B453DE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38742259" w14:textId="77777777" w:rsidR="00B453DE" w:rsidRDefault="00B453DE" w:rsidP="00B453DE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изгладени,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787" w:type="dxa"/>
        <w:tblInd w:w="-21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660"/>
        <w:gridCol w:w="660"/>
        <w:gridCol w:w="668"/>
        <w:gridCol w:w="668"/>
        <w:gridCol w:w="620"/>
        <w:gridCol w:w="700"/>
        <w:gridCol w:w="708"/>
        <w:gridCol w:w="567"/>
        <w:gridCol w:w="709"/>
        <w:gridCol w:w="567"/>
        <w:gridCol w:w="567"/>
        <w:gridCol w:w="709"/>
        <w:gridCol w:w="689"/>
        <w:gridCol w:w="684"/>
        <w:gridCol w:w="610"/>
      </w:tblGrid>
      <w:tr w:rsidR="00F75581" w:rsidRPr="007943B5" w14:paraId="6DA07857" w14:textId="77777777" w:rsidTr="00F75581">
        <w:trPr>
          <w:trHeight w:val="31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8DB1" w14:textId="77777777" w:rsidR="00F75581" w:rsidRPr="007943B5" w:rsidRDefault="00F75581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A594" w14:textId="77777777" w:rsidR="00F75581" w:rsidRPr="007943B5" w:rsidRDefault="00F75581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F648" w14:textId="77777777" w:rsidR="00F75581" w:rsidRPr="007943B5" w:rsidRDefault="00F75581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5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7FD" w14:textId="77777777" w:rsidR="00F75581" w:rsidRPr="007943B5" w:rsidRDefault="00F75581" w:rsidP="00F755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AF6" w14:textId="77777777" w:rsidR="00F75581" w:rsidRPr="007943B5" w:rsidRDefault="00F75581" w:rsidP="00F755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755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2022</w:t>
            </w:r>
          </w:p>
        </w:tc>
      </w:tr>
      <w:tr w:rsidR="007943B5" w:rsidRPr="007943B5" w14:paraId="3585F17D" w14:textId="77777777" w:rsidTr="0090371D">
        <w:trPr>
          <w:trHeight w:val="315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8DCD" w14:textId="77777777" w:rsidR="007943B5" w:rsidRPr="007943B5" w:rsidRDefault="007943B5" w:rsidP="007943B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D66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FA9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768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122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FD9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9C3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F9E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39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FBD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512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36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2C3" w14:textId="77777777" w:rsidR="007943B5" w:rsidRPr="00F75581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55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779" w14:textId="77777777" w:rsidR="007943B5" w:rsidRPr="00F75581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55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957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88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IV*</w:t>
            </w:r>
          </w:p>
        </w:tc>
      </w:tr>
      <w:tr w:rsidR="007943B5" w:rsidRPr="007943B5" w14:paraId="3D88833B" w14:textId="77777777" w:rsidTr="007943B5">
        <w:trPr>
          <w:trHeight w:val="594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E0F37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AA3C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103.1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A0E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86.4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535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105.4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555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102.4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07D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110.1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16CE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112.2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347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106.6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4D0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66A3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F4A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122.8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C24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902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116.1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B04C3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114.6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BE7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133.1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7E9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123.2</w:t>
            </w:r>
          </w:p>
        </w:tc>
      </w:tr>
      <w:tr w:rsidR="007943B5" w:rsidRPr="007943B5" w14:paraId="12F2F545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1F4B92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F16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89.4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2D0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97.2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1DE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101.8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7899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106.0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D3E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DFB7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3C0F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B64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510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8E6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134.1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5C25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50C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132.6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F0C0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123.8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924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137.9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B16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109.0</w:t>
            </w:r>
          </w:p>
        </w:tc>
      </w:tr>
      <w:tr w:rsidR="007943B5" w:rsidRPr="007943B5" w14:paraId="69813688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0FAB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BE0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57.6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0FC0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64.5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0487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66.9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ED7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61.0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B240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9D7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FA9C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54E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5BE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136.0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0D3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23E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AA8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144.1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69448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135.0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5D09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144.4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446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101.9</w:t>
            </w:r>
          </w:p>
        </w:tc>
      </w:tr>
      <w:tr w:rsidR="007943B5" w:rsidRPr="007943B5" w14:paraId="11F73E3C" w14:textId="77777777" w:rsidTr="007943B5">
        <w:trPr>
          <w:trHeight w:val="234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E1F0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9888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89DA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096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77AC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F135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6D18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0A30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F08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937B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34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B50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CBA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3F93C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EA4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378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7943B5" w:rsidRPr="007943B5" w14:paraId="636A6349" w14:textId="77777777" w:rsidTr="007943B5">
        <w:trPr>
          <w:trHeight w:val="24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B4CB3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651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116.4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5ED9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132.2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99F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A346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8480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0FA4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D802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A51A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51E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B82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651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464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74DAB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118.2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88E8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B34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103.2</w:t>
            </w:r>
          </w:p>
        </w:tc>
      </w:tr>
      <w:tr w:rsidR="007943B5" w:rsidRPr="007943B5" w14:paraId="4085C6A2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FE614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38B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98.4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F88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87.7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65D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143.8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C497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152.7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013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C61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841A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1B2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7FB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BF78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2E4E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785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110.8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29763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5F2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154.3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AF0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148.0</w:t>
            </w:r>
          </w:p>
        </w:tc>
      </w:tr>
      <w:tr w:rsidR="007943B5" w:rsidRPr="007943B5" w14:paraId="6B90D06D" w14:textId="77777777" w:rsidTr="007943B5">
        <w:trPr>
          <w:trHeight w:val="2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210F0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AA1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2B9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6332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C14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621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9CC2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449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47A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8F5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C29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0D7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CDDC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93FB0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DAB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678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7943B5" w:rsidRPr="007943B5" w14:paraId="6F008DCF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98E7C0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F77D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112.3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F4D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90.9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F6FC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114.3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95D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112.9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E2D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8FE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E6E4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A62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6E9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DF8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8F1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36E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115.1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43DAF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117.4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430C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133.8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8C9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134.7</w:t>
            </w:r>
          </w:p>
        </w:tc>
      </w:tr>
      <w:tr w:rsidR="007943B5" w:rsidRPr="007943B5" w14:paraId="29F644DD" w14:textId="77777777" w:rsidTr="007943B5">
        <w:trPr>
          <w:trHeight w:val="298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4D3710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13D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102.6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3ED5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94.6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4B8A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110.5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082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113.0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955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B25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E8D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DC3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039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C15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591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16E1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D9650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EDB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C74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123.2</w:t>
            </w:r>
          </w:p>
        </w:tc>
      </w:tr>
      <w:tr w:rsidR="007943B5" w:rsidRPr="007943B5" w14:paraId="778E848A" w14:textId="77777777" w:rsidTr="007943B5">
        <w:trPr>
          <w:trHeight w:val="14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CAA19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7CC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102.0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26F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76.8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22C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61.3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6FDF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67.3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A00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FD1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3F6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7F5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25C2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5B0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294E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4EF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C320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59.9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8963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80.9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2A4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87.2</w:t>
            </w:r>
          </w:p>
        </w:tc>
      </w:tr>
      <w:tr w:rsidR="007943B5" w:rsidRPr="007943B5" w14:paraId="5D9ED86F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7FA7A8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FA5E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47.4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9E6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44.0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7A97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44.8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CCC8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A3B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936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7E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820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44.7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2A0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9CA9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D2B3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BCB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20.6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CA57A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16AB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35.7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818D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45.7</w:t>
            </w:r>
          </w:p>
        </w:tc>
      </w:tr>
      <w:tr w:rsidR="007943B5" w:rsidRPr="007943B5" w14:paraId="5510B05A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207B9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FF2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91.8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039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82.7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955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51E4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114.6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0E7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E8A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D77C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0C2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D52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135.8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8D9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8BB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8442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FC318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117.7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4D2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08D7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118.8</w:t>
            </w:r>
          </w:p>
        </w:tc>
      </w:tr>
      <w:tr w:rsidR="007943B5" w:rsidRPr="007943B5" w14:paraId="3EF8DD8D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A5285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CB2C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77.2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421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61.9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E847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64.5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728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61.4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20F0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D6D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77A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3672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332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D811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F3D1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718A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19D08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78.6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A42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AB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81.4</w:t>
            </w:r>
          </w:p>
        </w:tc>
      </w:tr>
      <w:tr w:rsidR="007943B5" w:rsidRPr="007943B5" w14:paraId="21E30FEC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83A9E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BBC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85.5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AF3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59.3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965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70.7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C4F4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C99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81A5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7966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56.9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F81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2C5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6A6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F41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80E2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345A7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77.5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699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73.2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B8C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70.3</w:t>
            </w:r>
          </w:p>
        </w:tc>
      </w:tr>
      <w:tr w:rsidR="007943B5" w:rsidRPr="007943B5" w14:paraId="2F41864C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E69213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A55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ABF0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57.2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FF62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39C0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91.3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5CB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AE1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9A69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98AF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5B6F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193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74B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A3B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81.0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A47A6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84.5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698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5A8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107.6</w:t>
            </w:r>
          </w:p>
        </w:tc>
      </w:tr>
      <w:tr w:rsidR="007943B5" w:rsidRPr="007943B5" w14:paraId="2560FC5E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9CD53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6E06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99.4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D091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89.8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BB6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96.8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7A3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95.4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9BD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4727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976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FF2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E9A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9FEE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44C6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70D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103.7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BEFB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101.2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5D7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D4A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106.1</w:t>
            </w:r>
          </w:p>
        </w:tc>
      </w:tr>
      <w:tr w:rsidR="007943B5" w:rsidRPr="007943B5" w14:paraId="25E35AC0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E5DDF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DE9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677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79.5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5E0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113.1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20E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79E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8D5B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566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783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20B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BA1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FBF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DC4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108.3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61283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102.6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0CE6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118.7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FC8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119.5</w:t>
            </w:r>
          </w:p>
        </w:tc>
      </w:tr>
      <w:tr w:rsidR="007943B5" w:rsidRPr="007943B5" w14:paraId="1365A837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1D48D3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8EA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B23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23D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3DC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CDB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DDE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6FC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C760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5FC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690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F90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660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F0FB0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A3FF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929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7943B5" w:rsidRPr="007943B5" w14:paraId="2E1568F0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F2F509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F36C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116.3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6633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111.7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806E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102.0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E677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66D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D2B9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E48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68F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7AC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133.1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8277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C28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1ED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145.5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4D2D5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141.1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2E5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158.7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4B6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127.7</w:t>
            </w:r>
          </w:p>
        </w:tc>
      </w:tr>
      <w:tr w:rsidR="007943B5" w:rsidRPr="007943B5" w14:paraId="18A8DDE8" w14:textId="77777777" w:rsidTr="007943B5">
        <w:trPr>
          <w:trHeight w:val="246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793B6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5C6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7802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130.9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725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110.2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533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362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85F0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2CE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981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CF8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DBA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B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987B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121.4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1802D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101.5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EFD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DCB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128.1</w:t>
            </w:r>
          </w:p>
        </w:tc>
      </w:tr>
      <w:tr w:rsidR="007943B5" w:rsidRPr="007943B5" w14:paraId="503ACEBD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5DD62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B2B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137.0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8216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115.8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73CE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147.5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F9F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145.4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B00A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3F04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60B9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8F6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60DD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77E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86E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9400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142.6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6A21A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143.4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376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CFAB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144.7</w:t>
            </w:r>
          </w:p>
        </w:tc>
      </w:tr>
      <w:tr w:rsidR="007943B5" w:rsidRPr="007943B5" w14:paraId="7C64B540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1A1275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FEA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1E2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4E32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114.4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74B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840C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FF0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056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4A0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5B6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A5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0CEC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2EB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95.1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6E1A2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F6DC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2D93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135.2</w:t>
            </w:r>
          </w:p>
        </w:tc>
      </w:tr>
      <w:tr w:rsidR="007943B5" w:rsidRPr="007943B5" w14:paraId="50BDDBEE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A4C04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3015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D9F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102.4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1FE1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123.3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DDA5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106.6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7D4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94D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D9D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EFD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B43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7C3D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167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554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1774C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117.3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F22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17F5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120.2</w:t>
            </w:r>
          </w:p>
        </w:tc>
      </w:tr>
      <w:tr w:rsidR="007943B5" w:rsidRPr="007943B5" w14:paraId="6552ED77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B1853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0D9F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114.0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440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98.9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C1B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130.9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B695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C1F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F0EE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98A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762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233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D04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3E39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3A1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97.2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13CE6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24E0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126.7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A7F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185.7</w:t>
            </w:r>
          </w:p>
        </w:tc>
      </w:tr>
      <w:tr w:rsidR="007943B5" w:rsidRPr="007943B5" w14:paraId="579D9CE5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6CE66B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57D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148.5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72B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137.4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161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198.0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9BD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205.3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3EC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216.4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30A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969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197.0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D4C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FA8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311.5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8138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300.8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4A9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207.7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D0C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245.8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B0820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225.1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8E4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260.3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DD8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283.4</w:t>
            </w:r>
          </w:p>
        </w:tc>
      </w:tr>
      <w:tr w:rsidR="007943B5" w:rsidRPr="007943B5" w14:paraId="243314B2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8EC02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FB5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131.6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1B8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108.1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678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156.8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BA38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147.2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E153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157.6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B34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6B8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17D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B8B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96EF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159.4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B01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6FD1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146.2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A8C8B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152.2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9723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165.8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ADE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165.1</w:t>
            </w:r>
          </w:p>
        </w:tc>
      </w:tr>
      <w:tr w:rsidR="007943B5" w:rsidRPr="007943B5" w14:paraId="0C7B9D6F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ADC1F6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D74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A1A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81.0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410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114.2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0A0F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108.0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5F1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C0D3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97C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A29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BF7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2A0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FE4D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640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119.6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BE6D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124.0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837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139.0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89B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135.7</w:t>
            </w:r>
          </w:p>
        </w:tc>
      </w:tr>
      <w:tr w:rsidR="007943B5" w:rsidRPr="007943B5" w14:paraId="78DAF999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537544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AD5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153.4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9EE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37.3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EC4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ADF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BE9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62E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F1D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622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1E6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292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CD0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7C2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136.0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DCD2B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151.9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80B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165.9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604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134.4</w:t>
            </w:r>
          </w:p>
        </w:tc>
      </w:tr>
      <w:tr w:rsidR="007943B5" w:rsidRPr="007943B5" w14:paraId="3D504EFB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A66E2D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771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166.1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40F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182.3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3A3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258.3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6041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188.8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963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287.0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584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250.0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BB5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9B0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536E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225.6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3FB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230.8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316A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1A9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185.8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20251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259.8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92D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237.6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E1E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249.3</w:t>
            </w:r>
          </w:p>
        </w:tc>
      </w:tr>
      <w:tr w:rsidR="007943B5" w:rsidRPr="007943B5" w14:paraId="3CE452F4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2DAE2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3F8E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94.4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17A5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64.6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FE23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100.3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BDD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100.5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854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CA68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CFA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D5C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0C48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666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8AE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FDA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106.8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32CC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107.9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E07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118.5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6AA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106.0</w:t>
            </w:r>
          </w:p>
        </w:tc>
      </w:tr>
      <w:tr w:rsidR="007943B5" w:rsidRPr="007943B5" w14:paraId="14DDCA48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F27E5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3A1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131.4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12D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71.5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B7F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4E2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111.4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7F69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BFE4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F57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9FB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16B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142.5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BC34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192.8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EE2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182.8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0738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159.9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1D240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166.9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623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217.5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600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211.6</w:t>
            </w:r>
          </w:p>
        </w:tc>
      </w:tr>
      <w:tr w:rsidR="007943B5" w:rsidRPr="007943B5" w14:paraId="5B3160A9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88D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72C2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125.0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F60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97.7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71E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96.5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2CD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103.7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0FDA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D18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C56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4552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13A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E14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2455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156.3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120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81.0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61D1E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100.7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A2C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134.1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4D1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102.9</w:t>
            </w:r>
          </w:p>
        </w:tc>
      </w:tr>
      <w:tr w:rsidR="007943B5" w:rsidRPr="007943B5" w14:paraId="09CC3B58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562B48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7349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73.1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1B2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64.8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FF1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71.8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9BB9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62.8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F2E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66.9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7AF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81.8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F5B3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4837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F88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1D81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ABE2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681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117.3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3C067B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100.9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8B8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133.7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A037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943B5">
              <w:rPr>
                <w:rFonts w:ascii="Times New Roman" w:hAnsi="Times New Roman"/>
                <w:b/>
                <w:sz w:val="18"/>
                <w:szCs w:val="18"/>
              </w:rPr>
              <w:t>86.1</w:t>
            </w:r>
          </w:p>
        </w:tc>
      </w:tr>
      <w:tr w:rsidR="007943B5" w:rsidRPr="007943B5" w14:paraId="190188D7" w14:textId="77777777" w:rsidTr="007943B5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0D5EE1" w14:textId="77777777" w:rsidR="007943B5" w:rsidRPr="007943B5" w:rsidRDefault="007943B5" w:rsidP="007943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DDB9E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73.1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F1C3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AE97D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71.8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C230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62.8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630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66.9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4F04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401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DB081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2706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99.5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AC2B5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C761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3BA0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117.3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1E2DAF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100.9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7422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133.7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02DC" w14:textId="77777777" w:rsidR="007943B5" w:rsidRPr="007943B5" w:rsidRDefault="007943B5" w:rsidP="007943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943B5">
              <w:rPr>
                <w:rFonts w:ascii="Times New Roman" w:hAnsi="Times New Roman"/>
                <w:sz w:val="18"/>
                <w:szCs w:val="18"/>
              </w:rPr>
              <w:t>86.1</w:t>
            </w:r>
          </w:p>
        </w:tc>
      </w:tr>
    </w:tbl>
    <w:p w14:paraId="6AEB6E8E" w14:textId="77777777"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FD25" w14:textId="77777777" w:rsidR="00553258" w:rsidRDefault="00553258">
      <w:r>
        <w:separator/>
      </w:r>
    </w:p>
  </w:endnote>
  <w:endnote w:type="continuationSeparator" w:id="0">
    <w:p w14:paraId="248880E3" w14:textId="77777777" w:rsidR="00553258" w:rsidRDefault="0055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9684" w14:textId="77777777" w:rsidR="00615CC2" w:rsidRDefault="00615CC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53D2" w14:textId="77777777" w:rsidR="00615CC2" w:rsidRDefault="00615CC2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C291B7C" wp14:editId="50106E4A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97C2E" w14:textId="77777777" w:rsidR="00615CC2" w:rsidRPr="00F46FE0" w:rsidRDefault="00615CC2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3F8DD304" w14:textId="77777777" w:rsidR="00615CC2" w:rsidRDefault="00615CC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7943B5" w:rsidRPr="00F46FE0" w:rsidRDefault="007943B5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7943B5" w:rsidRDefault="007943B5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163EBAB" wp14:editId="1154D05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675D1E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DC995E8" wp14:editId="3988F299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D3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CFA13C" wp14:editId="196969D8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A6C39" w14:textId="77777777" w:rsidR="00615CC2" w:rsidRPr="009279C3" w:rsidRDefault="00615CC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7558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:rsidR="00615CC2" w:rsidRPr="009279C3" w:rsidRDefault="00615CC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7558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7C0E3E49" wp14:editId="497866E9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2B10E42B" wp14:editId="420E1233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0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43FA" w14:textId="77777777" w:rsidR="00615CC2" w:rsidRDefault="00615CC2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4B6125" wp14:editId="49DAAA26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AF27C" w14:textId="77777777" w:rsidR="00615CC2" w:rsidRPr="00F46FE0" w:rsidRDefault="00615CC2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EC565C6" w14:textId="77777777" w:rsidR="00615CC2" w:rsidRDefault="00615CC2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7943B5" w:rsidRPr="00F46FE0" w:rsidRDefault="007943B5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7943B5" w:rsidRDefault="007943B5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BE483F" wp14:editId="72E68DEC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439F0B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DF8C4D" wp14:editId="4816194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0A5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12D562B6" wp14:editId="1F389B63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2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9ADF271" wp14:editId="013AAB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3134D" w14:textId="77777777" w:rsidR="00615CC2" w:rsidRPr="009279C3" w:rsidRDefault="00615CC2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75581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:rsidR="00615CC2" w:rsidRPr="009279C3" w:rsidRDefault="00615CC2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75581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81EF" w14:textId="77777777" w:rsidR="00553258" w:rsidRDefault="00553258">
      <w:r>
        <w:separator/>
      </w:r>
    </w:p>
  </w:footnote>
  <w:footnote w:type="continuationSeparator" w:id="0">
    <w:p w14:paraId="47B6B6B4" w14:textId="77777777" w:rsidR="00553258" w:rsidRDefault="00553258">
      <w:r>
        <w:continuationSeparator/>
      </w:r>
    </w:p>
  </w:footnote>
  <w:footnote w:id="1">
    <w:p w14:paraId="42DF72A8" w14:textId="77777777" w:rsidR="00615CC2" w:rsidRPr="00566B98" w:rsidRDefault="00615CC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 xml:space="preserve">Данните за </w:t>
      </w:r>
      <w:r>
        <w:rPr>
          <w:lang w:val="bg-BG"/>
        </w:rPr>
        <w:t>април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март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113E742C" w14:textId="77777777" w:rsidR="00615CC2" w:rsidRPr="00566B98" w:rsidRDefault="00615CC2" w:rsidP="000F0477">
      <w:pPr>
        <w:pStyle w:val="FootnoteText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3">
    <w:p w14:paraId="23FB7276" w14:textId="77777777" w:rsidR="00615CC2" w:rsidRPr="00566B98" w:rsidRDefault="00615CC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0062CE5F" w14:textId="77777777" w:rsidR="00615CC2" w:rsidRPr="00566B98" w:rsidRDefault="00615CC2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4">
    <w:p w14:paraId="6993BA26" w14:textId="77777777" w:rsidR="00615CC2" w:rsidRPr="004D3A1B" w:rsidRDefault="00615CC2" w:rsidP="000F0477">
      <w:pPr>
        <w:autoSpaceDE w:val="0"/>
        <w:autoSpaceDN w:val="0"/>
        <w:adjustRightInd w:val="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63592104" w14:textId="77777777" w:rsidR="00615CC2" w:rsidRPr="00F75581" w:rsidRDefault="00615CC2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F7558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75581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6D547D2D" w14:textId="77777777" w:rsidR="00615CC2" w:rsidRPr="00F75581" w:rsidRDefault="00615CC2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F75581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5D5328AC" w14:textId="77777777" w:rsidR="00615CC2" w:rsidRPr="00F75581" w:rsidRDefault="00615CC2" w:rsidP="000F0477">
      <w:pPr>
        <w:jc w:val="both"/>
        <w:rPr>
          <w:sz w:val="18"/>
          <w:szCs w:val="18"/>
          <w:lang w:val="bg-BG"/>
        </w:rPr>
      </w:pPr>
      <w:r w:rsidRPr="00F75581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5A4C3C1A" w14:textId="77777777" w:rsidR="00615CC2" w:rsidRPr="00F75581" w:rsidRDefault="00615CC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F75581">
        <w:rPr>
          <w:rStyle w:val="FootnoteReference"/>
          <w:sz w:val="18"/>
          <w:szCs w:val="18"/>
        </w:rPr>
        <w:footnoteRef/>
      </w:r>
      <w:r w:rsidRPr="00F75581">
        <w:rPr>
          <w:sz w:val="18"/>
          <w:szCs w:val="18"/>
          <w:lang w:val="bg-BG"/>
        </w:rPr>
        <w:t xml:space="preserve"> Календарно изгладени данни.</w:t>
      </w:r>
    </w:p>
    <w:p w14:paraId="39AAA7AF" w14:textId="77777777" w:rsidR="00615CC2" w:rsidRPr="00F75581" w:rsidRDefault="00615CC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F75581">
        <w:rPr>
          <w:sz w:val="18"/>
          <w:szCs w:val="18"/>
          <w:lang w:val="bg-BG"/>
        </w:rPr>
        <w:t>* Предварителни данни.</w:t>
      </w:r>
    </w:p>
    <w:p w14:paraId="62EFB02D" w14:textId="77777777" w:rsidR="00615CC2" w:rsidRPr="00F75581" w:rsidRDefault="00615CC2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F75581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204692C1" w14:textId="77777777" w:rsidR="00615CC2" w:rsidRPr="00F75581" w:rsidRDefault="00615CC2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F75581">
        <w:rPr>
          <w:sz w:val="18"/>
          <w:szCs w:val="18"/>
          <w:lang w:val="bg-BG"/>
        </w:rPr>
        <w:t>* Предварителни данни.</w:t>
      </w:r>
    </w:p>
    <w:p w14:paraId="4E78B8E0" w14:textId="77777777" w:rsidR="00615CC2" w:rsidRPr="00F75581" w:rsidRDefault="00615CC2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F75581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08593D26" w14:textId="77777777" w:rsidR="00615CC2" w:rsidRPr="00F75581" w:rsidRDefault="00615CC2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F75581">
        <w:rPr>
          <w:sz w:val="18"/>
          <w:szCs w:val="18"/>
          <w:lang w:val="bg-BG"/>
        </w:rPr>
        <w:t>* Предварителни данни.</w:t>
      </w:r>
    </w:p>
    <w:p w14:paraId="628B9120" w14:textId="77777777" w:rsidR="00615CC2" w:rsidRPr="00F75581" w:rsidRDefault="00615CC2" w:rsidP="00B453DE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F75581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81D3" w14:textId="77777777" w:rsidR="00615CC2" w:rsidRPr="00C1500E" w:rsidRDefault="00615CC2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0C656B" wp14:editId="089B9390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B9E2340" w14:textId="77777777" w:rsidR="00615CC2" w:rsidRPr="00F46FE0" w:rsidRDefault="00615CC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6CBB2AB6" w14:textId="77777777" w:rsidR="00615CC2" w:rsidRPr="00F46FE0" w:rsidRDefault="00615CC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7943B5" w:rsidRPr="00F46FE0" w:rsidRDefault="007943B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7943B5" w:rsidRPr="00F46FE0" w:rsidRDefault="007943B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378BF0C" wp14:editId="5A4610F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8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06ADC0" wp14:editId="1444718C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B43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0C4D6B0" wp14:editId="3A6CD4B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A77CE00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7427" w14:textId="77777777" w:rsidR="00615CC2" w:rsidRPr="00257470" w:rsidRDefault="00615CC2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DCFA6E" wp14:editId="288027E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D95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869504" wp14:editId="610F8FB8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636CCA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D097ACF" wp14:editId="5FB91F6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B47795" w14:textId="77777777" w:rsidR="00615CC2" w:rsidRPr="00F46FE0" w:rsidRDefault="00615CC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25C6DD7" w14:textId="77777777" w:rsidR="00615CC2" w:rsidRPr="00F46FE0" w:rsidRDefault="00615CC2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7943B5" w:rsidRPr="00F46FE0" w:rsidRDefault="007943B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7943B5" w:rsidRPr="00F46FE0" w:rsidRDefault="007943B5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BF79CB2" wp14:editId="45433B6B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12ECD"/>
    <w:rsid w:val="000250FE"/>
    <w:rsid w:val="000269FC"/>
    <w:rsid w:val="000410DA"/>
    <w:rsid w:val="0004689C"/>
    <w:rsid w:val="000543F1"/>
    <w:rsid w:val="0006099B"/>
    <w:rsid w:val="00067D42"/>
    <w:rsid w:val="00084297"/>
    <w:rsid w:val="000A2FF3"/>
    <w:rsid w:val="000A7C80"/>
    <w:rsid w:val="000B4B74"/>
    <w:rsid w:val="000C6C76"/>
    <w:rsid w:val="000E6263"/>
    <w:rsid w:val="000F0477"/>
    <w:rsid w:val="000F35B8"/>
    <w:rsid w:val="000F4775"/>
    <w:rsid w:val="001001A3"/>
    <w:rsid w:val="001212FB"/>
    <w:rsid w:val="00121BD6"/>
    <w:rsid w:val="00134C5A"/>
    <w:rsid w:val="0014731F"/>
    <w:rsid w:val="001615DA"/>
    <w:rsid w:val="00176BDC"/>
    <w:rsid w:val="00183D16"/>
    <w:rsid w:val="00187C6F"/>
    <w:rsid w:val="001930E0"/>
    <w:rsid w:val="00195DBD"/>
    <w:rsid w:val="001A7727"/>
    <w:rsid w:val="001B2ACD"/>
    <w:rsid w:val="001B4126"/>
    <w:rsid w:val="001C1BD4"/>
    <w:rsid w:val="001D35F1"/>
    <w:rsid w:val="001D4B8A"/>
    <w:rsid w:val="001D6C96"/>
    <w:rsid w:val="001E5A5E"/>
    <w:rsid w:val="0020169D"/>
    <w:rsid w:val="00201BE6"/>
    <w:rsid w:val="002115CA"/>
    <w:rsid w:val="00221000"/>
    <w:rsid w:val="00234150"/>
    <w:rsid w:val="002456D9"/>
    <w:rsid w:val="00246C09"/>
    <w:rsid w:val="0024770A"/>
    <w:rsid w:val="002502FC"/>
    <w:rsid w:val="00255054"/>
    <w:rsid w:val="00255FA5"/>
    <w:rsid w:val="00257470"/>
    <w:rsid w:val="002608A0"/>
    <w:rsid w:val="0027279C"/>
    <w:rsid w:val="0029255E"/>
    <w:rsid w:val="002B2BD4"/>
    <w:rsid w:val="002C5BBC"/>
    <w:rsid w:val="002D0409"/>
    <w:rsid w:val="002D5761"/>
    <w:rsid w:val="002D5E11"/>
    <w:rsid w:val="002F0A69"/>
    <w:rsid w:val="00311711"/>
    <w:rsid w:val="0031520A"/>
    <w:rsid w:val="00361043"/>
    <w:rsid w:val="00381FF0"/>
    <w:rsid w:val="00390E80"/>
    <w:rsid w:val="003A4C6D"/>
    <w:rsid w:val="003A7C7F"/>
    <w:rsid w:val="003B4A0B"/>
    <w:rsid w:val="003D1A4B"/>
    <w:rsid w:val="003D4DC0"/>
    <w:rsid w:val="003D5772"/>
    <w:rsid w:val="003E4932"/>
    <w:rsid w:val="003F139D"/>
    <w:rsid w:val="003F4C65"/>
    <w:rsid w:val="003F670F"/>
    <w:rsid w:val="003F70A8"/>
    <w:rsid w:val="00401F1F"/>
    <w:rsid w:val="00416FC1"/>
    <w:rsid w:val="00417286"/>
    <w:rsid w:val="0042730B"/>
    <w:rsid w:val="0043059C"/>
    <w:rsid w:val="00460BB5"/>
    <w:rsid w:val="00464245"/>
    <w:rsid w:val="00492C46"/>
    <w:rsid w:val="00492F2C"/>
    <w:rsid w:val="004C724B"/>
    <w:rsid w:val="004D7BA9"/>
    <w:rsid w:val="004F16A3"/>
    <w:rsid w:val="00510E93"/>
    <w:rsid w:val="005323A8"/>
    <w:rsid w:val="00542BAA"/>
    <w:rsid w:val="00553258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A245A"/>
    <w:rsid w:val="005A559C"/>
    <w:rsid w:val="005A63A3"/>
    <w:rsid w:val="005C4916"/>
    <w:rsid w:val="005D05C5"/>
    <w:rsid w:val="005E4889"/>
    <w:rsid w:val="00604088"/>
    <w:rsid w:val="00610808"/>
    <w:rsid w:val="00615CC2"/>
    <w:rsid w:val="006266C4"/>
    <w:rsid w:val="0062758B"/>
    <w:rsid w:val="00637893"/>
    <w:rsid w:val="00652285"/>
    <w:rsid w:val="00653438"/>
    <w:rsid w:val="0067535A"/>
    <w:rsid w:val="006875BE"/>
    <w:rsid w:val="006941C4"/>
    <w:rsid w:val="00697310"/>
    <w:rsid w:val="006A0215"/>
    <w:rsid w:val="006B3C7E"/>
    <w:rsid w:val="006D0D13"/>
    <w:rsid w:val="006E1D9D"/>
    <w:rsid w:val="007040D6"/>
    <w:rsid w:val="00750929"/>
    <w:rsid w:val="00753E1C"/>
    <w:rsid w:val="007644A2"/>
    <w:rsid w:val="00764ECB"/>
    <w:rsid w:val="0077210A"/>
    <w:rsid w:val="00791049"/>
    <w:rsid w:val="007916CE"/>
    <w:rsid w:val="007943B5"/>
    <w:rsid w:val="007A18F8"/>
    <w:rsid w:val="007A2A19"/>
    <w:rsid w:val="007B7A4F"/>
    <w:rsid w:val="007C1794"/>
    <w:rsid w:val="007D0B89"/>
    <w:rsid w:val="007D7372"/>
    <w:rsid w:val="00803E62"/>
    <w:rsid w:val="00803FFE"/>
    <w:rsid w:val="00804CD6"/>
    <w:rsid w:val="00820B9C"/>
    <w:rsid w:val="0082728C"/>
    <w:rsid w:val="0083502B"/>
    <w:rsid w:val="00835B91"/>
    <w:rsid w:val="00852113"/>
    <w:rsid w:val="00852280"/>
    <w:rsid w:val="00854998"/>
    <w:rsid w:val="00872BC0"/>
    <w:rsid w:val="00874729"/>
    <w:rsid w:val="00875C27"/>
    <w:rsid w:val="00877F6F"/>
    <w:rsid w:val="00880743"/>
    <w:rsid w:val="00893FA5"/>
    <w:rsid w:val="008B2BE6"/>
    <w:rsid w:val="008B4142"/>
    <w:rsid w:val="008C15C5"/>
    <w:rsid w:val="008D28D7"/>
    <w:rsid w:val="008F6B16"/>
    <w:rsid w:val="0090371D"/>
    <w:rsid w:val="00904AE6"/>
    <w:rsid w:val="00907BA4"/>
    <w:rsid w:val="00912E8F"/>
    <w:rsid w:val="00970A00"/>
    <w:rsid w:val="009A1FC2"/>
    <w:rsid w:val="009D7D70"/>
    <w:rsid w:val="009E123D"/>
    <w:rsid w:val="009E215C"/>
    <w:rsid w:val="00A02B60"/>
    <w:rsid w:val="00A02BBE"/>
    <w:rsid w:val="00A02FF4"/>
    <w:rsid w:val="00A051F9"/>
    <w:rsid w:val="00A4544B"/>
    <w:rsid w:val="00A566BC"/>
    <w:rsid w:val="00A775AF"/>
    <w:rsid w:val="00A80D58"/>
    <w:rsid w:val="00A8469C"/>
    <w:rsid w:val="00AA04BB"/>
    <w:rsid w:val="00AA129D"/>
    <w:rsid w:val="00AB48C5"/>
    <w:rsid w:val="00AD45A1"/>
    <w:rsid w:val="00AE5C31"/>
    <w:rsid w:val="00B331CD"/>
    <w:rsid w:val="00B453DE"/>
    <w:rsid w:val="00B47902"/>
    <w:rsid w:val="00B56B66"/>
    <w:rsid w:val="00B6040C"/>
    <w:rsid w:val="00B62EB3"/>
    <w:rsid w:val="00B95E73"/>
    <w:rsid w:val="00B96642"/>
    <w:rsid w:val="00BA3432"/>
    <w:rsid w:val="00BA6F14"/>
    <w:rsid w:val="00BB18C4"/>
    <w:rsid w:val="00BB39DC"/>
    <w:rsid w:val="00BF3EC2"/>
    <w:rsid w:val="00BF7B13"/>
    <w:rsid w:val="00C03304"/>
    <w:rsid w:val="00C1500E"/>
    <w:rsid w:val="00C17E19"/>
    <w:rsid w:val="00C307AF"/>
    <w:rsid w:val="00C317EB"/>
    <w:rsid w:val="00C506AA"/>
    <w:rsid w:val="00C80835"/>
    <w:rsid w:val="00C94E25"/>
    <w:rsid w:val="00C96A3F"/>
    <w:rsid w:val="00CB2D66"/>
    <w:rsid w:val="00CD4483"/>
    <w:rsid w:val="00CD53D4"/>
    <w:rsid w:val="00CD5D76"/>
    <w:rsid w:val="00CE5AFA"/>
    <w:rsid w:val="00CF7930"/>
    <w:rsid w:val="00D22C69"/>
    <w:rsid w:val="00D373F8"/>
    <w:rsid w:val="00D43358"/>
    <w:rsid w:val="00D467AE"/>
    <w:rsid w:val="00D70503"/>
    <w:rsid w:val="00D838A2"/>
    <w:rsid w:val="00D87005"/>
    <w:rsid w:val="00D95554"/>
    <w:rsid w:val="00D97546"/>
    <w:rsid w:val="00DB7448"/>
    <w:rsid w:val="00DC05C0"/>
    <w:rsid w:val="00DD521C"/>
    <w:rsid w:val="00DF127F"/>
    <w:rsid w:val="00E0205A"/>
    <w:rsid w:val="00E05C3F"/>
    <w:rsid w:val="00E06800"/>
    <w:rsid w:val="00E40683"/>
    <w:rsid w:val="00E50DDB"/>
    <w:rsid w:val="00E5467A"/>
    <w:rsid w:val="00E64C26"/>
    <w:rsid w:val="00E704A1"/>
    <w:rsid w:val="00E87216"/>
    <w:rsid w:val="00E93D7A"/>
    <w:rsid w:val="00EA1944"/>
    <w:rsid w:val="00EA24ED"/>
    <w:rsid w:val="00EA3547"/>
    <w:rsid w:val="00EA7524"/>
    <w:rsid w:val="00EB2FAE"/>
    <w:rsid w:val="00EC073B"/>
    <w:rsid w:val="00EC0CB2"/>
    <w:rsid w:val="00ED1BC2"/>
    <w:rsid w:val="00ED5F9C"/>
    <w:rsid w:val="00EE339E"/>
    <w:rsid w:val="00EF047A"/>
    <w:rsid w:val="00EF3C1F"/>
    <w:rsid w:val="00F26CC5"/>
    <w:rsid w:val="00F27182"/>
    <w:rsid w:val="00F30FBA"/>
    <w:rsid w:val="00F34AB5"/>
    <w:rsid w:val="00F405F6"/>
    <w:rsid w:val="00F4334C"/>
    <w:rsid w:val="00F45659"/>
    <w:rsid w:val="00F46FE0"/>
    <w:rsid w:val="00F47121"/>
    <w:rsid w:val="00F56571"/>
    <w:rsid w:val="00F60F4D"/>
    <w:rsid w:val="00F62067"/>
    <w:rsid w:val="00F65E82"/>
    <w:rsid w:val="00F7336F"/>
    <w:rsid w:val="00F75581"/>
    <w:rsid w:val="00F777EE"/>
    <w:rsid w:val="00FC7E29"/>
    <w:rsid w:val="00FE4E40"/>
    <w:rsid w:val="00FE7D8B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C986A"/>
  <w15:chartTrackingRefBased/>
  <w15:docId w15:val="{62BF7BF6-040E-4C82-8E2A-6FF5E13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9;&#1072;&#1088;&#1072;%20&#1053;&#1077;&#1085;&#1086;&#1074;&#1072;\PRESS%202022\IPI_Charts_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467436389104213E-2"/>
          <c:y val="4.463276836158192E-2"/>
          <c:w val="0.9065808449173729"/>
          <c:h val="0.73839138751723832"/>
        </c:manualLayout>
      </c:layout>
      <c:lineChart>
        <c:grouping val="standard"/>
        <c:varyColors val="0"/>
        <c:ser>
          <c:idx val="0"/>
          <c:order val="0"/>
          <c:tx>
            <c:strRef>
              <c:f>INDEXES!$G$1</c:f>
              <c:strCache>
                <c:ptCount val="1"/>
                <c:pt idx="0">
                  <c:v>Индекс на промишленото производство - сезонно  неизгладен</c:v>
                </c:pt>
              </c:strCache>
            </c:strRef>
          </c:tx>
          <c:spPr>
            <a:ln w="18415">
              <a:solidFill>
                <a:srgbClr val="002060"/>
              </a:solidFill>
              <a:prstDash val="solid"/>
            </a:ln>
          </c:spPr>
          <c:marker>
            <c:symbol val="none"/>
          </c:marker>
          <c:cat>
            <c:strRef>
              <c:f>INDEXES!$F$149:$F$209</c:f>
              <c:strCache>
                <c:ptCount val="61"/>
                <c:pt idx="0">
                  <c:v>IV.2017</c:v>
                </c:pt>
                <c:pt idx="1">
                  <c:v>V.2017</c:v>
                </c:pt>
                <c:pt idx="2">
                  <c:v>VI.2017</c:v>
                </c:pt>
                <c:pt idx="3">
                  <c:v>VII.2017</c:v>
                </c:pt>
                <c:pt idx="4">
                  <c:v>VIII.2017</c:v>
                </c:pt>
                <c:pt idx="5">
                  <c:v>IX.2017</c:v>
                </c:pt>
                <c:pt idx="6">
                  <c:v>X.2017</c:v>
                </c:pt>
                <c:pt idx="7">
                  <c:v>XI.2017</c:v>
                </c:pt>
                <c:pt idx="8">
                  <c:v>XII.2017</c:v>
                </c:pt>
                <c:pt idx="9">
                  <c:v>I.2018</c:v>
                </c:pt>
                <c:pt idx="10">
                  <c:v>II.2018</c:v>
                </c:pt>
                <c:pt idx="11">
                  <c:v>III.2018</c:v>
                </c:pt>
                <c:pt idx="12">
                  <c:v>IV.2018</c:v>
                </c:pt>
                <c:pt idx="13">
                  <c:v>V.2018</c:v>
                </c:pt>
                <c:pt idx="14">
                  <c:v>VI.2018</c:v>
                </c:pt>
                <c:pt idx="15">
                  <c:v>VII.2018</c:v>
                </c:pt>
                <c:pt idx="16">
                  <c:v>VIII.2018</c:v>
                </c:pt>
                <c:pt idx="17">
                  <c:v>IX.2018</c:v>
                </c:pt>
                <c:pt idx="18">
                  <c:v>X.2018</c:v>
                </c:pt>
                <c:pt idx="19">
                  <c:v>XI.2018</c:v>
                </c:pt>
                <c:pt idx="20">
                  <c:v>XII.2018</c:v>
                </c:pt>
                <c:pt idx="21">
                  <c:v>I.2019</c:v>
                </c:pt>
                <c:pt idx="22">
                  <c:v>II.2019</c:v>
                </c:pt>
                <c:pt idx="23">
                  <c:v>III.2019</c:v>
                </c:pt>
                <c:pt idx="24">
                  <c:v>IV.2019</c:v>
                </c:pt>
                <c:pt idx="25">
                  <c:v>V.2019</c:v>
                </c:pt>
                <c:pt idx="26">
                  <c:v>VI.2019</c:v>
                </c:pt>
                <c:pt idx="27">
                  <c:v>VII.2019</c:v>
                </c:pt>
                <c:pt idx="28">
                  <c:v>VIII.2019</c:v>
                </c:pt>
                <c:pt idx="29">
                  <c:v>IX.2019</c:v>
                </c:pt>
                <c:pt idx="30">
                  <c:v>X.2019</c:v>
                </c:pt>
                <c:pt idx="31">
                  <c:v>XI.2019</c:v>
                </c:pt>
                <c:pt idx="32">
                  <c:v>XII.2019</c:v>
                </c:pt>
                <c:pt idx="33">
                  <c:v>I.2020</c:v>
                </c:pt>
                <c:pt idx="34">
                  <c:v>II.2020</c:v>
                </c:pt>
                <c:pt idx="35">
                  <c:v>III.2020</c:v>
                </c:pt>
                <c:pt idx="36">
                  <c:v>IV.2020</c:v>
                </c:pt>
                <c:pt idx="37">
                  <c:v>V.2020</c:v>
                </c:pt>
                <c:pt idx="38">
                  <c:v>VI.2020</c:v>
                </c:pt>
                <c:pt idx="39">
                  <c:v>VII.2020</c:v>
                </c:pt>
                <c:pt idx="40">
                  <c:v>VIII.2020</c:v>
                </c:pt>
                <c:pt idx="41">
                  <c:v>IX.2020</c:v>
                </c:pt>
                <c:pt idx="42">
                  <c:v>X.2020</c:v>
                </c:pt>
                <c:pt idx="43">
                  <c:v>XI.2020</c:v>
                </c:pt>
                <c:pt idx="44">
                  <c:v>XII.2020</c:v>
                </c:pt>
                <c:pt idx="45">
                  <c:v>I.2021</c:v>
                </c:pt>
                <c:pt idx="46">
                  <c:v>II.2021</c:v>
                </c:pt>
                <c:pt idx="47">
                  <c:v>III.2021</c:v>
                </c:pt>
                <c:pt idx="48">
                  <c:v>IV.2021</c:v>
                </c:pt>
                <c:pt idx="49">
                  <c:v>V.2021</c:v>
                </c:pt>
                <c:pt idx="50">
                  <c:v>VI.2021</c:v>
                </c:pt>
                <c:pt idx="51">
                  <c:v>VII.2021</c:v>
                </c:pt>
                <c:pt idx="52">
                  <c:v>VIII.2021</c:v>
                </c:pt>
                <c:pt idx="53">
                  <c:v>IX.2021</c:v>
                </c:pt>
                <c:pt idx="54">
                  <c:v>X.2021</c:v>
                </c:pt>
                <c:pt idx="55">
                  <c:v>XI.2021</c:v>
                </c:pt>
                <c:pt idx="56">
                  <c:v>XII.2021</c:v>
                </c:pt>
                <c:pt idx="57">
                  <c:v>I.2022</c:v>
                </c:pt>
                <c:pt idx="58">
                  <c:v>II.2022</c:v>
                </c:pt>
                <c:pt idx="59">
                  <c:v>III.2022</c:v>
                </c:pt>
                <c:pt idx="60">
                  <c:v>IV.2022</c:v>
                </c:pt>
              </c:strCache>
            </c:strRef>
          </c:cat>
          <c:val>
            <c:numRef>
              <c:f>INDEXES!$G$149:$G$209</c:f>
              <c:numCache>
                <c:formatCode>General</c:formatCode>
                <c:ptCount val="61"/>
                <c:pt idx="0">
                  <c:v>99.285226800000004</c:v>
                </c:pt>
                <c:pt idx="1">
                  <c:v>104.49480800000001</c:v>
                </c:pt>
                <c:pt idx="2">
                  <c:v>109.4823377</c:v>
                </c:pt>
                <c:pt idx="3">
                  <c:v>108.76412689999999</c:v>
                </c:pt>
                <c:pt idx="4">
                  <c:v>104.39385609999999</c:v>
                </c:pt>
                <c:pt idx="5">
                  <c:v>105.3388629</c:v>
                </c:pt>
                <c:pt idx="6">
                  <c:v>109.4115381</c:v>
                </c:pt>
                <c:pt idx="7">
                  <c:v>114.0469044</c:v>
                </c:pt>
                <c:pt idx="8">
                  <c:v>111.409256</c:v>
                </c:pt>
                <c:pt idx="9">
                  <c:v>103.362792</c:v>
                </c:pt>
                <c:pt idx="10">
                  <c:v>98.824095</c:v>
                </c:pt>
                <c:pt idx="11">
                  <c:v>109.14438199999999</c:v>
                </c:pt>
                <c:pt idx="12">
                  <c:v>99.396839999999997</c:v>
                </c:pt>
                <c:pt idx="13">
                  <c:v>104.502078</c:v>
                </c:pt>
                <c:pt idx="14">
                  <c:v>111.490521</c:v>
                </c:pt>
                <c:pt idx="15">
                  <c:v>110.918862</c:v>
                </c:pt>
                <c:pt idx="16">
                  <c:v>105.38317499999999</c:v>
                </c:pt>
                <c:pt idx="17">
                  <c:v>102.750827</c:v>
                </c:pt>
                <c:pt idx="18">
                  <c:v>111.543791</c:v>
                </c:pt>
                <c:pt idx="19">
                  <c:v>115.31562</c:v>
                </c:pt>
                <c:pt idx="20">
                  <c:v>105.96246499999999</c:v>
                </c:pt>
                <c:pt idx="21">
                  <c:v>104.583501</c:v>
                </c:pt>
                <c:pt idx="22">
                  <c:v>105.19538300000001</c:v>
                </c:pt>
                <c:pt idx="23">
                  <c:v>110.154207</c:v>
                </c:pt>
                <c:pt idx="24">
                  <c:v>103.421086</c:v>
                </c:pt>
                <c:pt idx="25">
                  <c:v>105.34227</c:v>
                </c:pt>
                <c:pt idx="26">
                  <c:v>105.935648</c:v>
                </c:pt>
                <c:pt idx="27">
                  <c:v>111.606461</c:v>
                </c:pt>
                <c:pt idx="28">
                  <c:v>102.47309799999999</c:v>
                </c:pt>
                <c:pt idx="29">
                  <c:v>104.460537</c:v>
                </c:pt>
                <c:pt idx="30">
                  <c:v>113.348169</c:v>
                </c:pt>
                <c:pt idx="31">
                  <c:v>113.088284</c:v>
                </c:pt>
                <c:pt idx="32">
                  <c:v>105.858069</c:v>
                </c:pt>
                <c:pt idx="33">
                  <c:v>103.725966</c:v>
                </c:pt>
                <c:pt idx="34">
                  <c:v>104.172004</c:v>
                </c:pt>
                <c:pt idx="35">
                  <c:v>103.830641</c:v>
                </c:pt>
                <c:pt idx="36">
                  <c:v>86.671854999999994</c:v>
                </c:pt>
                <c:pt idx="37">
                  <c:v>85.785559000000006</c:v>
                </c:pt>
                <c:pt idx="38">
                  <c:v>100.867311</c:v>
                </c:pt>
                <c:pt idx="39">
                  <c:v>104.881344</c:v>
                </c:pt>
                <c:pt idx="40">
                  <c:v>95.026296000000002</c:v>
                </c:pt>
                <c:pt idx="41">
                  <c:v>103.343324</c:v>
                </c:pt>
                <c:pt idx="42">
                  <c:v>108.55304099999999</c:v>
                </c:pt>
                <c:pt idx="43">
                  <c:v>107.70897100000001</c:v>
                </c:pt>
                <c:pt idx="44">
                  <c:v>105.478054</c:v>
                </c:pt>
                <c:pt idx="45">
                  <c:v>96.82</c:v>
                </c:pt>
                <c:pt idx="46">
                  <c:v>99.22</c:v>
                </c:pt>
                <c:pt idx="47">
                  <c:v>112.67</c:v>
                </c:pt>
                <c:pt idx="48">
                  <c:v>107.38</c:v>
                </c:pt>
                <c:pt idx="49">
                  <c:v>98.64</c:v>
                </c:pt>
                <c:pt idx="50">
                  <c:v>111.09</c:v>
                </c:pt>
                <c:pt idx="51">
                  <c:v>111.96</c:v>
                </c:pt>
                <c:pt idx="52">
                  <c:v>106.34</c:v>
                </c:pt>
                <c:pt idx="53">
                  <c:v>113.18</c:v>
                </c:pt>
                <c:pt idx="54">
                  <c:v>116.88</c:v>
                </c:pt>
                <c:pt idx="55">
                  <c:v>123.92</c:v>
                </c:pt>
                <c:pt idx="56">
                  <c:v>119.65</c:v>
                </c:pt>
                <c:pt idx="57" formatCode="0.00">
                  <c:v>113.4766347013</c:v>
                </c:pt>
                <c:pt idx="58" formatCode="0.00">
                  <c:v>113.892437982</c:v>
                </c:pt>
                <c:pt idx="59" formatCode="0.00">
                  <c:v>134.90828345</c:v>
                </c:pt>
                <c:pt idx="60" formatCode="0.00">
                  <c:v>121.561787696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A4-47D4-8A17-9AECA99FB34A}"/>
            </c:ext>
          </c:extLst>
        </c:ser>
        <c:ser>
          <c:idx val="1"/>
          <c:order val="1"/>
          <c:tx>
            <c:strRef>
              <c:f>INDEXES!$H$1</c:f>
              <c:strCache>
                <c:ptCount val="1"/>
                <c:pt idx="0">
                  <c:v>Индекс на промишленото производство - сезонно изгладен</c:v>
                </c:pt>
              </c:strCache>
            </c:strRef>
          </c:tx>
          <c:spPr>
            <a:ln w="18415">
              <a:solidFill>
                <a:srgbClr val="C10F81"/>
              </a:solidFill>
            </a:ln>
          </c:spPr>
          <c:marker>
            <c:symbol val="none"/>
          </c:marker>
          <c:cat>
            <c:strRef>
              <c:f>INDEXES!$F$149:$F$209</c:f>
              <c:strCache>
                <c:ptCount val="61"/>
                <c:pt idx="0">
                  <c:v>IV.2017</c:v>
                </c:pt>
                <c:pt idx="1">
                  <c:v>V.2017</c:v>
                </c:pt>
                <c:pt idx="2">
                  <c:v>VI.2017</c:v>
                </c:pt>
                <c:pt idx="3">
                  <c:v>VII.2017</c:v>
                </c:pt>
                <c:pt idx="4">
                  <c:v>VIII.2017</c:v>
                </c:pt>
                <c:pt idx="5">
                  <c:v>IX.2017</c:v>
                </c:pt>
                <c:pt idx="6">
                  <c:v>X.2017</c:v>
                </c:pt>
                <c:pt idx="7">
                  <c:v>XI.2017</c:v>
                </c:pt>
                <c:pt idx="8">
                  <c:v>XII.2017</c:v>
                </c:pt>
                <c:pt idx="9">
                  <c:v>I.2018</c:v>
                </c:pt>
                <c:pt idx="10">
                  <c:v>II.2018</c:v>
                </c:pt>
                <c:pt idx="11">
                  <c:v>III.2018</c:v>
                </c:pt>
                <c:pt idx="12">
                  <c:v>IV.2018</c:v>
                </c:pt>
                <c:pt idx="13">
                  <c:v>V.2018</c:v>
                </c:pt>
                <c:pt idx="14">
                  <c:v>VI.2018</c:v>
                </c:pt>
                <c:pt idx="15">
                  <c:v>VII.2018</c:v>
                </c:pt>
                <c:pt idx="16">
                  <c:v>VIII.2018</c:v>
                </c:pt>
                <c:pt idx="17">
                  <c:v>IX.2018</c:v>
                </c:pt>
                <c:pt idx="18">
                  <c:v>X.2018</c:v>
                </c:pt>
                <c:pt idx="19">
                  <c:v>XI.2018</c:v>
                </c:pt>
                <c:pt idx="20">
                  <c:v>XII.2018</c:v>
                </c:pt>
                <c:pt idx="21">
                  <c:v>I.2019</c:v>
                </c:pt>
                <c:pt idx="22">
                  <c:v>II.2019</c:v>
                </c:pt>
                <c:pt idx="23">
                  <c:v>III.2019</c:v>
                </c:pt>
                <c:pt idx="24">
                  <c:v>IV.2019</c:v>
                </c:pt>
                <c:pt idx="25">
                  <c:v>V.2019</c:v>
                </c:pt>
                <c:pt idx="26">
                  <c:v>VI.2019</c:v>
                </c:pt>
                <c:pt idx="27">
                  <c:v>VII.2019</c:v>
                </c:pt>
                <c:pt idx="28">
                  <c:v>VIII.2019</c:v>
                </c:pt>
                <c:pt idx="29">
                  <c:v>IX.2019</c:v>
                </c:pt>
                <c:pt idx="30">
                  <c:v>X.2019</c:v>
                </c:pt>
                <c:pt idx="31">
                  <c:v>XI.2019</c:v>
                </c:pt>
                <c:pt idx="32">
                  <c:v>XII.2019</c:v>
                </c:pt>
                <c:pt idx="33">
                  <c:v>I.2020</c:v>
                </c:pt>
                <c:pt idx="34">
                  <c:v>II.2020</c:v>
                </c:pt>
                <c:pt idx="35">
                  <c:v>III.2020</c:v>
                </c:pt>
                <c:pt idx="36">
                  <c:v>IV.2020</c:v>
                </c:pt>
                <c:pt idx="37">
                  <c:v>V.2020</c:v>
                </c:pt>
                <c:pt idx="38">
                  <c:v>VI.2020</c:v>
                </c:pt>
                <c:pt idx="39">
                  <c:v>VII.2020</c:v>
                </c:pt>
                <c:pt idx="40">
                  <c:v>VIII.2020</c:v>
                </c:pt>
                <c:pt idx="41">
                  <c:v>IX.2020</c:v>
                </c:pt>
                <c:pt idx="42">
                  <c:v>X.2020</c:v>
                </c:pt>
                <c:pt idx="43">
                  <c:v>XI.2020</c:v>
                </c:pt>
                <c:pt idx="44">
                  <c:v>XII.2020</c:v>
                </c:pt>
                <c:pt idx="45">
                  <c:v>I.2021</c:v>
                </c:pt>
                <c:pt idx="46">
                  <c:v>II.2021</c:v>
                </c:pt>
                <c:pt idx="47">
                  <c:v>III.2021</c:v>
                </c:pt>
                <c:pt idx="48">
                  <c:v>IV.2021</c:v>
                </c:pt>
                <c:pt idx="49">
                  <c:v>V.2021</c:v>
                </c:pt>
                <c:pt idx="50">
                  <c:v>VI.2021</c:v>
                </c:pt>
                <c:pt idx="51">
                  <c:v>VII.2021</c:v>
                </c:pt>
                <c:pt idx="52">
                  <c:v>VIII.2021</c:v>
                </c:pt>
                <c:pt idx="53">
                  <c:v>IX.2021</c:v>
                </c:pt>
                <c:pt idx="54">
                  <c:v>X.2021</c:v>
                </c:pt>
                <c:pt idx="55">
                  <c:v>XI.2021</c:v>
                </c:pt>
                <c:pt idx="56">
                  <c:v>XII.2021</c:v>
                </c:pt>
                <c:pt idx="57">
                  <c:v>I.2022</c:v>
                </c:pt>
                <c:pt idx="58">
                  <c:v>II.2022</c:v>
                </c:pt>
                <c:pt idx="59">
                  <c:v>III.2022</c:v>
                </c:pt>
                <c:pt idx="60">
                  <c:v>IV.2022</c:v>
                </c:pt>
              </c:strCache>
            </c:strRef>
          </c:cat>
          <c:val>
            <c:numRef>
              <c:f>INDEXES!$H$149:$H$209</c:f>
              <c:numCache>
                <c:formatCode>General</c:formatCode>
                <c:ptCount val="61"/>
                <c:pt idx="0">
                  <c:v>106.20417295158278</c:v>
                </c:pt>
                <c:pt idx="1">
                  <c:v>108.36502073855191</c:v>
                </c:pt>
                <c:pt idx="2">
                  <c:v>106.27896413024691</c:v>
                </c:pt>
                <c:pt idx="3">
                  <c:v>107.25079613980903</c:v>
                </c:pt>
                <c:pt idx="4">
                  <c:v>106.83227896118738</c:v>
                </c:pt>
                <c:pt idx="5">
                  <c:v>107.46979720376959</c:v>
                </c:pt>
                <c:pt idx="6">
                  <c:v>106.07848488504081</c:v>
                </c:pt>
                <c:pt idx="7">
                  <c:v>106.48332452446185</c:v>
                </c:pt>
                <c:pt idx="8">
                  <c:v>109.44270661605916</c:v>
                </c:pt>
                <c:pt idx="9">
                  <c:v>106.96280337956955</c:v>
                </c:pt>
                <c:pt idx="10">
                  <c:v>104.31471643518253</c:v>
                </c:pt>
                <c:pt idx="11">
                  <c:v>107.45731946944981</c:v>
                </c:pt>
                <c:pt idx="12">
                  <c:v>105.02458258077704</c:v>
                </c:pt>
                <c:pt idx="13">
                  <c:v>108.24983740671128</c:v>
                </c:pt>
                <c:pt idx="14">
                  <c:v>109.83201452507561</c:v>
                </c:pt>
                <c:pt idx="15">
                  <c:v>107.70710553032968</c:v>
                </c:pt>
                <c:pt idx="16">
                  <c:v>107.9923157109221</c:v>
                </c:pt>
                <c:pt idx="17">
                  <c:v>106.53669815100987</c:v>
                </c:pt>
                <c:pt idx="18">
                  <c:v>106.24830355919067</c:v>
                </c:pt>
                <c:pt idx="19">
                  <c:v>107.72920642477564</c:v>
                </c:pt>
                <c:pt idx="20">
                  <c:v>106.25402294058064</c:v>
                </c:pt>
                <c:pt idx="21">
                  <c:v>107.93593353153263</c:v>
                </c:pt>
                <c:pt idx="22">
                  <c:v>110.25930597425997</c:v>
                </c:pt>
                <c:pt idx="23">
                  <c:v>109.91337253899788</c:v>
                </c:pt>
                <c:pt idx="24">
                  <c:v>107.40822742277652</c:v>
                </c:pt>
                <c:pt idx="25">
                  <c:v>109.45627948022376</c:v>
                </c:pt>
                <c:pt idx="26">
                  <c:v>106.24889193636517</c:v>
                </c:pt>
                <c:pt idx="27">
                  <c:v>106.82519861697627</c:v>
                </c:pt>
                <c:pt idx="28">
                  <c:v>106.90238720988626</c:v>
                </c:pt>
                <c:pt idx="29">
                  <c:v>106.34483164210087</c:v>
                </c:pt>
                <c:pt idx="30">
                  <c:v>107.42096620911124</c:v>
                </c:pt>
                <c:pt idx="31">
                  <c:v>107.33047744505221</c:v>
                </c:pt>
                <c:pt idx="32">
                  <c:v>105.17968967827358</c:v>
                </c:pt>
                <c:pt idx="33">
                  <c:v>106.85435449367053</c:v>
                </c:pt>
                <c:pt idx="34">
                  <c:v>107.58392747001622</c:v>
                </c:pt>
                <c:pt idx="35">
                  <c:v>101.93660872356276</c:v>
                </c:pt>
                <c:pt idx="36">
                  <c:v>89.761044920174697</c:v>
                </c:pt>
                <c:pt idx="37">
                  <c:v>92.528872989683549</c:v>
                </c:pt>
                <c:pt idx="38">
                  <c:v>98.158372287471721</c:v>
                </c:pt>
                <c:pt idx="39">
                  <c:v>100.48389158688919</c:v>
                </c:pt>
                <c:pt idx="40">
                  <c:v>100.85255282298891</c:v>
                </c:pt>
                <c:pt idx="41">
                  <c:v>103.20881038861907</c:v>
                </c:pt>
                <c:pt idx="42">
                  <c:v>104.18283316439485</c:v>
                </c:pt>
                <c:pt idx="43">
                  <c:v>102.34687277613639</c:v>
                </c:pt>
                <c:pt idx="44">
                  <c:v>102.34475317117425</c:v>
                </c:pt>
                <c:pt idx="45" formatCode="0.00">
                  <c:v>102.92218401281909</c:v>
                </c:pt>
                <c:pt idx="46" formatCode="0.00">
                  <c:v>103.82449704562704</c:v>
                </c:pt>
                <c:pt idx="47" formatCode="0.00">
                  <c:v>108.45850330689451</c:v>
                </c:pt>
                <c:pt idx="48" formatCode="0.00">
                  <c:v>108.96640457179913</c:v>
                </c:pt>
                <c:pt idx="49" formatCode="0.00">
                  <c:v>107.9059582623925</c:v>
                </c:pt>
                <c:pt idx="50" formatCode="0.00">
                  <c:v>108.38544918290931</c:v>
                </c:pt>
                <c:pt idx="51" formatCode="0.00">
                  <c:v>109.34556391594853</c:v>
                </c:pt>
                <c:pt idx="52" formatCode="0.00">
                  <c:v>111.30994301076512</c:v>
                </c:pt>
                <c:pt idx="53" formatCode="0.00">
                  <c:v>113.01097836647013</c:v>
                </c:pt>
                <c:pt idx="54" formatCode="0.00">
                  <c:v>113.9670641961393</c:v>
                </c:pt>
                <c:pt idx="55" formatCode="0.00">
                  <c:v>115.83802356376603</c:v>
                </c:pt>
                <c:pt idx="56" formatCode="0.00">
                  <c:v>117.29320818875254</c:v>
                </c:pt>
                <c:pt idx="57" formatCode="0.00">
                  <c:v>119.87336044271817</c:v>
                </c:pt>
                <c:pt idx="58" formatCode="0.00">
                  <c:v>120.28491135858692</c:v>
                </c:pt>
                <c:pt idx="59" formatCode="0.00">
                  <c:v>126.58334219935011</c:v>
                </c:pt>
                <c:pt idx="60" formatCode="0.00">
                  <c:v>126.04518265252099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A4-47D4-8A17-9AECA99FB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574656"/>
        <c:axId val="1"/>
      </c:lineChart>
      <c:catAx>
        <c:axId val="823574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bg-BG"/>
                  <a:t>%</a:t>
                </a:r>
              </a:p>
            </c:rich>
          </c:tx>
          <c:layout>
            <c:manualLayout>
              <c:xMode val="edge"/>
              <c:yMode val="edge"/>
              <c:x val="3.5830086456584233E-2"/>
              <c:y val="0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"/>
        <c:scaling>
          <c:orientation val="minMax"/>
          <c:max val="140"/>
          <c:min val="8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23574656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7828097574759682E-2"/>
          <c:y val="0.89514082460305744"/>
          <c:w val="0.91391271743206015"/>
          <c:h val="0.1048591753969425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87CD-47DF-4DEE-9DB2-DBE05DEF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13928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Mariya Toteva</cp:lastModifiedBy>
  <cp:revision>2</cp:revision>
  <cp:lastPrinted>2022-06-02T11:16:00Z</cp:lastPrinted>
  <dcterms:created xsi:type="dcterms:W3CDTF">2022-06-10T08:13:00Z</dcterms:created>
  <dcterms:modified xsi:type="dcterms:W3CDTF">2022-06-10T08:13:00Z</dcterms:modified>
</cp:coreProperties>
</file>