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6A48" w14:textId="77777777" w:rsidR="00447DE1" w:rsidRPr="009A7AF2" w:rsidRDefault="00F9118A" w:rsidP="00720C4A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  <w:r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Информация за медиите</w:t>
      </w:r>
    </w:p>
    <w:p w14:paraId="4C851D9A" w14:textId="77777777" w:rsidR="00D54438" w:rsidRPr="009A7AF2" w:rsidRDefault="001379EF" w:rsidP="00471AFC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11</w:t>
      </w:r>
      <w:r w:rsidR="00FC3A64"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.</w:t>
      </w:r>
      <w:r w:rsidR="0030401D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10</w:t>
      </w:r>
      <w:r w:rsidR="00522631"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.20</w:t>
      </w:r>
      <w:r w:rsidR="00E204E6"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>23</w:t>
      </w:r>
      <w:r w:rsidR="00F9118A"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 г.</w:t>
      </w:r>
      <w:r w:rsidR="009B2070"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 </w:t>
      </w:r>
      <w:r w:rsidR="006544BE" w:rsidRPr="009A7A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0F702A" w:rsidRPr="009A7A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E37066" w:rsidRPr="009A7A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C06F1B" w:rsidRPr="009A7AF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bg-BG"/>
        </w:rPr>
        <w:t xml:space="preserve"> </w:t>
      </w:r>
      <w:r w:rsidR="00315702" w:rsidRPr="009A7AF2">
        <w:rPr>
          <w:rFonts w:asciiTheme="minorHAnsi" w:hAnsiTheme="minorHAnsi" w:cstheme="minorHAnsi"/>
          <w:b/>
          <w:color w:val="000000" w:themeColor="text1"/>
          <w:sz w:val="24"/>
          <w:szCs w:val="24"/>
          <w:lang w:val="bg-BG"/>
        </w:rPr>
        <w:t xml:space="preserve">  </w:t>
      </w:r>
    </w:p>
    <w:p w14:paraId="29CD87CB" w14:textId="77777777" w:rsidR="0030401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color w:val="000000" w:themeColor="text1"/>
          <w:sz w:val="24"/>
          <w:szCs w:val="24"/>
          <w:lang w:val="bg-BG"/>
        </w:rPr>
      </w:pPr>
    </w:p>
    <w:p w14:paraId="4CDF5155" w14:textId="77777777" w:rsidR="0030401D" w:rsidRPr="0030401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color w:val="000000" w:themeColor="text1"/>
          <w:sz w:val="24"/>
          <w:szCs w:val="24"/>
          <w:lang w:val="bg-BG"/>
        </w:rPr>
      </w:pPr>
    </w:p>
    <w:p w14:paraId="2E401ADF" w14:textId="77777777" w:rsidR="0030401D" w:rsidRPr="008707D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</w:pPr>
      <w:r w:rsidRPr="008707DD"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  <w:t xml:space="preserve">До </w:t>
      </w:r>
    </w:p>
    <w:p w14:paraId="6C53B38D" w14:textId="77777777" w:rsidR="0030401D" w:rsidRPr="008707D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</w:pPr>
      <w:r w:rsidRPr="008707DD"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  <w:t>РЕДАКЦИЯТА</w:t>
      </w:r>
    </w:p>
    <w:p w14:paraId="621C208E" w14:textId="77777777" w:rsidR="0030401D" w:rsidRPr="008707D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</w:pPr>
      <w:r w:rsidRPr="008707DD"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  <w:t>НА В. ТЕЛЕГРАФ</w:t>
      </w:r>
    </w:p>
    <w:p w14:paraId="6C19DCFF" w14:textId="77777777" w:rsidR="0030401D" w:rsidRPr="0030401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color w:val="000000" w:themeColor="text1"/>
          <w:sz w:val="24"/>
          <w:szCs w:val="24"/>
          <w:lang w:val="bg-BG"/>
        </w:rPr>
      </w:pPr>
    </w:p>
    <w:p w14:paraId="374014AE" w14:textId="77777777" w:rsidR="0030401D" w:rsidRPr="0030401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color w:val="000000" w:themeColor="text1"/>
          <w:sz w:val="24"/>
          <w:szCs w:val="24"/>
          <w:lang w:val="bg-BG"/>
        </w:rPr>
      </w:pPr>
    </w:p>
    <w:p w14:paraId="30661C5F" w14:textId="77777777" w:rsidR="0030401D" w:rsidRPr="008707D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i/>
          <w:color w:val="000000" w:themeColor="text1"/>
          <w:sz w:val="24"/>
          <w:szCs w:val="24"/>
          <w:lang w:val="bg-BG"/>
        </w:rPr>
      </w:pPr>
      <w:bookmarkStart w:id="0" w:name="_GoBack"/>
      <w:r w:rsidRPr="008707DD">
        <w:rPr>
          <w:rFonts w:ascii="Calibri" w:hAnsi="Calibri" w:cs="Calibri"/>
          <w:bCs/>
          <w:i/>
          <w:color w:val="000000" w:themeColor="text1"/>
          <w:sz w:val="24"/>
          <w:szCs w:val="24"/>
          <w:lang w:val="bg-BG"/>
        </w:rPr>
        <w:t>Относно : Право на отговор въ</w:t>
      </w:r>
      <w:r w:rsidR="009D2FB6" w:rsidRPr="008707DD">
        <w:rPr>
          <w:rFonts w:ascii="Calibri" w:hAnsi="Calibri" w:cs="Calibri"/>
          <w:bCs/>
          <w:i/>
          <w:color w:val="000000" w:themeColor="text1"/>
          <w:sz w:val="24"/>
          <w:szCs w:val="24"/>
          <w:lang w:val="bg-BG"/>
        </w:rPr>
        <w:t>в връзка с некоректни твърдения</w:t>
      </w:r>
      <w:r w:rsidR="00AA3355" w:rsidRPr="008707DD">
        <w:rPr>
          <w:rFonts w:ascii="Calibri" w:hAnsi="Calibri" w:cs="Calibri"/>
          <w:bCs/>
          <w:i/>
          <w:color w:val="000000" w:themeColor="text1"/>
          <w:sz w:val="24"/>
          <w:szCs w:val="24"/>
          <w:lang w:val="bg-BG"/>
        </w:rPr>
        <w:t xml:space="preserve"> </w:t>
      </w:r>
      <w:r w:rsidR="009D2FB6" w:rsidRPr="008707DD">
        <w:rPr>
          <w:rFonts w:ascii="Calibri" w:hAnsi="Calibri" w:cs="Calibri"/>
          <w:bCs/>
          <w:i/>
          <w:color w:val="000000" w:themeColor="text1"/>
          <w:sz w:val="24"/>
          <w:szCs w:val="24"/>
          <w:lang w:val="bg-BG"/>
        </w:rPr>
        <w:t>в публикация</w:t>
      </w:r>
      <w:r w:rsidR="0050156E" w:rsidRPr="008707DD">
        <w:rPr>
          <w:rFonts w:ascii="Calibri" w:hAnsi="Calibri" w:cs="Calibri"/>
          <w:bCs/>
          <w:i/>
          <w:color w:val="000000" w:themeColor="text1"/>
          <w:sz w:val="24"/>
          <w:szCs w:val="24"/>
          <w:lang w:val="bg-BG"/>
        </w:rPr>
        <w:t xml:space="preserve"> от 10.10.2023 г.</w:t>
      </w:r>
    </w:p>
    <w:bookmarkEnd w:id="0"/>
    <w:p w14:paraId="585B3516" w14:textId="77777777" w:rsidR="0030401D" w:rsidRPr="0030401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color w:val="000000" w:themeColor="text1"/>
          <w:sz w:val="24"/>
          <w:szCs w:val="24"/>
          <w:lang w:val="bg-BG"/>
        </w:rPr>
      </w:pPr>
    </w:p>
    <w:p w14:paraId="3E107F42" w14:textId="77777777" w:rsidR="0030401D" w:rsidRPr="0030401D" w:rsidRDefault="0030401D" w:rsidP="0030401D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color w:val="000000" w:themeColor="text1"/>
          <w:sz w:val="24"/>
          <w:szCs w:val="24"/>
          <w:lang w:val="bg-BG"/>
        </w:rPr>
      </w:pPr>
    </w:p>
    <w:p w14:paraId="19EEE0E5" w14:textId="77777777" w:rsidR="0030401D" w:rsidRPr="0030401D" w:rsidRDefault="0030401D" w:rsidP="0030401D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</w:pPr>
      <w:r w:rsidRPr="0030401D"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  <w:t xml:space="preserve">КЕВР ИЗВЪРШВА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  <w:t xml:space="preserve">ПЕРИОДИЧНИ </w:t>
      </w:r>
      <w:r w:rsidRPr="0030401D">
        <w:rPr>
          <w:rFonts w:ascii="Calibri" w:hAnsi="Calibri" w:cs="Calibri"/>
          <w:b/>
          <w:bCs/>
          <w:color w:val="000000" w:themeColor="text1"/>
          <w:sz w:val="24"/>
          <w:szCs w:val="24"/>
          <w:lang w:val="bg-BG"/>
        </w:rPr>
        <w:t>АНАЛИЗИ И ПРОВЕРКИ ПО ИЗПЪЛНЕНИЕТО НА ИНВЕСТИЦИИТЕ НА ВИК ОПЕРАТОРИТЕ И ОТРАЗЯВА НЕИЗПЪЛНЕНИЕТО ИМ В УТВЪРЖДАВАНИТЕ ЦЕНИ</w:t>
      </w:r>
    </w:p>
    <w:p w14:paraId="7C366377" w14:textId="77777777" w:rsidR="0030401D" w:rsidRPr="0030401D" w:rsidRDefault="0030401D" w:rsidP="009D2FB6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30401D">
        <w:rPr>
          <w:rFonts w:ascii="Calibri" w:eastAsia="Calibri" w:hAnsi="Calibri" w:cs="Calibri"/>
          <w:color w:val="1F497D"/>
          <w:sz w:val="22"/>
          <w:szCs w:val="22"/>
          <w:lang w:val="bg-BG"/>
        </w:rPr>
        <w:t xml:space="preserve"> </w:t>
      </w:r>
      <w:r w:rsidR="009D2FB6">
        <w:rPr>
          <w:rFonts w:ascii="Calibri" w:eastAsia="Calibri" w:hAnsi="Calibri" w:cs="Calibri"/>
          <w:color w:val="1F497D"/>
          <w:sz w:val="22"/>
          <w:szCs w:val="22"/>
          <w:lang w:val="bg-BG"/>
        </w:rPr>
        <w:t xml:space="preserve"> </w:t>
      </w:r>
    </w:p>
    <w:p w14:paraId="4D92C7DD" w14:textId="77777777" w:rsidR="0030401D" w:rsidRPr="0030401D" w:rsidRDefault="0030401D" w:rsidP="0030401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</w:p>
    <w:p w14:paraId="130A380A" w14:textId="77777777" w:rsidR="0030401D" w:rsidRPr="00AA3355" w:rsidRDefault="0030401D" w:rsidP="0050156E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ab/>
        <w:t xml:space="preserve">В </w:t>
      </w:r>
      <w:r w:rsidR="0050156E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броя</w:t>
      </w: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на в. Телеграф </w:t>
      </w:r>
      <w:r w:rsidR="0050156E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от 10.10.2023 г. </w:t>
      </w: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под заглавие </w:t>
      </w:r>
      <w:r w:rsidRPr="00AA3355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bg-BG"/>
        </w:rPr>
        <w:t>„Водомер за всеки язовир“, стр. 15</w:t>
      </w: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, посветена на състоянието на ВиК сектора, са публикувани неверни твърдения, свързани с дейността на Комисията за енергийно и водно регулиране. В статията се твърди, че „в КЕВР не правят анализи и проверки за изпълнението на инвестициите, защото няма наложени санкции, а и да има, единственият начин ВиК операторите да ги платят е да поискат по-високи и по-високи цени“.</w:t>
      </w:r>
    </w:p>
    <w:p w14:paraId="0A148771" w14:textId="77777777" w:rsidR="0030401D" w:rsidRPr="00AA3355" w:rsidRDefault="0030401D" w:rsidP="0030401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</w:p>
    <w:p w14:paraId="509CA92E" w14:textId="77777777" w:rsidR="0030401D" w:rsidRPr="00AA3355" w:rsidRDefault="009D2FB6" w:rsidP="009D2FB6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ab/>
        <w:t>Подобни твърдения кате</w:t>
      </w:r>
      <w:r w:rsidR="0030401D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горично не отговарят на истината.</w:t>
      </w:r>
    </w:p>
    <w:p w14:paraId="25132D38" w14:textId="77777777" w:rsidR="0030401D" w:rsidRPr="0030401D" w:rsidRDefault="0030401D" w:rsidP="009D2FB6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</w:p>
    <w:p w14:paraId="6BBA7936" w14:textId="77777777" w:rsidR="0030401D" w:rsidRPr="0030401D" w:rsidRDefault="0030401D" w:rsidP="009D2FB6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Правомощията на институциите във ВиК сектора са ясно разписани в Закона за водите (ЗВ), глава единадесет „а“ – собствениците на публичните ВиК активи, обединени в Асоциации по ВиК (АВиК) са компетентните органи, които избират ВиК оператор, възлагат му с договор да стопанисва публичните ВиК активи и съответно контролират изпълнението на договора. АВиК са натоварени да одобряват регионалните генерални ВиК планове, в които са заложени дългосрочни и краткосрочни инвестиционни програми. В договорите са предвидени минимални нива на инвестиции и договорни показатели за качество.</w:t>
      </w:r>
    </w:p>
    <w:p w14:paraId="6BC8EB79" w14:textId="77777777" w:rsidR="0030401D" w:rsidRPr="0030401D" w:rsidRDefault="0030401D" w:rsidP="009D2FB6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От своя страна МРРБ осъществява функцията на принципал на дружествата с държавно участие в капитала (на практика </w:t>
      </w: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това са 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в</w:t>
      </w: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сички регионални ВиК оператори)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и според ЗВ възлага договорите за управление и кон</w:t>
      </w:r>
      <w:r w:rsidR="0067419B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трол на търговските дружества, чрез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които следва да залага и контролира основни показатели за дейността в съответствие с одобрените от КЕВР бизнес планове.</w:t>
      </w:r>
    </w:p>
    <w:p w14:paraId="15FE7FAA" w14:textId="77777777" w:rsidR="0030401D" w:rsidRPr="0030401D" w:rsidRDefault="0030401D" w:rsidP="009D2FB6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</w:p>
    <w:p w14:paraId="5F74563A" w14:textId="77777777" w:rsidR="0030401D" w:rsidRPr="0030401D" w:rsidRDefault="0030401D" w:rsidP="009D2FB6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Ролята и функцията на КЕВР като регулаторен орган във ВиК сектора е ясно разписана в Закона за регулиране на ВиК услугите (ЗРВКУ) – КЕВР одобрява бизнес планове и цени на ВиК услуги и контролира тяхното изпълнение. К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омисията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стриктно осъществява своите функции при максимално ниво на публичност. </w:t>
      </w:r>
    </w:p>
    <w:p w14:paraId="0D1CD520" w14:textId="2050DE7F" w:rsidR="0030401D" w:rsidRPr="00F75592" w:rsidRDefault="0030401D" w:rsidP="003B6C36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Не отговаря на истината твърдението, че КЕВР не прави анализи и проверки на изпълнението на инвестициите</w:t>
      </w:r>
      <w:r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. Напротив - 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Комисията </w:t>
      </w:r>
      <w:r w:rsidRPr="0030401D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>ежегодно извършва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такива </w:t>
      </w:r>
      <w:r w:rsidRPr="0030401D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>проверки на дейността на всички ВиК друж</w:t>
      </w:r>
      <w:r w:rsidR="00784EA0" w:rsidRPr="00AA3355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>ества с одобрени бизнес планове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и всяка година п</w:t>
      </w:r>
      <w:r w:rsidR="00784EA0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убликува Г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одишен доклад за ВиК сектора, който на практика е единственият източник на информация за случващото се във ВиК сектора. След 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lastRenderedPageBreak/>
        <w:t xml:space="preserve">приключването на ежегодните проверки, КЕВР информира и компетентните органи – МРРБ и съответните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АВиК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,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за всички установени проблеми в дейността на дружествата, включително и за постигнатите от тях нива на показателите за качество на ВиК услугите и изпълнението на одобрените бизнес планове.</w:t>
      </w:r>
      <w:r w:rsidR="003B6C36" w:rsidRPr="00F7559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3B6C3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През изминалия регулаторен период 2017-2021 г. КЕВР е извършил общо 134 проверки на изпълнение на одобрения бизнес план за предходната година, съответно: 14 дружества през 2018 г., 20 дружества през 2019 г., 34 дружества през 2020 г., 28 дружества през 2021 г. и 38 дружества през 2022 г. Докладите от извършените проверки са публично достъпни на интернет страницата на КЕВР (</w:t>
      </w:r>
      <w:hyperlink r:id="rId8" w:history="1">
        <w:r w:rsidR="003B6C36" w:rsidRPr="00F75592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www.dker.bg</w:t>
        </w:r>
      </w:hyperlink>
      <w:r w:rsidR="003B6C36" w:rsidRPr="00F7559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) </w:t>
      </w:r>
      <w:r w:rsidR="003B6C3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в раздел ВиК/Информационна система.</w:t>
      </w:r>
    </w:p>
    <w:p w14:paraId="2628EF3D" w14:textId="2E7B5039" w:rsidR="0030401D" w:rsidRPr="00F75592" w:rsidRDefault="0030401D" w:rsidP="00F34F15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>Не отговаря на истината твърдението, че КЕВР не е наложил санкции при констатирано неизпълнение на одобрените инвестиции. В тези случаи единственото правомощие на Комисията са действия чрез механизма за изменение на одобрените цени на ВиК услуги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bg-BG"/>
        </w:rPr>
        <w:t>.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Съгласно нормативната уредба, КЕВР с едно решение одобрява бизнес плана и одобрява цени на ВиК услуги за периода на бизнес плана, които в последствие се изменят всяка година чрез отчитане на натрупаната инфлация и конкретни коефициенти. Двукратно през регулаторния период (след изтичане на третата година, и след края на пет-годишния период) Комисията оценява из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пълнението на инвестициите –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отделно в публични ВиК системи и съоръжения, 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както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и в собс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твени активи на ВиК дружествата. В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случай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,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че е налице неизпълнение на инвестиции, одобрените цени се намаляват с констатираната разлика. Този механизъм бе стриктно 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приложен от КЕВР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през изминалия 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регулаторен период 2017-2021 г.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Е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фектът от намаление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то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на цените 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стана факт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след изтичането на първите три години (2017-2019 г.) 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– с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изменението на одобрените цени за 2021 г.,</w:t>
      </w:r>
      <w:r w:rsidR="00CB0541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когато чрез коефициент „</w:t>
      </w:r>
      <w:r w:rsidR="00CB0541" w:rsidRPr="00F7559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Q</w:t>
      </w:r>
      <w:r w:rsidR="00CB0541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и“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CB0541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бяха санкционирани 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29 дружества. З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а 16 от тях реално цените бяха намалени спрямо действащите, а останалите дружества получиха значително по-ниско от предвиденото увеличение (за 5 дружества не бе осъществено намаление т.к. те бяха изпълнили заложените инвестиции)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. Регулаторът извърши ценови корекции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и след изтичането на последните две години (2020-2021 г.)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-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с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изменението на одобренит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е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цени на ВиК услуги за 2023 г. С прилагане на 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коефициент „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Q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и“ бяха санкционирани 22 дружества, като за 3 от тях цените 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реално 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бяха намалени спрямо действащите, а останалите дружества получиха значително по-ниско от предвиденото увеличение (за 8 дружества не бе осъществено намаление т.к. те бяха изпълнили заложените инвестиции). </w:t>
      </w:r>
      <w:r w:rsidR="009D2FB6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КЕВР стриктно изпълни това свое задължение  и ще продължи да го изпълнява</w:t>
      </w:r>
      <w:r w:rsidR="0067419B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. </w:t>
      </w:r>
    </w:p>
    <w:p w14:paraId="0B6EBCFF" w14:textId="77777777" w:rsidR="000A10C4" w:rsidRPr="00F75592" w:rsidRDefault="000A10C4" w:rsidP="009D2FB6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</w:p>
    <w:p w14:paraId="32554134" w14:textId="447F1113" w:rsidR="0030401D" w:rsidRPr="00F34F15" w:rsidRDefault="000A10C4" w:rsidP="00F34F15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Съществено е 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също да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се отбележи</w:t>
      </w:r>
      <w:r w:rsidR="0030401D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, 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че </w:t>
      </w:r>
      <w:r w:rsidR="0030401D"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 xml:space="preserve">в процедурата за изменение на одобрените цени </w:t>
      </w:r>
      <w:r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 xml:space="preserve"> КЕВР стриктно прилага</w:t>
      </w:r>
      <w:r w:rsidR="0030401D"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 xml:space="preserve"> и механизъм</w:t>
      </w:r>
      <w:r w:rsidR="00784EA0"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>,</w:t>
      </w:r>
      <w:r w:rsidR="0030401D"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 xml:space="preserve"> отчита</w:t>
      </w:r>
      <w:r w:rsidR="00784EA0"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>щ</w:t>
      </w:r>
      <w:r w:rsidR="0030401D" w:rsidRPr="00F75592">
        <w:rPr>
          <w:rFonts w:ascii="Calibri" w:eastAsia="Calibri" w:hAnsi="Calibri" w:cs="Calibri"/>
          <w:b/>
          <w:color w:val="000000" w:themeColor="text1"/>
          <w:sz w:val="22"/>
          <w:szCs w:val="22"/>
          <w:lang w:val="bg-BG"/>
        </w:rPr>
        <w:t xml:space="preserve"> изпълнението на нивата на единни показатели за ефективност</w:t>
      </w:r>
      <w:r w:rsidR="00784EA0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.</w:t>
      </w:r>
      <w:r w:rsidR="0030401D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В резултат на </w:t>
      </w:r>
      <w:r w:rsidR="0030401D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прилага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нето му</w:t>
      </w:r>
      <w:r w:rsidR="0053146F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за лошо изпълнение или пълно неизпълнение на показателите 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след третата година на периода 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бяха наложени финансови корекции на 22 дружества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.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F75592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След петата година бяха извършени корекции 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на 15 дружества</w:t>
      </w:r>
      <w:r w:rsidR="00B41A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,</w:t>
      </w:r>
      <w:r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B41A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а други дружества получиха бонус за  добро изпълнение на показателите</w:t>
      </w:r>
      <w:r w:rsidR="00F34F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(8 дружества след третата, и 8 след петата година)</w:t>
      </w:r>
      <w:r w:rsidR="00B41A15" w:rsidRPr="00F75592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.</w:t>
      </w:r>
    </w:p>
    <w:p w14:paraId="0BB33512" w14:textId="77777777" w:rsidR="0030401D" w:rsidRPr="0030401D" w:rsidRDefault="0030401D" w:rsidP="009D2FB6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</w:p>
    <w:p w14:paraId="7507AA75" w14:textId="77777777" w:rsidR="0030401D" w:rsidRPr="0030401D" w:rsidRDefault="0030401D" w:rsidP="0067419B">
      <w:pPr>
        <w:overflowPunct/>
        <w:autoSpaceDE/>
        <w:autoSpaceDN/>
        <w:adjustRightInd/>
        <w:ind w:firstLine="720"/>
        <w:jc w:val="both"/>
        <w:textAlignment w:val="auto"/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</w:pP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В заключение </w:t>
      </w:r>
      <w:r w:rsidR="000A10C4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искаме да подчертаем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, че КЕВР стриктно изпълнява своите функции и задължения</w:t>
      </w:r>
      <w:r w:rsidR="000A10C4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като регулатор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, но </w:t>
      </w:r>
      <w:r w:rsidR="0067419B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няма контролни функции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по отношение на търговското управление на дружествата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, и</w:t>
      </w:r>
      <w:r w:rsidR="0067419B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9D2FB6"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изпълнение</w:t>
      </w:r>
      <w:r w:rsidR="0067419B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то</w:t>
      </w:r>
      <w:r w:rsidR="009D2FB6"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на договорите, с които е възложено стопанисването на публичните ВиК активи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. </w:t>
      </w:r>
      <w:r w:rsidR="0067419B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Търговското управление е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изцяло в компетенциите на МРРБ и „Български ВиК Хол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динг“ ЕАД,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а </w:t>
      </w:r>
      <w:r w:rsidR="0067419B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изпълнението на договорите 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е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 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отговорност 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на АВиК и/или общински</w:t>
      </w:r>
      <w:r w:rsidR="009D2FB6" w:rsidRPr="00AA3355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>те съвети и кметовете на общини</w:t>
      </w:r>
      <w:r w:rsidRPr="0030401D">
        <w:rPr>
          <w:rFonts w:ascii="Calibri" w:eastAsia="Calibri" w:hAnsi="Calibri" w:cs="Calibri"/>
          <w:color w:val="000000" w:themeColor="text1"/>
          <w:sz w:val="22"/>
          <w:szCs w:val="22"/>
          <w:lang w:val="bg-BG"/>
        </w:rPr>
        <w:t xml:space="preserve">. </w:t>
      </w:r>
    </w:p>
    <w:p w14:paraId="4223502D" w14:textId="77777777" w:rsidR="002C01FC" w:rsidRPr="009A7AF2" w:rsidRDefault="0030401D" w:rsidP="009D2FB6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val="bg-BG"/>
        </w:rPr>
        <w:t xml:space="preserve"> </w:t>
      </w:r>
    </w:p>
    <w:sectPr w:rsidR="002C01FC" w:rsidRPr="009A7AF2" w:rsidSect="00720C4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B9A53" w14:textId="77777777" w:rsidR="00F21B5E" w:rsidRDefault="00F21B5E">
      <w:r>
        <w:separator/>
      </w:r>
    </w:p>
  </w:endnote>
  <w:endnote w:type="continuationSeparator" w:id="0">
    <w:p w14:paraId="21E59881" w14:textId="77777777" w:rsidR="00F21B5E" w:rsidRDefault="00F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4672" w14:textId="1F57889F" w:rsidR="0099503F" w:rsidRDefault="0099503F" w:rsidP="00734F3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07D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9322"/>
    </w:tblGrid>
    <w:tr w:rsidR="006852BE" w:rsidRPr="008F7AB9" w14:paraId="347065FF" w14:textId="77777777" w:rsidTr="008F7AB9">
      <w:tc>
        <w:tcPr>
          <w:tcW w:w="9322" w:type="dxa"/>
          <w:shd w:val="clear" w:color="auto" w:fill="auto"/>
          <w:vAlign w:val="center"/>
        </w:tcPr>
        <w:p w14:paraId="4D6814F5" w14:textId="77777777" w:rsidR="006852BE" w:rsidRPr="008F7AB9" w:rsidRDefault="006852BE" w:rsidP="008F7AB9">
          <w:pPr>
            <w:pStyle w:val="Footer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  <w:lang w:val="bg-BG"/>
            </w:rPr>
          </w:pP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гр. София 10</w:t>
          </w:r>
          <w:r w:rsidRPr="008F7AB9">
            <w:rPr>
              <w:rFonts w:ascii="Verdana" w:hAnsi="Verdana"/>
              <w:noProof/>
              <w:sz w:val="16"/>
              <w:szCs w:val="16"/>
            </w:rPr>
            <w:t>00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, бул. "Кн. Ал. Дондуков" №</w:t>
          </w:r>
          <w:r w:rsidR="00E140FD" w:rsidRPr="008F7AB9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8-10</w:t>
          </w:r>
        </w:p>
        <w:p w14:paraId="2CF8CA34" w14:textId="77777777" w:rsidR="006852BE" w:rsidRPr="008F7AB9" w:rsidRDefault="006852BE" w:rsidP="008F7AB9">
          <w:pPr>
            <w:pStyle w:val="Footer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  <w:lang w:val="it-IT"/>
            </w:rPr>
          </w:pP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тел.: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(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>+3592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)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 988 24 98; факс: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(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>+3592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)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 988 87 82</w:t>
          </w:r>
        </w:p>
        <w:p w14:paraId="5F720681" w14:textId="77777777" w:rsidR="006852BE" w:rsidRPr="008F7AB9" w:rsidRDefault="00B36CE4" w:rsidP="00DD2F55">
          <w:pPr>
            <w:pStyle w:val="Footer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</w:rPr>
          </w:pPr>
          <w:r w:rsidRPr="00B36CE4">
            <w:rPr>
              <w:rFonts w:ascii="Verdana" w:hAnsi="Verdana"/>
              <w:noProof/>
              <w:sz w:val="16"/>
              <w:szCs w:val="16"/>
            </w:rPr>
            <w:t>www.dker.bg</w:t>
          </w:r>
          <w:r w:rsidR="00DD2F55">
            <w:rPr>
              <w:rFonts w:ascii="Verdana" w:hAnsi="Verdana"/>
              <w:noProof/>
              <w:sz w:val="16"/>
              <w:szCs w:val="16"/>
            </w:rPr>
            <w:t xml:space="preserve">, </w:t>
          </w:r>
          <w:r w:rsidR="006852BE" w:rsidRPr="008F7AB9">
            <w:rPr>
              <w:rFonts w:ascii="Verdana" w:hAnsi="Verdana"/>
              <w:noProof/>
              <w:sz w:val="16"/>
              <w:szCs w:val="16"/>
              <w:lang w:val="it-IT"/>
            </w:rPr>
            <w:t>e-mail: dker@dker.bg</w:t>
          </w:r>
        </w:p>
      </w:tc>
    </w:tr>
  </w:tbl>
  <w:p w14:paraId="5705A706" w14:textId="77777777" w:rsidR="006852BE" w:rsidRDefault="006852BE" w:rsidP="006852BE">
    <w:pPr>
      <w:pStyle w:val="Footer"/>
      <w:tabs>
        <w:tab w:val="left" w:pos="7230"/>
        <w:tab w:val="left" w:pos="7655"/>
      </w:tabs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85EF" w14:textId="77777777" w:rsidR="00F21B5E" w:rsidRDefault="00F21B5E">
      <w:r>
        <w:separator/>
      </w:r>
    </w:p>
  </w:footnote>
  <w:footnote w:type="continuationSeparator" w:id="0">
    <w:p w14:paraId="1C9F763D" w14:textId="77777777" w:rsidR="00F21B5E" w:rsidRDefault="00F2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EF3A6" w14:textId="77777777" w:rsidR="00DF7D8C" w:rsidRDefault="00F21B5E">
    <w:pPr>
      <w:pStyle w:val="Header"/>
    </w:pPr>
    <w:r>
      <w:rPr>
        <w:noProof/>
        <w:lang w:val="bg-BG" w:eastAsia="bg-BG"/>
      </w:rPr>
      <w:pict w14:anchorId="2BC4B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6" o:spid="_x0000_s2056" type="#_x0000_t75" style="position:absolute;margin-left:0;margin-top:0;width:369.6pt;height:369.6pt;z-index:-251658752;mso-position-horizontal:center;mso-position-horizontal-relative:margin;mso-position-vertical:center;mso-position-vertical-relative:margin" o:allowincell="f">
          <v:imagedata r:id="rId1" o:title="logo-bw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8505B" w14:textId="77777777" w:rsidR="00DF7D8C" w:rsidRDefault="00F21B5E">
    <w:pPr>
      <w:pStyle w:val="Header"/>
    </w:pPr>
    <w:r>
      <w:rPr>
        <w:noProof/>
        <w:lang w:val="bg-BG" w:eastAsia="bg-BG"/>
      </w:rPr>
      <w:pict w14:anchorId="35566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7" o:spid="_x0000_s2057" type="#_x0000_t75" style="position:absolute;margin-left:0;margin-top:0;width:369.6pt;height:369.6pt;z-index:-251657728;mso-position-horizontal:center;mso-position-horizontal-relative:margin;mso-position-vertical:center;mso-position-vertical-relative:margin" o:allowincell="f">
          <v:imagedata r:id="rId1" o:title="logo-bw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4911"/>
      <w:gridCol w:w="4411"/>
    </w:tblGrid>
    <w:tr w:rsidR="005113F0" w:rsidRPr="00842852" w14:paraId="0F8081AC" w14:textId="77777777" w:rsidTr="005113F0">
      <w:tc>
        <w:tcPr>
          <w:tcW w:w="491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EF33C5A" w14:textId="77777777" w:rsidR="005113F0" w:rsidRPr="00842852" w:rsidRDefault="00A841A1" w:rsidP="005113F0">
          <w:pPr>
            <w:pStyle w:val="Header"/>
            <w:rPr>
              <w:u w:val="single"/>
            </w:rPr>
          </w:pPr>
          <w:r>
            <w:rPr>
              <w:noProof/>
            </w:rPr>
            <w:drawing>
              <wp:inline distT="0" distB="0" distL="0" distR="0" wp14:anchorId="4DAF68FA" wp14:editId="5D5B16A3">
                <wp:extent cx="2867660" cy="810260"/>
                <wp:effectExtent l="0" t="0" r="8890" b="8890"/>
                <wp:docPr id="1" name="Picture 1" descr="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6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45F1A4B" w14:textId="77777777" w:rsidR="005113F0" w:rsidRPr="005113F0" w:rsidRDefault="00A841A1" w:rsidP="005113F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A804090" wp14:editId="75398384">
                <wp:extent cx="810260" cy="810260"/>
                <wp:effectExtent l="0" t="0" r="8890" b="8890"/>
                <wp:docPr id="2" name="Picture 2" descr="logo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B4F77" w14:textId="77777777" w:rsidR="007B41A7" w:rsidRPr="007B41A7" w:rsidRDefault="00F21B5E" w:rsidP="007B41A7">
    <w:pPr>
      <w:pStyle w:val="Header"/>
      <w:rPr>
        <w:u w:val="single"/>
      </w:rPr>
    </w:pPr>
    <w:r>
      <w:rPr>
        <w:noProof/>
        <w:lang w:val="bg-BG" w:eastAsia="bg-BG"/>
      </w:rPr>
      <w:pict w14:anchorId="3A774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5" o:spid="_x0000_s2055" type="#_x0000_t75" style="position:absolute;margin-left:44.2pt;margin-top:314.1pt;width:369.6pt;height:369.6pt;z-index:-251659776;mso-position-horizontal-relative:margin;mso-position-vertical-relative:margin" o:allowincell="f">
          <v:imagedata r:id="rId3" o:title="logo-bw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46"/>
    <w:multiLevelType w:val="hybridMultilevel"/>
    <w:tmpl w:val="52864C20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01953"/>
    <w:multiLevelType w:val="hybridMultilevel"/>
    <w:tmpl w:val="7FA44FCE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FC7150"/>
    <w:multiLevelType w:val="hybridMultilevel"/>
    <w:tmpl w:val="EAF8C25C"/>
    <w:lvl w:ilvl="0" w:tplc="13F89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523367"/>
    <w:multiLevelType w:val="hybridMultilevel"/>
    <w:tmpl w:val="FE4060EE"/>
    <w:lvl w:ilvl="0" w:tplc="D60ACCE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23708"/>
    <w:multiLevelType w:val="hybridMultilevel"/>
    <w:tmpl w:val="E476176E"/>
    <w:lvl w:ilvl="0" w:tplc="040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D26205"/>
    <w:multiLevelType w:val="hybridMultilevel"/>
    <w:tmpl w:val="67989410"/>
    <w:lvl w:ilvl="0" w:tplc="40C4028E">
      <w:start w:val="2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6136D"/>
    <w:multiLevelType w:val="hybridMultilevel"/>
    <w:tmpl w:val="9DEE39A4"/>
    <w:lvl w:ilvl="0" w:tplc="9B70C1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F4"/>
    <w:rsid w:val="0000353B"/>
    <w:rsid w:val="00005581"/>
    <w:rsid w:val="00006AEB"/>
    <w:rsid w:val="000152B3"/>
    <w:rsid w:val="00017480"/>
    <w:rsid w:val="000204E4"/>
    <w:rsid w:val="00024063"/>
    <w:rsid w:val="000316AF"/>
    <w:rsid w:val="00031F38"/>
    <w:rsid w:val="00032621"/>
    <w:rsid w:val="00032751"/>
    <w:rsid w:val="00032F58"/>
    <w:rsid w:val="00033627"/>
    <w:rsid w:val="00035D77"/>
    <w:rsid w:val="0003711E"/>
    <w:rsid w:val="00037620"/>
    <w:rsid w:val="00037E17"/>
    <w:rsid w:val="000408D2"/>
    <w:rsid w:val="00044518"/>
    <w:rsid w:val="00044E31"/>
    <w:rsid w:val="000477A0"/>
    <w:rsid w:val="000505E4"/>
    <w:rsid w:val="000509C6"/>
    <w:rsid w:val="00050FEE"/>
    <w:rsid w:val="000516B5"/>
    <w:rsid w:val="00053C37"/>
    <w:rsid w:val="00055673"/>
    <w:rsid w:val="000608C3"/>
    <w:rsid w:val="00062C2E"/>
    <w:rsid w:val="00065587"/>
    <w:rsid w:val="00067CB5"/>
    <w:rsid w:val="000707C6"/>
    <w:rsid w:val="00070CD2"/>
    <w:rsid w:val="0007197B"/>
    <w:rsid w:val="000812FB"/>
    <w:rsid w:val="000819C6"/>
    <w:rsid w:val="000832A2"/>
    <w:rsid w:val="00085398"/>
    <w:rsid w:val="0008600C"/>
    <w:rsid w:val="00086281"/>
    <w:rsid w:val="00087374"/>
    <w:rsid w:val="000931F5"/>
    <w:rsid w:val="00093CAF"/>
    <w:rsid w:val="000944D2"/>
    <w:rsid w:val="00094D1D"/>
    <w:rsid w:val="00094E44"/>
    <w:rsid w:val="000A10C4"/>
    <w:rsid w:val="000A36A5"/>
    <w:rsid w:val="000A48D4"/>
    <w:rsid w:val="000A6177"/>
    <w:rsid w:val="000B0B09"/>
    <w:rsid w:val="000B106D"/>
    <w:rsid w:val="000B202E"/>
    <w:rsid w:val="000B314D"/>
    <w:rsid w:val="000B6C9F"/>
    <w:rsid w:val="000B716E"/>
    <w:rsid w:val="000B7D18"/>
    <w:rsid w:val="000B7E56"/>
    <w:rsid w:val="000C0D07"/>
    <w:rsid w:val="000C1704"/>
    <w:rsid w:val="000C1D6D"/>
    <w:rsid w:val="000C5533"/>
    <w:rsid w:val="000C55CC"/>
    <w:rsid w:val="000C602E"/>
    <w:rsid w:val="000C691F"/>
    <w:rsid w:val="000C70C1"/>
    <w:rsid w:val="000C7237"/>
    <w:rsid w:val="000C7AAA"/>
    <w:rsid w:val="000C7F98"/>
    <w:rsid w:val="000D35C9"/>
    <w:rsid w:val="000D4205"/>
    <w:rsid w:val="000D6086"/>
    <w:rsid w:val="000D73B5"/>
    <w:rsid w:val="000E1546"/>
    <w:rsid w:val="000E1F11"/>
    <w:rsid w:val="000E21FC"/>
    <w:rsid w:val="000E338C"/>
    <w:rsid w:val="000E4AA5"/>
    <w:rsid w:val="000E56A9"/>
    <w:rsid w:val="000E59F5"/>
    <w:rsid w:val="000E5C3C"/>
    <w:rsid w:val="000E6CB4"/>
    <w:rsid w:val="000E7AF6"/>
    <w:rsid w:val="000F4BFC"/>
    <w:rsid w:val="000F590A"/>
    <w:rsid w:val="000F702A"/>
    <w:rsid w:val="000F794B"/>
    <w:rsid w:val="00100033"/>
    <w:rsid w:val="0010426F"/>
    <w:rsid w:val="00105D42"/>
    <w:rsid w:val="001069F3"/>
    <w:rsid w:val="0010724E"/>
    <w:rsid w:val="00107C81"/>
    <w:rsid w:val="00113453"/>
    <w:rsid w:val="001142D9"/>
    <w:rsid w:val="0011497B"/>
    <w:rsid w:val="0011580C"/>
    <w:rsid w:val="00115EBC"/>
    <w:rsid w:val="0012524E"/>
    <w:rsid w:val="00126C2E"/>
    <w:rsid w:val="00127AAD"/>
    <w:rsid w:val="00127CC2"/>
    <w:rsid w:val="0013181E"/>
    <w:rsid w:val="00131F83"/>
    <w:rsid w:val="001326B9"/>
    <w:rsid w:val="00133D83"/>
    <w:rsid w:val="00136807"/>
    <w:rsid w:val="001379EF"/>
    <w:rsid w:val="001414A9"/>
    <w:rsid w:val="00142629"/>
    <w:rsid w:val="00151103"/>
    <w:rsid w:val="001513CB"/>
    <w:rsid w:val="00152688"/>
    <w:rsid w:val="0015392D"/>
    <w:rsid w:val="00156F8B"/>
    <w:rsid w:val="00157B13"/>
    <w:rsid w:val="00157D1E"/>
    <w:rsid w:val="00161CCA"/>
    <w:rsid w:val="0016399B"/>
    <w:rsid w:val="00163E90"/>
    <w:rsid w:val="0016568C"/>
    <w:rsid w:val="00165D27"/>
    <w:rsid w:val="0016610D"/>
    <w:rsid w:val="001664BF"/>
    <w:rsid w:val="00172997"/>
    <w:rsid w:val="00172ABD"/>
    <w:rsid w:val="00176AB9"/>
    <w:rsid w:val="0018076A"/>
    <w:rsid w:val="001811B6"/>
    <w:rsid w:val="00181239"/>
    <w:rsid w:val="001840EF"/>
    <w:rsid w:val="00186253"/>
    <w:rsid w:val="00187E06"/>
    <w:rsid w:val="00191CEA"/>
    <w:rsid w:val="001928C4"/>
    <w:rsid w:val="00192D68"/>
    <w:rsid w:val="00192FC1"/>
    <w:rsid w:val="001932E0"/>
    <w:rsid w:val="001946FC"/>
    <w:rsid w:val="00195029"/>
    <w:rsid w:val="001A1220"/>
    <w:rsid w:val="001A1B05"/>
    <w:rsid w:val="001A1B20"/>
    <w:rsid w:val="001A32A5"/>
    <w:rsid w:val="001A4DC6"/>
    <w:rsid w:val="001A6F85"/>
    <w:rsid w:val="001A7635"/>
    <w:rsid w:val="001B0039"/>
    <w:rsid w:val="001B0C67"/>
    <w:rsid w:val="001B1341"/>
    <w:rsid w:val="001B28D0"/>
    <w:rsid w:val="001B346A"/>
    <w:rsid w:val="001B4BA5"/>
    <w:rsid w:val="001B6BEB"/>
    <w:rsid w:val="001B7367"/>
    <w:rsid w:val="001C0131"/>
    <w:rsid w:val="001C06C8"/>
    <w:rsid w:val="001C09DD"/>
    <w:rsid w:val="001C0D5C"/>
    <w:rsid w:val="001C406C"/>
    <w:rsid w:val="001C7DDE"/>
    <w:rsid w:val="001D1E09"/>
    <w:rsid w:val="001E02D4"/>
    <w:rsid w:val="001E188A"/>
    <w:rsid w:val="001E2078"/>
    <w:rsid w:val="001E4997"/>
    <w:rsid w:val="001E4FA1"/>
    <w:rsid w:val="001E763D"/>
    <w:rsid w:val="001E7C26"/>
    <w:rsid w:val="001F1917"/>
    <w:rsid w:val="001F4897"/>
    <w:rsid w:val="001F55DA"/>
    <w:rsid w:val="0020005A"/>
    <w:rsid w:val="0020178D"/>
    <w:rsid w:val="00201956"/>
    <w:rsid w:val="00203076"/>
    <w:rsid w:val="002045D6"/>
    <w:rsid w:val="002050B6"/>
    <w:rsid w:val="002060A2"/>
    <w:rsid w:val="0020653E"/>
    <w:rsid w:val="0020705D"/>
    <w:rsid w:val="00210CCB"/>
    <w:rsid w:val="00213B6B"/>
    <w:rsid w:val="002153F0"/>
    <w:rsid w:val="002155C3"/>
    <w:rsid w:val="00216BF1"/>
    <w:rsid w:val="00216FFC"/>
    <w:rsid w:val="002177FC"/>
    <w:rsid w:val="00217BE6"/>
    <w:rsid w:val="00220DC6"/>
    <w:rsid w:val="00221B7D"/>
    <w:rsid w:val="002231A0"/>
    <w:rsid w:val="00223E04"/>
    <w:rsid w:val="002240CB"/>
    <w:rsid w:val="0022518A"/>
    <w:rsid w:val="00225CC6"/>
    <w:rsid w:val="00227A47"/>
    <w:rsid w:val="00231A34"/>
    <w:rsid w:val="002341BC"/>
    <w:rsid w:val="00237E52"/>
    <w:rsid w:val="00240B0A"/>
    <w:rsid w:val="0024372A"/>
    <w:rsid w:val="00250AB6"/>
    <w:rsid w:val="0025207F"/>
    <w:rsid w:val="00252731"/>
    <w:rsid w:val="002534C2"/>
    <w:rsid w:val="00254042"/>
    <w:rsid w:val="00257D88"/>
    <w:rsid w:val="002600AA"/>
    <w:rsid w:val="002613B2"/>
    <w:rsid w:val="0026291A"/>
    <w:rsid w:val="00266D04"/>
    <w:rsid w:val="00267A86"/>
    <w:rsid w:val="002709A9"/>
    <w:rsid w:val="00272939"/>
    <w:rsid w:val="00272D7A"/>
    <w:rsid w:val="002758B6"/>
    <w:rsid w:val="0028193C"/>
    <w:rsid w:val="0028221B"/>
    <w:rsid w:val="0028285B"/>
    <w:rsid w:val="00284862"/>
    <w:rsid w:val="00284F23"/>
    <w:rsid w:val="0028507D"/>
    <w:rsid w:val="0028577C"/>
    <w:rsid w:val="00285E8D"/>
    <w:rsid w:val="002871F7"/>
    <w:rsid w:val="002874A5"/>
    <w:rsid w:val="00287ADF"/>
    <w:rsid w:val="00297C30"/>
    <w:rsid w:val="002A22CA"/>
    <w:rsid w:val="002B1A5F"/>
    <w:rsid w:val="002B467A"/>
    <w:rsid w:val="002B5DB4"/>
    <w:rsid w:val="002C01FC"/>
    <w:rsid w:val="002C09A7"/>
    <w:rsid w:val="002C1E5B"/>
    <w:rsid w:val="002C4C8D"/>
    <w:rsid w:val="002C76B3"/>
    <w:rsid w:val="002D0301"/>
    <w:rsid w:val="002D3723"/>
    <w:rsid w:val="002D3BD6"/>
    <w:rsid w:val="002D4718"/>
    <w:rsid w:val="002D5010"/>
    <w:rsid w:val="002D54F3"/>
    <w:rsid w:val="002D5F1D"/>
    <w:rsid w:val="002D7403"/>
    <w:rsid w:val="002E1116"/>
    <w:rsid w:val="002E1BCF"/>
    <w:rsid w:val="002E204B"/>
    <w:rsid w:val="002E25EF"/>
    <w:rsid w:val="002E399C"/>
    <w:rsid w:val="002E54A7"/>
    <w:rsid w:val="002E7743"/>
    <w:rsid w:val="002F098C"/>
    <w:rsid w:val="002F0B4E"/>
    <w:rsid w:val="002F2A4A"/>
    <w:rsid w:val="002F35F7"/>
    <w:rsid w:val="003025AE"/>
    <w:rsid w:val="0030401D"/>
    <w:rsid w:val="00306596"/>
    <w:rsid w:val="00306628"/>
    <w:rsid w:val="003072EC"/>
    <w:rsid w:val="00307437"/>
    <w:rsid w:val="003108FF"/>
    <w:rsid w:val="00310ADB"/>
    <w:rsid w:val="0031141A"/>
    <w:rsid w:val="0031166B"/>
    <w:rsid w:val="00312459"/>
    <w:rsid w:val="00313466"/>
    <w:rsid w:val="003138C3"/>
    <w:rsid w:val="00315702"/>
    <w:rsid w:val="00320209"/>
    <w:rsid w:val="00320575"/>
    <w:rsid w:val="00325648"/>
    <w:rsid w:val="00326295"/>
    <w:rsid w:val="00332418"/>
    <w:rsid w:val="003326E8"/>
    <w:rsid w:val="00333A56"/>
    <w:rsid w:val="00335C10"/>
    <w:rsid w:val="003362BB"/>
    <w:rsid w:val="00341338"/>
    <w:rsid w:val="00343085"/>
    <w:rsid w:val="00343B13"/>
    <w:rsid w:val="00343B8C"/>
    <w:rsid w:val="003442D2"/>
    <w:rsid w:val="003451C5"/>
    <w:rsid w:val="00351789"/>
    <w:rsid w:val="00351DB7"/>
    <w:rsid w:val="00353580"/>
    <w:rsid w:val="003535A2"/>
    <w:rsid w:val="00354D8C"/>
    <w:rsid w:val="003574DF"/>
    <w:rsid w:val="0036163A"/>
    <w:rsid w:val="003620C5"/>
    <w:rsid w:val="00362464"/>
    <w:rsid w:val="0036384F"/>
    <w:rsid w:val="00363C7D"/>
    <w:rsid w:val="0036527E"/>
    <w:rsid w:val="00371A00"/>
    <w:rsid w:val="00373037"/>
    <w:rsid w:val="00374ED8"/>
    <w:rsid w:val="00376970"/>
    <w:rsid w:val="00377CD7"/>
    <w:rsid w:val="00382CC7"/>
    <w:rsid w:val="00384B2A"/>
    <w:rsid w:val="0038539C"/>
    <w:rsid w:val="00385AF2"/>
    <w:rsid w:val="00386727"/>
    <w:rsid w:val="0038741D"/>
    <w:rsid w:val="00390849"/>
    <w:rsid w:val="00392BB2"/>
    <w:rsid w:val="003947FC"/>
    <w:rsid w:val="00396DA8"/>
    <w:rsid w:val="003A2A99"/>
    <w:rsid w:val="003A32A1"/>
    <w:rsid w:val="003A361A"/>
    <w:rsid w:val="003A5DA3"/>
    <w:rsid w:val="003A5E85"/>
    <w:rsid w:val="003A6075"/>
    <w:rsid w:val="003A7CC2"/>
    <w:rsid w:val="003B1E05"/>
    <w:rsid w:val="003B36AB"/>
    <w:rsid w:val="003B4DD7"/>
    <w:rsid w:val="003B5F7B"/>
    <w:rsid w:val="003B6251"/>
    <w:rsid w:val="003B6C36"/>
    <w:rsid w:val="003C05EA"/>
    <w:rsid w:val="003C0FFC"/>
    <w:rsid w:val="003C45C8"/>
    <w:rsid w:val="003C4EBF"/>
    <w:rsid w:val="003C5158"/>
    <w:rsid w:val="003C5F00"/>
    <w:rsid w:val="003C7766"/>
    <w:rsid w:val="003D3D79"/>
    <w:rsid w:val="003D48B2"/>
    <w:rsid w:val="003D52CD"/>
    <w:rsid w:val="003D5526"/>
    <w:rsid w:val="003D6AAA"/>
    <w:rsid w:val="003D74A2"/>
    <w:rsid w:val="003D789A"/>
    <w:rsid w:val="003E09BC"/>
    <w:rsid w:val="003E3AF8"/>
    <w:rsid w:val="003E412F"/>
    <w:rsid w:val="003E5651"/>
    <w:rsid w:val="003E5EBC"/>
    <w:rsid w:val="003E68A6"/>
    <w:rsid w:val="003E7DC2"/>
    <w:rsid w:val="003F1AF9"/>
    <w:rsid w:val="003F24BB"/>
    <w:rsid w:val="003F6285"/>
    <w:rsid w:val="0040003F"/>
    <w:rsid w:val="00400F9E"/>
    <w:rsid w:val="0040175F"/>
    <w:rsid w:val="00403EBC"/>
    <w:rsid w:val="0041234A"/>
    <w:rsid w:val="00412ABF"/>
    <w:rsid w:val="00412BB4"/>
    <w:rsid w:val="00413620"/>
    <w:rsid w:val="004156B2"/>
    <w:rsid w:val="00416D1E"/>
    <w:rsid w:val="004220F8"/>
    <w:rsid w:val="004224B8"/>
    <w:rsid w:val="00423B21"/>
    <w:rsid w:val="004262ED"/>
    <w:rsid w:val="004267DA"/>
    <w:rsid w:val="00426F55"/>
    <w:rsid w:val="0043116A"/>
    <w:rsid w:val="00434119"/>
    <w:rsid w:val="0043438E"/>
    <w:rsid w:val="004416CA"/>
    <w:rsid w:val="00441E07"/>
    <w:rsid w:val="0044485E"/>
    <w:rsid w:val="0044588F"/>
    <w:rsid w:val="00445BFE"/>
    <w:rsid w:val="0044658F"/>
    <w:rsid w:val="00447DE1"/>
    <w:rsid w:val="0045412C"/>
    <w:rsid w:val="00454897"/>
    <w:rsid w:val="00460A39"/>
    <w:rsid w:val="00461BB4"/>
    <w:rsid w:val="00462ACA"/>
    <w:rsid w:val="00464F21"/>
    <w:rsid w:val="00465695"/>
    <w:rsid w:val="0046686C"/>
    <w:rsid w:val="00466E14"/>
    <w:rsid w:val="00470440"/>
    <w:rsid w:val="00470CB2"/>
    <w:rsid w:val="00471394"/>
    <w:rsid w:val="00471AFC"/>
    <w:rsid w:val="00472506"/>
    <w:rsid w:val="00473DEA"/>
    <w:rsid w:val="00475C9A"/>
    <w:rsid w:val="00476EF2"/>
    <w:rsid w:val="00481631"/>
    <w:rsid w:val="00483729"/>
    <w:rsid w:val="00483BEE"/>
    <w:rsid w:val="00483DFA"/>
    <w:rsid w:val="00484575"/>
    <w:rsid w:val="0048464E"/>
    <w:rsid w:val="0049055F"/>
    <w:rsid w:val="0049081E"/>
    <w:rsid w:val="00490C84"/>
    <w:rsid w:val="004911D5"/>
    <w:rsid w:val="00492360"/>
    <w:rsid w:val="00494394"/>
    <w:rsid w:val="00495CCB"/>
    <w:rsid w:val="0049678E"/>
    <w:rsid w:val="00496BFA"/>
    <w:rsid w:val="00497311"/>
    <w:rsid w:val="00497C01"/>
    <w:rsid w:val="004A1573"/>
    <w:rsid w:val="004A1732"/>
    <w:rsid w:val="004A2DB5"/>
    <w:rsid w:val="004A3728"/>
    <w:rsid w:val="004A3B87"/>
    <w:rsid w:val="004A72C0"/>
    <w:rsid w:val="004A7D98"/>
    <w:rsid w:val="004B274A"/>
    <w:rsid w:val="004B28BE"/>
    <w:rsid w:val="004B3B74"/>
    <w:rsid w:val="004B7939"/>
    <w:rsid w:val="004C167A"/>
    <w:rsid w:val="004C3144"/>
    <w:rsid w:val="004C3CDD"/>
    <w:rsid w:val="004C5F08"/>
    <w:rsid w:val="004C65DE"/>
    <w:rsid w:val="004C69AF"/>
    <w:rsid w:val="004C6BCE"/>
    <w:rsid w:val="004D06CA"/>
    <w:rsid w:val="004D0C75"/>
    <w:rsid w:val="004D11F3"/>
    <w:rsid w:val="004D1EA4"/>
    <w:rsid w:val="004D651B"/>
    <w:rsid w:val="004D65EC"/>
    <w:rsid w:val="004E26B3"/>
    <w:rsid w:val="004E454A"/>
    <w:rsid w:val="004F0773"/>
    <w:rsid w:val="004F0834"/>
    <w:rsid w:val="004F3F3F"/>
    <w:rsid w:val="004F42F5"/>
    <w:rsid w:val="004F55DE"/>
    <w:rsid w:val="004F565C"/>
    <w:rsid w:val="004F7160"/>
    <w:rsid w:val="004F765C"/>
    <w:rsid w:val="00500E8F"/>
    <w:rsid w:val="0050156E"/>
    <w:rsid w:val="00501582"/>
    <w:rsid w:val="005032AF"/>
    <w:rsid w:val="005113F0"/>
    <w:rsid w:val="005166CE"/>
    <w:rsid w:val="00516E3D"/>
    <w:rsid w:val="00520FC0"/>
    <w:rsid w:val="005211F3"/>
    <w:rsid w:val="00521496"/>
    <w:rsid w:val="00522631"/>
    <w:rsid w:val="00524C70"/>
    <w:rsid w:val="00525466"/>
    <w:rsid w:val="00525A33"/>
    <w:rsid w:val="00530BF9"/>
    <w:rsid w:val="0053146F"/>
    <w:rsid w:val="00532D87"/>
    <w:rsid w:val="00540D09"/>
    <w:rsid w:val="005454E8"/>
    <w:rsid w:val="00546373"/>
    <w:rsid w:val="005479D7"/>
    <w:rsid w:val="00551466"/>
    <w:rsid w:val="00551DA7"/>
    <w:rsid w:val="00553F4F"/>
    <w:rsid w:val="005555A8"/>
    <w:rsid w:val="005560DE"/>
    <w:rsid w:val="00556156"/>
    <w:rsid w:val="005621E7"/>
    <w:rsid w:val="005663E1"/>
    <w:rsid w:val="00566AB0"/>
    <w:rsid w:val="0057056E"/>
    <w:rsid w:val="00570AF8"/>
    <w:rsid w:val="0057349E"/>
    <w:rsid w:val="00574713"/>
    <w:rsid w:val="00574F28"/>
    <w:rsid w:val="00576712"/>
    <w:rsid w:val="00581804"/>
    <w:rsid w:val="005825A0"/>
    <w:rsid w:val="0058645E"/>
    <w:rsid w:val="00591E68"/>
    <w:rsid w:val="005929BA"/>
    <w:rsid w:val="00595943"/>
    <w:rsid w:val="0059646A"/>
    <w:rsid w:val="005A05FF"/>
    <w:rsid w:val="005A3B17"/>
    <w:rsid w:val="005A5439"/>
    <w:rsid w:val="005A5FCF"/>
    <w:rsid w:val="005B1483"/>
    <w:rsid w:val="005B1706"/>
    <w:rsid w:val="005B1872"/>
    <w:rsid w:val="005B2469"/>
    <w:rsid w:val="005B30A4"/>
    <w:rsid w:val="005B6205"/>
    <w:rsid w:val="005B672A"/>
    <w:rsid w:val="005B69F7"/>
    <w:rsid w:val="005B783F"/>
    <w:rsid w:val="005B7948"/>
    <w:rsid w:val="005C22A2"/>
    <w:rsid w:val="005C4B84"/>
    <w:rsid w:val="005C723F"/>
    <w:rsid w:val="005C7DAB"/>
    <w:rsid w:val="005D00BF"/>
    <w:rsid w:val="005D1CD2"/>
    <w:rsid w:val="005D7788"/>
    <w:rsid w:val="005E1B99"/>
    <w:rsid w:val="005E334F"/>
    <w:rsid w:val="005E3EA5"/>
    <w:rsid w:val="005E5904"/>
    <w:rsid w:val="005E7B4D"/>
    <w:rsid w:val="005F0C8C"/>
    <w:rsid w:val="005F17BD"/>
    <w:rsid w:val="005F2AB0"/>
    <w:rsid w:val="005F471C"/>
    <w:rsid w:val="005F74EE"/>
    <w:rsid w:val="005F75F0"/>
    <w:rsid w:val="00602A0B"/>
    <w:rsid w:val="00603A98"/>
    <w:rsid w:val="00603D79"/>
    <w:rsid w:val="006043DA"/>
    <w:rsid w:val="00613200"/>
    <w:rsid w:val="006141C5"/>
    <w:rsid w:val="0061464E"/>
    <w:rsid w:val="00614F5B"/>
    <w:rsid w:val="006163F9"/>
    <w:rsid w:val="00621252"/>
    <w:rsid w:val="00622CD0"/>
    <w:rsid w:val="006248AA"/>
    <w:rsid w:val="00630ADE"/>
    <w:rsid w:val="006322C0"/>
    <w:rsid w:val="0063461F"/>
    <w:rsid w:val="00634A53"/>
    <w:rsid w:val="00634FC7"/>
    <w:rsid w:val="006352B0"/>
    <w:rsid w:val="0063548F"/>
    <w:rsid w:val="00642056"/>
    <w:rsid w:val="00642CEE"/>
    <w:rsid w:val="00645F2D"/>
    <w:rsid w:val="0064615D"/>
    <w:rsid w:val="00647DE3"/>
    <w:rsid w:val="006500C9"/>
    <w:rsid w:val="00650B53"/>
    <w:rsid w:val="00652091"/>
    <w:rsid w:val="00652591"/>
    <w:rsid w:val="006544BE"/>
    <w:rsid w:val="00655F80"/>
    <w:rsid w:val="006600C2"/>
    <w:rsid w:val="006619F4"/>
    <w:rsid w:val="00662606"/>
    <w:rsid w:val="006671B3"/>
    <w:rsid w:val="0066731B"/>
    <w:rsid w:val="006700B5"/>
    <w:rsid w:val="00670A44"/>
    <w:rsid w:val="00673CF4"/>
    <w:rsid w:val="0067419B"/>
    <w:rsid w:val="00674310"/>
    <w:rsid w:val="00675A8C"/>
    <w:rsid w:val="00676B36"/>
    <w:rsid w:val="00680017"/>
    <w:rsid w:val="006800F4"/>
    <w:rsid w:val="006802E2"/>
    <w:rsid w:val="006805F3"/>
    <w:rsid w:val="00680FE0"/>
    <w:rsid w:val="006811F1"/>
    <w:rsid w:val="00682B6E"/>
    <w:rsid w:val="0068447B"/>
    <w:rsid w:val="00685257"/>
    <w:rsid w:val="006852BE"/>
    <w:rsid w:val="00685371"/>
    <w:rsid w:val="0069522B"/>
    <w:rsid w:val="0069576C"/>
    <w:rsid w:val="0069583A"/>
    <w:rsid w:val="006A0385"/>
    <w:rsid w:val="006A3FDA"/>
    <w:rsid w:val="006A498E"/>
    <w:rsid w:val="006A518F"/>
    <w:rsid w:val="006A5820"/>
    <w:rsid w:val="006A6839"/>
    <w:rsid w:val="006B227E"/>
    <w:rsid w:val="006B44C7"/>
    <w:rsid w:val="006B5705"/>
    <w:rsid w:val="006B6D5E"/>
    <w:rsid w:val="006B75F4"/>
    <w:rsid w:val="006C2E64"/>
    <w:rsid w:val="006C31B6"/>
    <w:rsid w:val="006C4322"/>
    <w:rsid w:val="006C554A"/>
    <w:rsid w:val="006D09D8"/>
    <w:rsid w:val="006D3850"/>
    <w:rsid w:val="006D3F63"/>
    <w:rsid w:val="006D4ABE"/>
    <w:rsid w:val="006D539B"/>
    <w:rsid w:val="006D5A89"/>
    <w:rsid w:val="006D6838"/>
    <w:rsid w:val="006D717A"/>
    <w:rsid w:val="006E1608"/>
    <w:rsid w:val="006E22BE"/>
    <w:rsid w:val="006E2652"/>
    <w:rsid w:val="006E2D9C"/>
    <w:rsid w:val="006E3A4F"/>
    <w:rsid w:val="006E482B"/>
    <w:rsid w:val="006E666A"/>
    <w:rsid w:val="006E6783"/>
    <w:rsid w:val="006F0F9F"/>
    <w:rsid w:val="006F1E7A"/>
    <w:rsid w:val="006F26AC"/>
    <w:rsid w:val="006F6A39"/>
    <w:rsid w:val="00700A51"/>
    <w:rsid w:val="00702EA7"/>
    <w:rsid w:val="00705D7C"/>
    <w:rsid w:val="00706215"/>
    <w:rsid w:val="007112EC"/>
    <w:rsid w:val="0071289F"/>
    <w:rsid w:val="007159FA"/>
    <w:rsid w:val="00720A4A"/>
    <w:rsid w:val="00720C4A"/>
    <w:rsid w:val="00721B84"/>
    <w:rsid w:val="007233BB"/>
    <w:rsid w:val="00723747"/>
    <w:rsid w:val="007238C2"/>
    <w:rsid w:val="00724B66"/>
    <w:rsid w:val="00726113"/>
    <w:rsid w:val="007273E7"/>
    <w:rsid w:val="00731C1E"/>
    <w:rsid w:val="0073219A"/>
    <w:rsid w:val="00734CF8"/>
    <w:rsid w:val="00734F33"/>
    <w:rsid w:val="00734FC7"/>
    <w:rsid w:val="007355DA"/>
    <w:rsid w:val="00735898"/>
    <w:rsid w:val="007376A8"/>
    <w:rsid w:val="0073771C"/>
    <w:rsid w:val="00740E70"/>
    <w:rsid w:val="00743587"/>
    <w:rsid w:val="00744A27"/>
    <w:rsid w:val="00750E77"/>
    <w:rsid w:val="00752DF0"/>
    <w:rsid w:val="00753E44"/>
    <w:rsid w:val="007540E2"/>
    <w:rsid w:val="00756B66"/>
    <w:rsid w:val="00756DE6"/>
    <w:rsid w:val="007578F3"/>
    <w:rsid w:val="00757F8A"/>
    <w:rsid w:val="00760EC4"/>
    <w:rsid w:val="00761ADE"/>
    <w:rsid w:val="007703EE"/>
    <w:rsid w:val="00775EB0"/>
    <w:rsid w:val="007762D6"/>
    <w:rsid w:val="007802F4"/>
    <w:rsid w:val="0078126F"/>
    <w:rsid w:val="007834B1"/>
    <w:rsid w:val="00784EA0"/>
    <w:rsid w:val="00791D4A"/>
    <w:rsid w:val="00793A2B"/>
    <w:rsid w:val="00793EA7"/>
    <w:rsid w:val="00795E7C"/>
    <w:rsid w:val="00796C2B"/>
    <w:rsid w:val="007974F5"/>
    <w:rsid w:val="007A32D9"/>
    <w:rsid w:val="007A58AC"/>
    <w:rsid w:val="007A5904"/>
    <w:rsid w:val="007A6290"/>
    <w:rsid w:val="007A6C06"/>
    <w:rsid w:val="007B356A"/>
    <w:rsid w:val="007B3F11"/>
    <w:rsid w:val="007B41A7"/>
    <w:rsid w:val="007B6032"/>
    <w:rsid w:val="007B696A"/>
    <w:rsid w:val="007B73F6"/>
    <w:rsid w:val="007B7AF0"/>
    <w:rsid w:val="007C0052"/>
    <w:rsid w:val="007C0FFE"/>
    <w:rsid w:val="007C1421"/>
    <w:rsid w:val="007C2467"/>
    <w:rsid w:val="007C3642"/>
    <w:rsid w:val="007C412A"/>
    <w:rsid w:val="007C41D7"/>
    <w:rsid w:val="007C49AF"/>
    <w:rsid w:val="007C73B8"/>
    <w:rsid w:val="007C75EC"/>
    <w:rsid w:val="007D3C72"/>
    <w:rsid w:val="007D3EEF"/>
    <w:rsid w:val="007E1FD8"/>
    <w:rsid w:val="007E320D"/>
    <w:rsid w:val="007E3539"/>
    <w:rsid w:val="007E357E"/>
    <w:rsid w:val="007E4994"/>
    <w:rsid w:val="007E53E3"/>
    <w:rsid w:val="007E70DF"/>
    <w:rsid w:val="007E7AB7"/>
    <w:rsid w:val="007F086A"/>
    <w:rsid w:val="007F1278"/>
    <w:rsid w:val="007F32B4"/>
    <w:rsid w:val="007F6339"/>
    <w:rsid w:val="007F665B"/>
    <w:rsid w:val="00800E55"/>
    <w:rsid w:val="0080125E"/>
    <w:rsid w:val="00802AEA"/>
    <w:rsid w:val="008040A0"/>
    <w:rsid w:val="00804DEE"/>
    <w:rsid w:val="00805C7E"/>
    <w:rsid w:val="008067F1"/>
    <w:rsid w:val="00807013"/>
    <w:rsid w:val="00810553"/>
    <w:rsid w:val="00811907"/>
    <w:rsid w:val="00811E61"/>
    <w:rsid w:val="00811E83"/>
    <w:rsid w:val="00812BDA"/>
    <w:rsid w:val="00813655"/>
    <w:rsid w:val="00816AD9"/>
    <w:rsid w:val="00816E5F"/>
    <w:rsid w:val="00817907"/>
    <w:rsid w:val="008207E4"/>
    <w:rsid w:val="008217B9"/>
    <w:rsid w:val="008217F2"/>
    <w:rsid w:val="00822CAE"/>
    <w:rsid w:val="008251DB"/>
    <w:rsid w:val="00825963"/>
    <w:rsid w:val="00825F5B"/>
    <w:rsid w:val="008300F3"/>
    <w:rsid w:val="008312A0"/>
    <w:rsid w:val="0084207F"/>
    <w:rsid w:val="00842852"/>
    <w:rsid w:val="0084420A"/>
    <w:rsid w:val="008475C5"/>
    <w:rsid w:val="0085348A"/>
    <w:rsid w:val="00853C8E"/>
    <w:rsid w:val="00854695"/>
    <w:rsid w:val="00856CBC"/>
    <w:rsid w:val="0086119E"/>
    <w:rsid w:val="008623E0"/>
    <w:rsid w:val="00863328"/>
    <w:rsid w:val="008636F4"/>
    <w:rsid w:val="00863D95"/>
    <w:rsid w:val="00864BE8"/>
    <w:rsid w:val="00864E1D"/>
    <w:rsid w:val="008655E6"/>
    <w:rsid w:val="0086615B"/>
    <w:rsid w:val="00867D10"/>
    <w:rsid w:val="00870540"/>
    <w:rsid w:val="008707DD"/>
    <w:rsid w:val="00872888"/>
    <w:rsid w:val="00875983"/>
    <w:rsid w:val="00876D71"/>
    <w:rsid w:val="00877D37"/>
    <w:rsid w:val="00890069"/>
    <w:rsid w:val="008915B0"/>
    <w:rsid w:val="00892153"/>
    <w:rsid w:val="00893C86"/>
    <w:rsid w:val="00893E59"/>
    <w:rsid w:val="00894EFB"/>
    <w:rsid w:val="008A1D50"/>
    <w:rsid w:val="008A301B"/>
    <w:rsid w:val="008A4A52"/>
    <w:rsid w:val="008A4EE6"/>
    <w:rsid w:val="008A59E4"/>
    <w:rsid w:val="008A738C"/>
    <w:rsid w:val="008A7F24"/>
    <w:rsid w:val="008B1BB3"/>
    <w:rsid w:val="008B46AE"/>
    <w:rsid w:val="008B4FF3"/>
    <w:rsid w:val="008B7071"/>
    <w:rsid w:val="008B7CE5"/>
    <w:rsid w:val="008C0557"/>
    <w:rsid w:val="008C16B6"/>
    <w:rsid w:val="008C44F1"/>
    <w:rsid w:val="008C4D83"/>
    <w:rsid w:val="008C55A0"/>
    <w:rsid w:val="008C5F24"/>
    <w:rsid w:val="008C652E"/>
    <w:rsid w:val="008D057E"/>
    <w:rsid w:val="008D1BBA"/>
    <w:rsid w:val="008D5F43"/>
    <w:rsid w:val="008D611E"/>
    <w:rsid w:val="008E1842"/>
    <w:rsid w:val="008E234B"/>
    <w:rsid w:val="008E24D9"/>
    <w:rsid w:val="008E55A5"/>
    <w:rsid w:val="008E62C5"/>
    <w:rsid w:val="008F02C4"/>
    <w:rsid w:val="008F2B35"/>
    <w:rsid w:val="008F4FA9"/>
    <w:rsid w:val="008F7AB9"/>
    <w:rsid w:val="00900D48"/>
    <w:rsid w:val="0090201A"/>
    <w:rsid w:val="00906DCE"/>
    <w:rsid w:val="00907190"/>
    <w:rsid w:val="00907B4F"/>
    <w:rsid w:val="00907C8E"/>
    <w:rsid w:val="009103A9"/>
    <w:rsid w:val="00910A4B"/>
    <w:rsid w:val="009115F6"/>
    <w:rsid w:val="00911DC9"/>
    <w:rsid w:val="0091357B"/>
    <w:rsid w:val="00914787"/>
    <w:rsid w:val="0091497D"/>
    <w:rsid w:val="00915B25"/>
    <w:rsid w:val="00917780"/>
    <w:rsid w:val="009220A3"/>
    <w:rsid w:val="00922591"/>
    <w:rsid w:val="00924F2F"/>
    <w:rsid w:val="009258C1"/>
    <w:rsid w:val="00931A36"/>
    <w:rsid w:val="00932002"/>
    <w:rsid w:val="0093368E"/>
    <w:rsid w:val="009356A8"/>
    <w:rsid w:val="00936BDC"/>
    <w:rsid w:val="00937F81"/>
    <w:rsid w:val="0094306B"/>
    <w:rsid w:val="00943BEC"/>
    <w:rsid w:val="00944F6B"/>
    <w:rsid w:val="009468DB"/>
    <w:rsid w:val="00946D85"/>
    <w:rsid w:val="009507DE"/>
    <w:rsid w:val="009509DE"/>
    <w:rsid w:val="0095121B"/>
    <w:rsid w:val="009547F0"/>
    <w:rsid w:val="00954AA8"/>
    <w:rsid w:val="00954BE8"/>
    <w:rsid w:val="009566FB"/>
    <w:rsid w:val="00957008"/>
    <w:rsid w:val="00957CE3"/>
    <w:rsid w:val="0096010B"/>
    <w:rsid w:val="009601CA"/>
    <w:rsid w:val="00961C7B"/>
    <w:rsid w:val="00963611"/>
    <w:rsid w:val="00964C47"/>
    <w:rsid w:val="0096673A"/>
    <w:rsid w:val="00971FF1"/>
    <w:rsid w:val="00972477"/>
    <w:rsid w:val="009734EF"/>
    <w:rsid w:val="00973CC9"/>
    <w:rsid w:val="00974546"/>
    <w:rsid w:val="00975541"/>
    <w:rsid w:val="009767F9"/>
    <w:rsid w:val="00977152"/>
    <w:rsid w:val="00977A4E"/>
    <w:rsid w:val="00981C5D"/>
    <w:rsid w:val="009855EE"/>
    <w:rsid w:val="00987597"/>
    <w:rsid w:val="00987940"/>
    <w:rsid w:val="00987B1A"/>
    <w:rsid w:val="00987D92"/>
    <w:rsid w:val="009902D1"/>
    <w:rsid w:val="00991DC3"/>
    <w:rsid w:val="009934E4"/>
    <w:rsid w:val="0099475F"/>
    <w:rsid w:val="0099503F"/>
    <w:rsid w:val="009969C1"/>
    <w:rsid w:val="009979A1"/>
    <w:rsid w:val="009A11FC"/>
    <w:rsid w:val="009A14F8"/>
    <w:rsid w:val="009A1C3E"/>
    <w:rsid w:val="009A49E5"/>
    <w:rsid w:val="009A5B18"/>
    <w:rsid w:val="009A7AF2"/>
    <w:rsid w:val="009B1E77"/>
    <w:rsid w:val="009B2070"/>
    <w:rsid w:val="009B35D3"/>
    <w:rsid w:val="009B3607"/>
    <w:rsid w:val="009B50DF"/>
    <w:rsid w:val="009B6EED"/>
    <w:rsid w:val="009B7478"/>
    <w:rsid w:val="009B7AED"/>
    <w:rsid w:val="009B7C34"/>
    <w:rsid w:val="009C1CE8"/>
    <w:rsid w:val="009C47B9"/>
    <w:rsid w:val="009C525F"/>
    <w:rsid w:val="009C77FD"/>
    <w:rsid w:val="009C7D45"/>
    <w:rsid w:val="009C7F06"/>
    <w:rsid w:val="009D1D07"/>
    <w:rsid w:val="009D26CB"/>
    <w:rsid w:val="009D2BE6"/>
    <w:rsid w:val="009D2FB6"/>
    <w:rsid w:val="009D35CB"/>
    <w:rsid w:val="009D3DED"/>
    <w:rsid w:val="009D4C55"/>
    <w:rsid w:val="009D6931"/>
    <w:rsid w:val="009D784A"/>
    <w:rsid w:val="009D7DDF"/>
    <w:rsid w:val="009E00E6"/>
    <w:rsid w:val="009E5E86"/>
    <w:rsid w:val="009E662A"/>
    <w:rsid w:val="009E6D0C"/>
    <w:rsid w:val="009F3C52"/>
    <w:rsid w:val="009F4018"/>
    <w:rsid w:val="009F5BF9"/>
    <w:rsid w:val="009F60F1"/>
    <w:rsid w:val="00A00772"/>
    <w:rsid w:val="00A01461"/>
    <w:rsid w:val="00A01BA6"/>
    <w:rsid w:val="00A04532"/>
    <w:rsid w:val="00A0587B"/>
    <w:rsid w:val="00A0788D"/>
    <w:rsid w:val="00A07977"/>
    <w:rsid w:val="00A1001A"/>
    <w:rsid w:val="00A13F79"/>
    <w:rsid w:val="00A15731"/>
    <w:rsid w:val="00A1737F"/>
    <w:rsid w:val="00A17690"/>
    <w:rsid w:val="00A21949"/>
    <w:rsid w:val="00A22284"/>
    <w:rsid w:val="00A23048"/>
    <w:rsid w:val="00A25525"/>
    <w:rsid w:val="00A25766"/>
    <w:rsid w:val="00A25AE1"/>
    <w:rsid w:val="00A274E0"/>
    <w:rsid w:val="00A314F0"/>
    <w:rsid w:val="00A32926"/>
    <w:rsid w:val="00A34463"/>
    <w:rsid w:val="00A34A53"/>
    <w:rsid w:val="00A35825"/>
    <w:rsid w:val="00A35B3C"/>
    <w:rsid w:val="00A3675B"/>
    <w:rsid w:val="00A37FD5"/>
    <w:rsid w:val="00A403DB"/>
    <w:rsid w:val="00A42C0A"/>
    <w:rsid w:val="00A42EDB"/>
    <w:rsid w:val="00A4470E"/>
    <w:rsid w:val="00A53A42"/>
    <w:rsid w:val="00A53E0C"/>
    <w:rsid w:val="00A54B51"/>
    <w:rsid w:val="00A56D96"/>
    <w:rsid w:val="00A57A69"/>
    <w:rsid w:val="00A61545"/>
    <w:rsid w:val="00A63278"/>
    <w:rsid w:val="00A67983"/>
    <w:rsid w:val="00A707C5"/>
    <w:rsid w:val="00A71234"/>
    <w:rsid w:val="00A71878"/>
    <w:rsid w:val="00A71C60"/>
    <w:rsid w:val="00A72E26"/>
    <w:rsid w:val="00A75241"/>
    <w:rsid w:val="00A7617E"/>
    <w:rsid w:val="00A7674A"/>
    <w:rsid w:val="00A7765D"/>
    <w:rsid w:val="00A801BE"/>
    <w:rsid w:val="00A81868"/>
    <w:rsid w:val="00A841A1"/>
    <w:rsid w:val="00A84E41"/>
    <w:rsid w:val="00A8628D"/>
    <w:rsid w:val="00A86E7E"/>
    <w:rsid w:val="00A90357"/>
    <w:rsid w:val="00A90608"/>
    <w:rsid w:val="00A93178"/>
    <w:rsid w:val="00A9692E"/>
    <w:rsid w:val="00A9766E"/>
    <w:rsid w:val="00A97F14"/>
    <w:rsid w:val="00AA100F"/>
    <w:rsid w:val="00AA3355"/>
    <w:rsid w:val="00AA4F0F"/>
    <w:rsid w:val="00AA5B22"/>
    <w:rsid w:val="00AA5E81"/>
    <w:rsid w:val="00AA7B35"/>
    <w:rsid w:val="00AB00CF"/>
    <w:rsid w:val="00AB0212"/>
    <w:rsid w:val="00AB0547"/>
    <w:rsid w:val="00AB1221"/>
    <w:rsid w:val="00AB18EC"/>
    <w:rsid w:val="00AB3D6B"/>
    <w:rsid w:val="00AB4883"/>
    <w:rsid w:val="00AB58DC"/>
    <w:rsid w:val="00AB6659"/>
    <w:rsid w:val="00AC1267"/>
    <w:rsid w:val="00AC3229"/>
    <w:rsid w:val="00AC4701"/>
    <w:rsid w:val="00AC6137"/>
    <w:rsid w:val="00AC7FFC"/>
    <w:rsid w:val="00AD1054"/>
    <w:rsid w:val="00AD13E8"/>
    <w:rsid w:val="00AD2670"/>
    <w:rsid w:val="00AD3D96"/>
    <w:rsid w:val="00AD3EC9"/>
    <w:rsid w:val="00AD4705"/>
    <w:rsid w:val="00AD4790"/>
    <w:rsid w:val="00AD652C"/>
    <w:rsid w:val="00AD6A05"/>
    <w:rsid w:val="00AD6E30"/>
    <w:rsid w:val="00AE1D19"/>
    <w:rsid w:val="00AE4628"/>
    <w:rsid w:val="00AE4BC2"/>
    <w:rsid w:val="00AE6324"/>
    <w:rsid w:val="00AE6726"/>
    <w:rsid w:val="00AE6D40"/>
    <w:rsid w:val="00AF1480"/>
    <w:rsid w:val="00AF4AA9"/>
    <w:rsid w:val="00AF6000"/>
    <w:rsid w:val="00AF7BF5"/>
    <w:rsid w:val="00B00C82"/>
    <w:rsid w:val="00B01C62"/>
    <w:rsid w:val="00B02088"/>
    <w:rsid w:val="00B034F8"/>
    <w:rsid w:val="00B05462"/>
    <w:rsid w:val="00B06C54"/>
    <w:rsid w:val="00B078C7"/>
    <w:rsid w:val="00B079D6"/>
    <w:rsid w:val="00B07B2C"/>
    <w:rsid w:val="00B07B8C"/>
    <w:rsid w:val="00B10B22"/>
    <w:rsid w:val="00B10CF7"/>
    <w:rsid w:val="00B112C2"/>
    <w:rsid w:val="00B13DFD"/>
    <w:rsid w:val="00B14377"/>
    <w:rsid w:val="00B177B5"/>
    <w:rsid w:val="00B17E9F"/>
    <w:rsid w:val="00B20895"/>
    <w:rsid w:val="00B21836"/>
    <w:rsid w:val="00B23B7A"/>
    <w:rsid w:val="00B24966"/>
    <w:rsid w:val="00B33CEC"/>
    <w:rsid w:val="00B34728"/>
    <w:rsid w:val="00B36CE4"/>
    <w:rsid w:val="00B409F1"/>
    <w:rsid w:val="00B417F3"/>
    <w:rsid w:val="00B41896"/>
    <w:rsid w:val="00B41A15"/>
    <w:rsid w:val="00B41EFB"/>
    <w:rsid w:val="00B43F28"/>
    <w:rsid w:val="00B440FB"/>
    <w:rsid w:val="00B46154"/>
    <w:rsid w:val="00B50274"/>
    <w:rsid w:val="00B5035B"/>
    <w:rsid w:val="00B51EF0"/>
    <w:rsid w:val="00B54DF8"/>
    <w:rsid w:val="00B567D4"/>
    <w:rsid w:val="00B57647"/>
    <w:rsid w:val="00B6004F"/>
    <w:rsid w:val="00B61361"/>
    <w:rsid w:val="00B62474"/>
    <w:rsid w:val="00B64CAF"/>
    <w:rsid w:val="00B70D80"/>
    <w:rsid w:val="00B7530E"/>
    <w:rsid w:val="00B805CF"/>
    <w:rsid w:val="00B86671"/>
    <w:rsid w:val="00B91F1D"/>
    <w:rsid w:val="00B92857"/>
    <w:rsid w:val="00B9466E"/>
    <w:rsid w:val="00B960E6"/>
    <w:rsid w:val="00B96576"/>
    <w:rsid w:val="00B97C77"/>
    <w:rsid w:val="00BA1728"/>
    <w:rsid w:val="00BA243B"/>
    <w:rsid w:val="00BA373C"/>
    <w:rsid w:val="00BA3AF8"/>
    <w:rsid w:val="00BA48DD"/>
    <w:rsid w:val="00BA5740"/>
    <w:rsid w:val="00BA7CCA"/>
    <w:rsid w:val="00BB00A6"/>
    <w:rsid w:val="00BB0187"/>
    <w:rsid w:val="00BB0FC9"/>
    <w:rsid w:val="00BB3BBF"/>
    <w:rsid w:val="00BB4758"/>
    <w:rsid w:val="00BB6F4A"/>
    <w:rsid w:val="00BC19C1"/>
    <w:rsid w:val="00BC23E6"/>
    <w:rsid w:val="00BC3FF6"/>
    <w:rsid w:val="00BC7622"/>
    <w:rsid w:val="00BC7942"/>
    <w:rsid w:val="00BD0323"/>
    <w:rsid w:val="00BD150C"/>
    <w:rsid w:val="00BD1DD3"/>
    <w:rsid w:val="00BD426A"/>
    <w:rsid w:val="00BD6517"/>
    <w:rsid w:val="00BE226E"/>
    <w:rsid w:val="00BE3506"/>
    <w:rsid w:val="00BE5465"/>
    <w:rsid w:val="00BE5D69"/>
    <w:rsid w:val="00BF0497"/>
    <w:rsid w:val="00BF1755"/>
    <w:rsid w:val="00BF19D9"/>
    <w:rsid w:val="00BF2344"/>
    <w:rsid w:val="00BF3181"/>
    <w:rsid w:val="00BF3513"/>
    <w:rsid w:val="00BF3E21"/>
    <w:rsid w:val="00C04D90"/>
    <w:rsid w:val="00C06B5A"/>
    <w:rsid w:val="00C06F1B"/>
    <w:rsid w:val="00C117A9"/>
    <w:rsid w:val="00C13200"/>
    <w:rsid w:val="00C13596"/>
    <w:rsid w:val="00C14EA2"/>
    <w:rsid w:val="00C23C2E"/>
    <w:rsid w:val="00C24F4E"/>
    <w:rsid w:val="00C255F7"/>
    <w:rsid w:val="00C2679A"/>
    <w:rsid w:val="00C30768"/>
    <w:rsid w:val="00C31C80"/>
    <w:rsid w:val="00C372E9"/>
    <w:rsid w:val="00C43CE5"/>
    <w:rsid w:val="00C448CA"/>
    <w:rsid w:val="00C467D9"/>
    <w:rsid w:val="00C473A4"/>
    <w:rsid w:val="00C50DAD"/>
    <w:rsid w:val="00C51520"/>
    <w:rsid w:val="00C51849"/>
    <w:rsid w:val="00C51D3F"/>
    <w:rsid w:val="00C51D99"/>
    <w:rsid w:val="00C536C5"/>
    <w:rsid w:val="00C5443C"/>
    <w:rsid w:val="00C57A9E"/>
    <w:rsid w:val="00C6283C"/>
    <w:rsid w:val="00C66237"/>
    <w:rsid w:val="00C66FF3"/>
    <w:rsid w:val="00C67347"/>
    <w:rsid w:val="00C701BB"/>
    <w:rsid w:val="00C72EEA"/>
    <w:rsid w:val="00C76176"/>
    <w:rsid w:val="00C76EA2"/>
    <w:rsid w:val="00C81BEF"/>
    <w:rsid w:val="00C833F9"/>
    <w:rsid w:val="00C842B7"/>
    <w:rsid w:val="00C844D5"/>
    <w:rsid w:val="00C85803"/>
    <w:rsid w:val="00C87791"/>
    <w:rsid w:val="00C90489"/>
    <w:rsid w:val="00C90EB5"/>
    <w:rsid w:val="00C93335"/>
    <w:rsid w:val="00C952A0"/>
    <w:rsid w:val="00CA074A"/>
    <w:rsid w:val="00CA1813"/>
    <w:rsid w:val="00CA2B63"/>
    <w:rsid w:val="00CA5E70"/>
    <w:rsid w:val="00CA7F7A"/>
    <w:rsid w:val="00CB0400"/>
    <w:rsid w:val="00CB0541"/>
    <w:rsid w:val="00CB44CC"/>
    <w:rsid w:val="00CB63BD"/>
    <w:rsid w:val="00CB7A59"/>
    <w:rsid w:val="00CC1261"/>
    <w:rsid w:val="00CC2D7F"/>
    <w:rsid w:val="00CC3103"/>
    <w:rsid w:val="00CC3B91"/>
    <w:rsid w:val="00CC5F50"/>
    <w:rsid w:val="00CD6E2B"/>
    <w:rsid w:val="00CE00A3"/>
    <w:rsid w:val="00CE048A"/>
    <w:rsid w:val="00CE0BE1"/>
    <w:rsid w:val="00CE23E8"/>
    <w:rsid w:val="00CE265B"/>
    <w:rsid w:val="00CE3E16"/>
    <w:rsid w:val="00CE5A21"/>
    <w:rsid w:val="00CE6182"/>
    <w:rsid w:val="00CE768F"/>
    <w:rsid w:val="00CF28D0"/>
    <w:rsid w:val="00CF3B18"/>
    <w:rsid w:val="00CF43F7"/>
    <w:rsid w:val="00CF443B"/>
    <w:rsid w:val="00CF6FE4"/>
    <w:rsid w:val="00CF7984"/>
    <w:rsid w:val="00CF79BC"/>
    <w:rsid w:val="00CF7A36"/>
    <w:rsid w:val="00D00ADA"/>
    <w:rsid w:val="00D00B88"/>
    <w:rsid w:val="00D01FDB"/>
    <w:rsid w:val="00D03C17"/>
    <w:rsid w:val="00D04B30"/>
    <w:rsid w:val="00D04E81"/>
    <w:rsid w:val="00D050C0"/>
    <w:rsid w:val="00D05F0A"/>
    <w:rsid w:val="00D12021"/>
    <w:rsid w:val="00D166D6"/>
    <w:rsid w:val="00D1756C"/>
    <w:rsid w:val="00D178EE"/>
    <w:rsid w:val="00D25112"/>
    <w:rsid w:val="00D253C8"/>
    <w:rsid w:val="00D259F5"/>
    <w:rsid w:val="00D27A29"/>
    <w:rsid w:val="00D34202"/>
    <w:rsid w:val="00D34C78"/>
    <w:rsid w:val="00D358D0"/>
    <w:rsid w:val="00D40016"/>
    <w:rsid w:val="00D41CAA"/>
    <w:rsid w:val="00D43B17"/>
    <w:rsid w:val="00D44F56"/>
    <w:rsid w:val="00D450FA"/>
    <w:rsid w:val="00D45A5B"/>
    <w:rsid w:val="00D46130"/>
    <w:rsid w:val="00D47643"/>
    <w:rsid w:val="00D54438"/>
    <w:rsid w:val="00D57E8A"/>
    <w:rsid w:val="00D610C5"/>
    <w:rsid w:val="00D61AE4"/>
    <w:rsid w:val="00D625A5"/>
    <w:rsid w:val="00D62CFE"/>
    <w:rsid w:val="00D633B6"/>
    <w:rsid w:val="00D64D77"/>
    <w:rsid w:val="00D6632C"/>
    <w:rsid w:val="00D679EE"/>
    <w:rsid w:val="00D726DF"/>
    <w:rsid w:val="00D72CDE"/>
    <w:rsid w:val="00D737C5"/>
    <w:rsid w:val="00D7472F"/>
    <w:rsid w:val="00D74D16"/>
    <w:rsid w:val="00D75AB9"/>
    <w:rsid w:val="00D75E08"/>
    <w:rsid w:val="00D83066"/>
    <w:rsid w:val="00D86DC5"/>
    <w:rsid w:val="00D875D7"/>
    <w:rsid w:val="00D95564"/>
    <w:rsid w:val="00D9681B"/>
    <w:rsid w:val="00D96991"/>
    <w:rsid w:val="00DA0A8F"/>
    <w:rsid w:val="00DA0F8A"/>
    <w:rsid w:val="00DA25A1"/>
    <w:rsid w:val="00DA2FD9"/>
    <w:rsid w:val="00DA67F0"/>
    <w:rsid w:val="00DA6A7C"/>
    <w:rsid w:val="00DB0665"/>
    <w:rsid w:val="00DB23BB"/>
    <w:rsid w:val="00DC151E"/>
    <w:rsid w:val="00DC3066"/>
    <w:rsid w:val="00DC35E0"/>
    <w:rsid w:val="00DC35F0"/>
    <w:rsid w:val="00DC4E53"/>
    <w:rsid w:val="00DC4F7B"/>
    <w:rsid w:val="00DC5D61"/>
    <w:rsid w:val="00DC7665"/>
    <w:rsid w:val="00DC7973"/>
    <w:rsid w:val="00DD2707"/>
    <w:rsid w:val="00DD2F55"/>
    <w:rsid w:val="00DD3A2E"/>
    <w:rsid w:val="00DD5EE8"/>
    <w:rsid w:val="00DE11EE"/>
    <w:rsid w:val="00DE129E"/>
    <w:rsid w:val="00DE1F09"/>
    <w:rsid w:val="00DE264E"/>
    <w:rsid w:val="00DE3F96"/>
    <w:rsid w:val="00DE6E3F"/>
    <w:rsid w:val="00DE78E0"/>
    <w:rsid w:val="00DF2411"/>
    <w:rsid w:val="00DF2B10"/>
    <w:rsid w:val="00DF2BF6"/>
    <w:rsid w:val="00DF2CC9"/>
    <w:rsid w:val="00DF51B1"/>
    <w:rsid w:val="00DF651B"/>
    <w:rsid w:val="00DF6613"/>
    <w:rsid w:val="00DF7D8C"/>
    <w:rsid w:val="00E01A40"/>
    <w:rsid w:val="00E04ADC"/>
    <w:rsid w:val="00E04BA1"/>
    <w:rsid w:val="00E05028"/>
    <w:rsid w:val="00E05C3A"/>
    <w:rsid w:val="00E05F01"/>
    <w:rsid w:val="00E07D0D"/>
    <w:rsid w:val="00E11056"/>
    <w:rsid w:val="00E1358B"/>
    <w:rsid w:val="00E13CE1"/>
    <w:rsid w:val="00E140FD"/>
    <w:rsid w:val="00E14B4E"/>
    <w:rsid w:val="00E15FB0"/>
    <w:rsid w:val="00E1680C"/>
    <w:rsid w:val="00E17026"/>
    <w:rsid w:val="00E204E6"/>
    <w:rsid w:val="00E20A15"/>
    <w:rsid w:val="00E212B1"/>
    <w:rsid w:val="00E2367E"/>
    <w:rsid w:val="00E2612A"/>
    <w:rsid w:val="00E27735"/>
    <w:rsid w:val="00E30239"/>
    <w:rsid w:val="00E31D32"/>
    <w:rsid w:val="00E329EC"/>
    <w:rsid w:val="00E32D0F"/>
    <w:rsid w:val="00E32E8E"/>
    <w:rsid w:val="00E341CE"/>
    <w:rsid w:val="00E35FD9"/>
    <w:rsid w:val="00E37066"/>
    <w:rsid w:val="00E37232"/>
    <w:rsid w:val="00E4252B"/>
    <w:rsid w:val="00E44966"/>
    <w:rsid w:val="00E4608D"/>
    <w:rsid w:val="00E46509"/>
    <w:rsid w:val="00E51D9E"/>
    <w:rsid w:val="00E544FF"/>
    <w:rsid w:val="00E5644D"/>
    <w:rsid w:val="00E56578"/>
    <w:rsid w:val="00E566C3"/>
    <w:rsid w:val="00E60473"/>
    <w:rsid w:val="00E61F82"/>
    <w:rsid w:val="00E62FF8"/>
    <w:rsid w:val="00E644A5"/>
    <w:rsid w:val="00E660FC"/>
    <w:rsid w:val="00E67361"/>
    <w:rsid w:val="00E700F8"/>
    <w:rsid w:val="00E7039D"/>
    <w:rsid w:val="00E70AB1"/>
    <w:rsid w:val="00E72689"/>
    <w:rsid w:val="00E7448F"/>
    <w:rsid w:val="00E75DF7"/>
    <w:rsid w:val="00E76632"/>
    <w:rsid w:val="00E81BC8"/>
    <w:rsid w:val="00E840A9"/>
    <w:rsid w:val="00E84977"/>
    <w:rsid w:val="00E85962"/>
    <w:rsid w:val="00E87057"/>
    <w:rsid w:val="00E87534"/>
    <w:rsid w:val="00E9033F"/>
    <w:rsid w:val="00E91969"/>
    <w:rsid w:val="00E93144"/>
    <w:rsid w:val="00EA059B"/>
    <w:rsid w:val="00EA12BE"/>
    <w:rsid w:val="00EA6756"/>
    <w:rsid w:val="00EA71FE"/>
    <w:rsid w:val="00EA7902"/>
    <w:rsid w:val="00EB1263"/>
    <w:rsid w:val="00EB131C"/>
    <w:rsid w:val="00EB2A8C"/>
    <w:rsid w:val="00EB32DA"/>
    <w:rsid w:val="00EB4446"/>
    <w:rsid w:val="00EB737F"/>
    <w:rsid w:val="00EC39B6"/>
    <w:rsid w:val="00EC4349"/>
    <w:rsid w:val="00EC4805"/>
    <w:rsid w:val="00EC6849"/>
    <w:rsid w:val="00EC703F"/>
    <w:rsid w:val="00ED0144"/>
    <w:rsid w:val="00ED05A0"/>
    <w:rsid w:val="00ED1B41"/>
    <w:rsid w:val="00ED312B"/>
    <w:rsid w:val="00ED5F33"/>
    <w:rsid w:val="00ED6175"/>
    <w:rsid w:val="00EE0467"/>
    <w:rsid w:val="00EE0892"/>
    <w:rsid w:val="00EE0CF4"/>
    <w:rsid w:val="00EE0E62"/>
    <w:rsid w:val="00EE30C1"/>
    <w:rsid w:val="00EE3C3B"/>
    <w:rsid w:val="00EF1BD7"/>
    <w:rsid w:val="00EF49AF"/>
    <w:rsid w:val="00EF5852"/>
    <w:rsid w:val="00EF5B87"/>
    <w:rsid w:val="00EF5E17"/>
    <w:rsid w:val="00EF7B56"/>
    <w:rsid w:val="00F006A1"/>
    <w:rsid w:val="00F008B3"/>
    <w:rsid w:val="00F01208"/>
    <w:rsid w:val="00F0254A"/>
    <w:rsid w:val="00F044A6"/>
    <w:rsid w:val="00F078C3"/>
    <w:rsid w:val="00F115BE"/>
    <w:rsid w:val="00F11ED2"/>
    <w:rsid w:val="00F122C0"/>
    <w:rsid w:val="00F12D59"/>
    <w:rsid w:val="00F14DF4"/>
    <w:rsid w:val="00F1644D"/>
    <w:rsid w:val="00F20E8A"/>
    <w:rsid w:val="00F21B5E"/>
    <w:rsid w:val="00F26F2F"/>
    <w:rsid w:val="00F27B31"/>
    <w:rsid w:val="00F3140B"/>
    <w:rsid w:val="00F315A2"/>
    <w:rsid w:val="00F32378"/>
    <w:rsid w:val="00F32ECA"/>
    <w:rsid w:val="00F34F15"/>
    <w:rsid w:val="00F40554"/>
    <w:rsid w:val="00F40B8C"/>
    <w:rsid w:val="00F44DE3"/>
    <w:rsid w:val="00F45E47"/>
    <w:rsid w:val="00F46BFD"/>
    <w:rsid w:val="00F522E7"/>
    <w:rsid w:val="00F53A03"/>
    <w:rsid w:val="00F53C62"/>
    <w:rsid w:val="00F55EF8"/>
    <w:rsid w:val="00F560AA"/>
    <w:rsid w:val="00F60B8A"/>
    <w:rsid w:val="00F60CE8"/>
    <w:rsid w:val="00F61997"/>
    <w:rsid w:val="00F62C5F"/>
    <w:rsid w:val="00F62D1A"/>
    <w:rsid w:val="00F63E3D"/>
    <w:rsid w:val="00F64448"/>
    <w:rsid w:val="00F65557"/>
    <w:rsid w:val="00F6714E"/>
    <w:rsid w:val="00F7232D"/>
    <w:rsid w:val="00F7285D"/>
    <w:rsid w:val="00F72CF1"/>
    <w:rsid w:val="00F73B20"/>
    <w:rsid w:val="00F749F9"/>
    <w:rsid w:val="00F75592"/>
    <w:rsid w:val="00F75BB8"/>
    <w:rsid w:val="00F75D70"/>
    <w:rsid w:val="00F7783C"/>
    <w:rsid w:val="00F800B3"/>
    <w:rsid w:val="00F8147A"/>
    <w:rsid w:val="00F81853"/>
    <w:rsid w:val="00F81F2B"/>
    <w:rsid w:val="00F82208"/>
    <w:rsid w:val="00F83E33"/>
    <w:rsid w:val="00F84BCC"/>
    <w:rsid w:val="00F85185"/>
    <w:rsid w:val="00F85BCE"/>
    <w:rsid w:val="00F86E47"/>
    <w:rsid w:val="00F872F9"/>
    <w:rsid w:val="00F90594"/>
    <w:rsid w:val="00F9118A"/>
    <w:rsid w:val="00F916F5"/>
    <w:rsid w:val="00F92029"/>
    <w:rsid w:val="00F92D46"/>
    <w:rsid w:val="00F93694"/>
    <w:rsid w:val="00F93A0F"/>
    <w:rsid w:val="00F95381"/>
    <w:rsid w:val="00F97152"/>
    <w:rsid w:val="00F975ED"/>
    <w:rsid w:val="00FA0643"/>
    <w:rsid w:val="00FA0793"/>
    <w:rsid w:val="00FA119F"/>
    <w:rsid w:val="00FA33F2"/>
    <w:rsid w:val="00FA7486"/>
    <w:rsid w:val="00FA7917"/>
    <w:rsid w:val="00FA7E1F"/>
    <w:rsid w:val="00FB02C2"/>
    <w:rsid w:val="00FB12E0"/>
    <w:rsid w:val="00FB368C"/>
    <w:rsid w:val="00FB6BDF"/>
    <w:rsid w:val="00FC038E"/>
    <w:rsid w:val="00FC0E98"/>
    <w:rsid w:val="00FC399C"/>
    <w:rsid w:val="00FC3A64"/>
    <w:rsid w:val="00FC58E5"/>
    <w:rsid w:val="00FC5E45"/>
    <w:rsid w:val="00FC7207"/>
    <w:rsid w:val="00FD1C87"/>
    <w:rsid w:val="00FD2E44"/>
    <w:rsid w:val="00FD5F47"/>
    <w:rsid w:val="00FE0A58"/>
    <w:rsid w:val="00FE13FB"/>
    <w:rsid w:val="00FE2E8F"/>
    <w:rsid w:val="00FE6AC8"/>
    <w:rsid w:val="00FE6F99"/>
    <w:rsid w:val="00FE72CD"/>
    <w:rsid w:val="00FF2D16"/>
    <w:rsid w:val="00FF3643"/>
    <w:rsid w:val="00FF3F4E"/>
    <w:rsid w:val="00FF4F3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39E5B6DC"/>
  <w15:docId w15:val="{EF2D36EB-A141-4366-A2BC-4C44359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734F33"/>
  </w:style>
  <w:style w:type="character" w:customStyle="1" w:styleId="FooterChar">
    <w:name w:val="Footer Char"/>
    <w:link w:val="Footer"/>
    <w:rsid w:val="00C81BEF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B4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F79"/>
    <w:pPr>
      <w:ind w:left="708"/>
    </w:pPr>
  </w:style>
  <w:style w:type="paragraph" w:styleId="BalloonText">
    <w:name w:val="Balloon Text"/>
    <w:basedOn w:val="Normal"/>
    <w:link w:val="BalloonTextChar"/>
    <w:rsid w:val="004A1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73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F14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480"/>
  </w:style>
  <w:style w:type="character" w:customStyle="1" w:styleId="CommentTextChar">
    <w:name w:val="Comment Text Char"/>
    <w:basedOn w:val="DefaultParagraphFont"/>
    <w:link w:val="CommentText"/>
    <w:semiHidden/>
    <w:rsid w:val="00AF148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480"/>
    <w:rPr>
      <w:rFonts w:ascii="Arial" w:hAnsi="Arial"/>
      <w:b/>
      <w:bCs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7355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55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er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55BD-54D3-4484-91B0-FFA9C274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 Vasilev</dc:creator>
  <cp:lastModifiedBy>Georgi Spasov</cp:lastModifiedBy>
  <cp:revision>4</cp:revision>
  <cp:lastPrinted>2023-08-24T09:00:00Z</cp:lastPrinted>
  <dcterms:created xsi:type="dcterms:W3CDTF">2023-10-11T09:58:00Z</dcterms:created>
  <dcterms:modified xsi:type="dcterms:W3CDTF">2023-10-11T10:04:00Z</dcterms:modified>
</cp:coreProperties>
</file>