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FB4A68" w14:textId="77777777" w:rsidR="00BA27B5" w:rsidRDefault="00BA27B5" w:rsidP="0038788B">
      <w:pPr>
        <w:ind w:left="5529"/>
        <w:rPr>
          <w:rFonts w:asciiTheme="minorHAnsi" w:hAnsiTheme="minorHAnsi"/>
          <w:b/>
          <w:sz w:val="24"/>
          <w:szCs w:val="24"/>
          <w:lang w:val="bg-BG"/>
        </w:rPr>
      </w:pPr>
    </w:p>
    <w:p w14:paraId="3E623FDD" w14:textId="77777777" w:rsidR="0038788B" w:rsidRDefault="0038788B" w:rsidP="0038788B">
      <w:pPr>
        <w:ind w:left="5529"/>
        <w:rPr>
          <w:rFonts w:asciiTheme="minorHAnsi" w:hAnsiTheme="minorHAnsi"/>
          <w:b/>
          <w:sz w:val="24"/>
          <w:szCs w:val="24"/>
          <w:lang w:val="bg-BG"/>
        </w:rPr>
      </w:pPr>
      <w:r w:rsidRPr="00E009DD">
        <w:rPr>
          <w:rFonts w:asciiTheme="minorHAnsi" w:hAnsiTheme="minorHAnsi"/>
          <w:b/>
          <w:sz w:val="24"/>
          <w:szCs w:val="24"/>
          <w:lang w:val="bg-BG"/>
        </w:rPr>
        <w:t>ДО</w:t>
      </w:r>
    </w:p>
    <w:p w14:paraId="5A38D115" w14:textId="77777777" w:rsidR="0038788B" w:rsidRPr="00421366" w:rsidRDefault="00641F0E" w:rsidP="0038788B">
      <w:pPr>
        <w:ind w:left="5529"/>
        <w:rPr>
          <w:rFonts w:asciiTheme="minorHAnsi" w:hAnsiTheme="minorHAnsi"/>
          <w:b/>
          <w:sz w:val="24"/>
          <w:szCs w:val="24"/>
          <w:lang w:val="bg-BG"/>
        </w:rPr>
      </w:pPr>
      <w:r>
        <w:rPr>
          <w:rFonts w:asciiTheme="minorHAnsi" w:hAnsiTheme="minorHAnsi"/>
          <w:b/>
          <w:sz w:val="24"/>
          <w:szCs w:val="24"/>
          <w:lang w:val="bg-BG"/>
        </w:rPr>
        <w:t>ЧЛЕНОВЕТЕ НА КОМИСИЯТА ПО ОСИГУРИТЕЛНИ ОТНОШЕНИЯ КЪМ НСТС</w:t>
      </w:r>
    </w:p>
    <w:p w14:paraId="50B9FDA0" w14:textId="77777777" w:rsidR="00763B6D" w:rsidRPr="00E009DD" w:rsidRDefault="00763B6D" w:rsidP="00763B6D">
      <w:pPr>
        <w:jc w:val="center"/>
        <w:rPr>
          <w:rFonts w:asciiTheme="minorHAnsi" w:hAnsiTheme="minorHAnsi"/>
          <w:b/>
          <w:sz w:val="24"/>
          <w:szCs w:val="24"/>
          <w:lang w:val="bg-BG"/>
        </w:rPr>
      </w:pPr>
    </w:p>
    <w:p w14:paraId="0A43CBA7" w14:textId="77777777" w:rsidR="00763B6D" w:rsidRDefault="00763B6D" w:rsidP="00763B6D">
      <w:pPr>
        <w:jc w:val="center"/>
        <w:rPr>
          <w:rFonts w:asciiTheme="minorHAnsi" w:hAnsiTheme="minorHAnsi"/>
          <w:b/>
          <w:sz w:val="24"/>
          <w:szCs w:val="24"/>
          <w:lang w:val="bg-BG"/>
        </w:rPr>
      </w:pPr>
    </w:p>
    <w:p w14:paraId="65E8880D" w14:textId="77777777" w:rsidR="00BA27B5" w:rsidRPr="00E009DD" w:rsidRDefault="00BA27B5" w:rsidP="00763B6D">
      <w:pPr>
        <w:jc w:val="center"/>
        <w:rPr>
          <w:rFonts w:asciiTheme="minorHAnsi" w:hAnsiTheme="minorHAnsi"/>
          <w:b/>
          <w:sz w:val="24"/>
          <w:szCs w:val="24"/>
          <w:lang w:val="bg-BG"/>
        </w:rPr>
      </w:pPr>
    </w:p>
    <w:p w14:paraId="24B85861" w14:textId="77777777" w:rsidR="00763B6D" w:rsidRPr="00E009DD" w:rsidRDefault="00763B6D" w:rsidP="00763B6D">
      <w:pPr>
        <w:jc w:val="center"/>
        <w:rPr>
          <w:rFonts w:asciiTheme="minorHAnsi" w:hAnsiTheme="minorHAnsi"/>
          <w:b/>
          <w:sz w:val="24"/>
          <w:szCs w:val="24"/>
          <w:lang w:val="bg-BG"/>
        </w:rPr>
      </w:pPr>
    </w:p>
    <w:p w14:paraId="4F234C2A" w14:textId="77777777" w:rsidR="00763B6D" w:rsidRPr="00E009DD" w:rsidRDefault="00763B6D" w:rsidP="00D11CFE">
      <w:pPr>
        <w:ind w:left="426" w:right="272"/>
        <w:jc w:val="center"/>
        <w:rPr>
          <w:rFonts w:asciiTheme="minorHAnsi" w:hAnsiTheme="minorHAnsi"/>
          <w:b/>
          <w:sz w:val="24"/>
          <w:szCs w:val="24"/>
          <w:lang w:val="bg-BG"/>
        </w:rPr>
      </w:pPr>
      <w:r w:rsidRPr="00E009DD">
        <w:rPr>
          <w:rFonts w:asciiTheme="minorHAnsi" w:hAnsiTheme="minorHAnsi"/>
          <w:b/>
          <w:sz w:val="24"/>
          <w:szCs w:val="24"/>
          <w:lang w:val="bg-BG"/>
        </w:rPr>
        <w:t>С Т А Н О В И Щ Е</w:t>
      </w:r>
    </w:p>
    <w:p w14:paraId="182DD9AD" w14:textId="77777777" w:rsidR="00763B6D" w:rsidRPr="00E009DD" w:rsidRDefault="00763B6D" w:rsidP="00D11CFE">
      <w:pPr>
        <w:ind w:left="426" w:right="272"/>
        <w:jc w:val="center"/>
        <w:rPr>
          <w:rFonts w:asciiTheme="minorHAnsi" w:hAnsiTheme="minorHAnsi"/>
          <w:b/>
          <w:sz w:val="24"/>
          <w:szCs w:val="24"/>
          <w:lang w:val="bg-BG"/>
        </w:rPr>
      </w:pPr>
      <w:r w:rsidRPr="00E009DD">
        <w:rPr>
          <w:rFonts w:asciiTheme="minorHAnsi" w:hAnsiTheme="minorHAnsi"/>
          <w:b/>
          <w:sz w:val="24"/>
          <w:szCs w:val="24"/>
          <w:lang w:val="bg-BG"/>
        </w:rPr>
        <w:t>на Конфедерация на труда „Подкрепа“</w:t>
      </w:r>
    </w:p>
    <w:p w14:paraId="32048356" w14:textId="77777777" w:rsidR="00763B6D" w:rsidRDefault="00763B6D" w:rsidP="00030D13">
      <w:pPr>
        <w:ind w:left="426" w:right="272"/>
        <w:jc w:val="center"/>
        <w:rPr>
          <w:rFonts w:asciiTheme="minorHAnsi" w:hAnsiTheme="minorHAnsi"/>
          <w:sz w:val="24"/>
          <w:szCs w:val="24"/>
          <w:lang w:val="bg-BG"/>
        </w:rPr>
      </w:pPr>
      <w:r w:rsidRPr="00E009DD">
        <w:rPr>
          <w:rFonts w:asciiTheme="minorHAnsi" w:hAnsiTheme="minorHAnsi"/>
          <w:b/>
          <w:sz w:val="24"/>
          <w:szCs w:val="24"/>
          <w:lang w:val="bg-BG"/>
        </w:rPr>
        <w:t xml:space="preserve">Относно: </w:t>
      </w:r>
      <w:r w:rsidR="00030D13">
        <w:rPr>
          <w:rFonts w:asciiTheme="minorHAnsi" w:hAnsiTheme="minorHAnsi"/>
          <w:sz w:val="24"/>
          <w:szCs w:val="24"/>
          <w:lang w:val="bg-BG"/>
        </w:rPr>
        <w:t>П</w:t>
      </w:r>
      <w:r w:rsidR="002824EF">
        <w:rPr>
          <w:rFonts w:asciiTheme="minorHAnsi" w:hAnsiTheme="minorHAnsi"/>
          <w:sz w:val="24"/>
          <w:szCs w:val="24"/>
          <w:lang w:val="bg-BG"/>
        </w:rPr>
        <w:t xml:space="preserve">роект </w:t>
      </w:r>
      <w:r w:rsidR="00C0529F">
        <w:rPr>
          <w:rFonts w:asciiTheme="minorHAnsi" w:hAnsiTheme="minorHAnsi"/>
          <w:sz w:val="24"/>
          <w:szCs w:val="24"/>
          <w:lang w:val="bg-BG"/>
        </w:rPr>
        <w:t xml:space="preserve">на </w:t>
      </w:r>
      <w:r w:rsidR="00BB045C" w:rsidRPr="00BB045C">
        <w:rPr>
          <w:rFonts w:asciiTheme="minorHAnsi" w:hAnsiTheme="minorHAnsi"/>
          <w:sz w:val="24"/>
          <w:szCs w:val="24"/>
          <w:lang w:val="bg-BG"/>
        </w:rPr>
        <w:t>Закон за бюджета на държавното о</w:t>
      </w:r>
      <w:r w:rsidR="002824EF">
        <w:rPr>
          <w:rFonts w:asciiTheme="minorHAnsi" w:hAnsiTheme="minorHAnsi"/>
          <w:sz w:val="24"/>
          <w:szCs w:val="24"/>
          <w:lang w:val="bg-BG"/>
        </w:rPr>
        <w:t>бществено осигуряване за 2023</w:t>
      </w:r>
      <w:r w:rsidR="00BB045C">
        <w:rPr>
          <w:rFonts w:asciiTheme="minorHAnsi" w:hAnsiTheme="minorHAnsi"/>
          <w:sz w:val="24"/>
          <w:szCs w:val="24"/>
          <w:lang w:val="bg-BG"/>
        </w:rPr>
        <w:t xml:space="preserve"> г</w:t>
      </w:r>
      <w:r w:rsidR="00030D13" w:rsidRPr="00030D13">
        <w:rPr>
          <w:rFonts w:asciiTheme="minorHAnsi" w:hAnsiTheme="minorHAnsi"/>
          <w:sz w:val="24"/>
          <w:szCs w:val="24"/>
          <w:lang w:val="bg-BG"/>
        </w:rPr>
        <w:t>.</w:t>
      </w:r>
    </w:p>
    <w:p w14:paraId="722F4AA3" w14:textId="77777777" w:rsidR="00BA27B5" w:rsidRPr="00030D13" w:rsidRDefault="00BA27B5" w:rsidP="00030D13">
      <w:pPr>
        <w:ind w:left="426" w:right="272"/>
        <w:jc w:val="center"/>
        <w:rPr>
          <w:rFonts w:asciiTheme="minorHAnsi" w:hAnsiTheme="minorHAnsi"/>
          <w:sz w:val="24"/>
          <w:szCs w:val="24"/>
          <w:lang w:val="bg-BG"/>
        </w:rPr>
      </w:pPr>
    </w:p>
    <w:p w14:paraId="1B4F4B99" w14:textId="77777777" w:rsidR="00763B6D" w:rsidRPr="00E009DD" w:rsidRDefault="00763B6D" w:rsidP="00D11CFE">
      <w:pPr>
        <w:ind w:left="426" w:right="272"/>
        <w:rPr>
          <w:rFonts w:asciiTheme="minorHAnsi" w:hAnsiTheme="minorHAnsi"/>
          <w:sz w:val="24"/>
          <w:szCs w:val="24"/>
          <w:lang w:val="bg-BG"/>
        </w:rPr>
      </w:pPr>
    </w:p>
    <w:p w14:paraId="4C13F423" w14:textId="77777777" w:rsidR="00763B6D" w:rsidRPr="00E009DD" w:rsidRDefault="00763B6D" w:rsidP="00D11CFE">
      <w:pPr>
        <w:ind w:left="426" w:right="272"/>
        <w:rPr>
          <w:rFonts w:asciiTheme="minorHAnsi" w:hAnsiTheme="minorHAnsi"/>
          <w:sz w:val="24"/>
          <w:szCs w:val="24"/>
          <w:lang w:val="bg-BG"/>
        </w:rPr>
      </w:pPr>
    </w:p>
    <w:p w14:paraId="3489CE76" w14:textId="77777777" w:rsidR="0066416C" w:rsidRPr="00E009DD" w:rsidRDefault="00041B6B" w:rsidP="006B112F">
      <w:pPr>
        <w:ind w:left="426" w:right="272" w:firstLine="708"/>
        <w:rPr>
          <w:rFonts w:asciiTheme="minorHAnsi" w:hAnsiTheme="minorHAnsi"/>
          <w:b/>
          <w:sz w:val="24"/>
          <w:szCs w:val="24"/>
          <w:lang w:val="bg-BG"/>
        </w:rPr>
      </w:pPr>
      <w:r>
        <w:rPr>
          <w:rFonts w:asciiTheme="minorHAnsi" w:hAnsiTheme="minorHAnsi"/>
          <w:b/>
          <w:sz w:val="24"/>
          <w:szCs w:val="24"/>
          <w:lang w:val="bg-BG"/>
        </w:rPr>
        <w:t xml:space="preserve">УВАЖАЕМИ </w:t>
      </w:r>
      <w:r w:rsidR="002824EF">
        <w:rPr>
          <w:rFonts w:asciiTheme="minorHAnsi" w:hAnsiTheme="minorHAnsi"/>
          <w:b/>
          <w:sz w:val="24"/>
          <w:szCs w:val="24"/>
          <w:lang w:val="bg-BG"/>
        </w:rPr>
        <w:t>ЧЛЕНОВЕ НА КОО</w:t>
      </w:r>
      <w:r w:rsidR="0038788B" w:rsidRPr="00E009DD">
        <w:rPr>
          <w:rFonts w:asciiTheme="minorHAnsi" w:hAnsiTheme="minorHAnsi"/>
          <w:b/>
          <w:sz w:val="24"/>
          <w:szCs w:val="24"/>
          <w:lang w:val="bg-BG"/>
        </w:rPr>
        <w:t>,</w:t>
      </w:r>
    </w:p>
    <w:p w14:paraId="25C2665A" w14:textId="77777777" w:rsidR="00763B6D" w:rsidRPr="00763B6D" w:rsidRDefault="00763B6D" w:rsidP="00D11CFE">
      <w:pPr>
        <w:ind w:left="426" w:right="272"/>
        <w:rPr>
          <w:rFonts w:asciiTheme="minorHAnsi" w:hAnsiTheme="minorHAnsi"/>
          <w:b/>
          <w:sz w:val="28"/>
          <w:szCs w:val="28"/>
          <w:lang w:val="bg-BG"/>
        </w:rPr>
      </w:pPr>
    </w:p>
    <w:p w14:paraId="2DDD4A3C" w14:textId="77777777" w:rsidR="00D040B0" w:rsidRDefault="00D040B0" w:rsidP="003D28D2">
      <w:pPr>
        <w:spacing w:line="276" w:lineRule="auto"/>
        <w:ind w:left="426" w:right="272" w:firstLine="708"/>
        <w:jc w:val="both"/>
        <w:rPr>
          <w:rFonts w:asciiTheme="minorHAnsi" w:hAnsiTheme="minorHAnsi"/>
          <w:sz w:val="24"/>
          <w:szCs w:val="24"/>
          <w:lang w:val="bg-BG"/>
        </w:rPr>
      </w:pPr>
      <w:r>
        <w:rPr>
          <w:rFonts w:asciiTheme="minorHAnsi" w:hAnsiTheme="minorHAnsi"/>
          <w:sz w:val="24"/>
          <w:szCs w:val="24"/>
          <w:lang w:val="bg-BG"/>
        </w:rPr>
        <w:t>Проектът на Закон за бюджета на ДОО за 2023</w:t>
      </w:r>
      <w:r w:rsidR="006D2506">
        <w:rPr>
          <w:rFonts w:asciiTheme="minorHAnsi" w:hAnsiTheme="minorHAnsi"/>
          <w:sz w:val="24"/>
          <w:szCs w:val="24"/>
          <w:lang w:val="bg-BG"/>
        </w:rPr>
        <w:t xml:space="preserve"> г.</w:t>
      </w:r>
      <w:r>
        <w:rPr>
          <w:rFonts w:asciiTheme="minorHAnsi" w:hAnsiTheme="minorHAnsi"/>
          <w:sz w:val="24"/>
          <w:szCs w:val="24"/>
          <w:lang w:val="bg-BG"/>
        </w:rPr>
        <w:t xml:space="preserve"> не включва никакви промени в параметрите на държавното обществено осигуряване. В него единствено е изчислен размерът на разходите по сега действащите правила. С изключение на пенсиите, които се осъвременяват по силата на чл. 100 от КСО, всички останали обезщетения остават на нивата от 2022 г., което по същество означава, че значително губят покупателната си способност.</w:t>
      </w:r>
    </w:p>
    <w:p w14:paraId="1D75BAD6" w14:textId="77777777" w:rsidR="00087B94" w:rsidRDefault="00087B94" w:rsidP="003D28D2">
      <w:pPr>
        <w:spacing w:line="276" w:lineRule="auto"/>
        <w:ind w:left="426" w:right="272" w:firstLine="708"/>
        <w:jc w:val="both"/>
        <w:rPr>
          <w:rFonts w:asciiTheme="minorHAnsi" w:hAnsiTheme="minorHAnsi"/>
          <w:sz w:val="24"/>
          <w:szCs w:val="24"/>
          <w:lang w:val="bg-BG"/>
        </w:rPr>
      </w:pPr>
    </w:p>
    <w:p w14:paraId="488D71D1" w14:textId="77777777" w:rsidR="00D040B0" w:rsidRDefault="00D040B0" w:rsidP="00D040B0">
      <w:pPr>
        <w:pStyle w:val="ListParagraph"/>
        <w:numPr>
          <w:ilvl w:val="0"/>
          <w:numId w:val="16"/>
        </w:numPr>
        <w:ind w:right="272"/>
        <w:jc w:val="both"/>
        <w:rPr>
          <w:rFonts w:asciiTheme="minorHAnsi" w:hAnsiTheme="minorHAnsi"/>
          <w:sz w:val="24"/>
          <w:szCs w:val="24"/>
          <w:lang w:val="bg-BG"/>
        </w:rPr>
      </w:pPr>
      <w:r w:rsidRPr="00640A99">
        <w:rPr>
          <w:rFonts w:asciiTheme="minorHAnsi" w:hAnsiTheme="minorHAnsi"/>
          <w:b/>
          <w:sz w:val="24"/>
          <w:szCs w:val="24"/>
          <w:lang w:val="bg-BG"/>
        </w:rPr>
        <w:t>Минимално обезщетение за безработица</w:t>
      </w:r>
      <w:r>
        <w:rPr>
          <w:rFonts w:asciiTheme="minorHAnsi" w:hAnsiTheme="minorHAnsi"/>
          <w:sz w:val="24"/>
          <w:szCs w:val="24"/>
          <w:lang w:val="bg-BG"/>
        </w:rPr>
        <w:t xml:space="preserve"> – замразено на 18 лв. на ден., което прави около 360 лв. на месец. КТ „Подкрепа“ многократно е настоявала това обезщетение да бъде </w:t>
      </w:r>
      <w:r w:rsidRPr="00BD67E5">
        <w:rPr>
          <w:rFonts w:asciiTheme="minorHAnsi" w:hAnsiTheme="minorHAnsi"/>
          <w:b/>
          <w:sz w:val="24"/>
          <w:szCs w:val="24"/>
          <w:lang w:val="bg-BG"/>
        </w:rPr>
        <w:t>60% от минималния осигурителен доход</w:t>
      </w:r>
      <w:r>
        <w:rPr>
          <w:rFonts w:asciiTheme="minorHAnsi" w:hAnsiTheme="minorHAnsi"/>
          <w:sz w:val="24"/>
          <w:szCs w:val="24"/>
          <w:lang w:val="bg-BG"/>
        </w:rPr>
        <w:t xml:space="preserve">, което би означавало сега то да е в размер на 468 лв. Така ще се запази връзката между осигурителен доход на лицето </w:t>
      </w:r>
      <w:r>
        <w:rPr>
          <w:rFonts w:asciiTheme="minorHAnsi" w:hAnsiTheme="minorHAnsi"/>
          <w:sz w:val="24"/>
          <w:szCs w:val="24"/>
        </w:rPr>
        <w:t>(</w:t>
      </w:r>
      <w:r>
        <w:rPr>
          <w:rFonts w:asciiTheme="minorHAnsi" w:hAnsiTheme="minorHAnsi"/>
          <w:sz w:val="24"/>
          <w:szCs w:val="24"/>
          <w:lang w:val="bg-BG"/>
        </w:rPr>
        <w:t>поне в мин</w:t>
      </w:r>
      <w:r w:rsidR="00640A99">
        <w:rPr>
          <w:rFonts w:asciiTheme="minorHAnsi" w:hAnsiTheme="minorHAnsi"/>
          <w:sz w:val="24"/>
          <w:szCs w:val="24"/>
          <w:lang w:val="bg-BG"/>
        </w:rPr>
        <w:t>ималните му размери, макар че осигуреният</w:t>
      </w:r>
      <w:r>
        <w:rPr>
          <w:rFonts w:asciiTheme="minorHAnsi" w:hAnsiTheme="minorHAnsi"/>
          <w:sz w:val="24"/>
          <w:szCs w:val="24"/>
          <w:lang w:val="bg-BG"/>
        </w:rPr>
        <w:t xml:space="preserve"> може да се е осиг</w:t>
      </w:r>
      <w:r w:rsidR="00640A99">
        <w:rPr>
          <w:rFonts w:asciiTheme="minorHAnsi" w:hAnsiTheme="minorHAnsi"/>
          <w:sz w:val="24"/>
          <w:szCs w:val="24"/>
          <w:lang w:val="bg-BG"/>
        </w:rPr>
        <w:t>урявал</w:t>
      </w:r>
      <w:r>
        <w:rPr>
          <w:rFonts w:asciiTheme="minorHAnsi" w:hAnsiTheme="minorHAnsi"/>
          <w:sz w:val="24"/>
          <w:szCs w:val="24"/>
          <w:lang w:val="bg-BG"/>
        </w:rPr>
        <w:t xml:space="preserve"> върху много по-висок доход</w:t>
      </w:r>
      <w:r>
        <w:rPr>
          <w:rFonts w:asciiTheme="minorHAnsi" w:hAnsiTheme="minorHAnsi"/>
          <w:sz w:val="24"/>
          <w:szCs w:val="24"/>
        </w:rPr>
        <w:t>)</w:t>
      </w:r>
      <w:r>
        <w:rPr>
          <w:rFonts w:asciiTheme="minorHAnsi" w:hAnsiTheme="minorHAnsi"/>
          <w:sz w:val="24"/>
          <w:szCs w:val="24"/>
          <w:lang w:val="bg-BG"/>
        </w:rPr>
        <w:t xml:space="preserve"> и обезщетението, което му се полага, докато е безработно. Автоматич</w:t>
      </w:r>
      <w:r w:rsidR="00640A99">
        <w:rPr>
          <w:rFonts w:asciiTheme="minorHAnsi" w:hAnsiTheme="minorHAnsi"/>
          <w:sz w:val="24"/>
          <w:szCs w:val="24"/>
          <w:lang w:val="bg-BG"/>
        </w:rPr>
        <w:t>ната актуализация винаги се отхвърля</w:t>
      </w:r>
      <w:r w:rsidR="00A25805">
        <w:rPr>
          <w:rFonts w:asciiTheme="minorHAnsi" w:hAnsiTheme="minorHAnsi"/>
          <w:sz w:val="24"/>
          <w:szCs w:val="24"/>
          <w:lang w:val="bg-BG"/>
        </w:rPr>
        <w:t xml:space="preserve"> от управляващите</w:t>
      </w:r>
      <w:r w:rsidR="00640A99">
        <w:rPr>
          <w:rFonts w:asciiTheme="minorHAnsi" w:hAnsiTheme="minorHAnsi"/>
          <w:sz w:val="24"/>
          <w:szCs w:val="24"/>
          <w:lang w:val="bg-BG"/>
        </w:rPr>
        <w:t xml:space="preserve">, за да се ограничат плащанията от фонд „Безработица“, въпреки че това заличава справедливостта на модела и води до засилване на демотивацията и </w:t>
      </w:r>
      <w:r w:rsidR="00A25805">
        <w:rPr>
          <w:rFonts w:asciiTheme="minorHAnsi" w:hAnsiTheme="minorHAnsi"/>
          <w:sz w:val="24"/>
          <w:szCs w:val="24"/>
          <w:lang w:val="bg-BG"/>
        </w:rPr>
        <w:t xml:space="preserve">намаляване на </w:t>
      </w:r>
      <w:r w:rsidR="00640A99">
        <w:rPr>
          <w:rFonts w:asciiTheme="minorHAnsi" w:hAnsiTheme="minorHAnsi"/>
          <w:sz w:val="24"/>
          <w:szCs w:val="24"/>
          <w:lang w:val="bg-BG"/>
        </w:rPr>
        <w:t>доверието на гражданите към системата.</w:t>
      </w:r>
    </w:p>
    <w:p w14:paraId="7554431A" w14:textId="77777777" w:rsidR="00087B94" w:rsidRDefault="00087B94" w:rsidP="00087B94">
      <w:pPr>
        <w:pStyle w:val="ListParagraph"/>
        <w:ind w:left="1494" w:right="272"/>
        <w:jc w:val="both"/>
        <w:rPr>
          <w:rFonts w:asciiTheme="minorHAnsi" w:hAnsiTheme="minorHAnsi"/>
          <w:sz w:val="24"/>
          <w:szCs w:val="24"/>
          <w:lang w:val="bg-BG"/>
        </w:rPr>
      </w:pPr>
    </w:p>
    <w:p w14:paraId="3C9F3707" w14:textId="77777777" w:rsidR="00BD67E5" w:rsidRPr="00D040B0" w:rsidRDefault="00BD67E5" w:rsidP="00BD67E5">
      <w:pPr>
        <w:pStyle w:val="ListParagraph"/>
        <w:numPr>
          <w:ilvl w:val="0"/>
          <w:numId w:val="16"/>
        </w:numPr>
        <w:ind w:right="272"/>
        <w:jc w:val="both"/>
        <w:rPr>
          <w:rFonts w:asciiTheme="minorHAnsi" w:hAnsiTheme="minorHAnsi"/>
          <w:sz w:val="24"/>
          <w:szCs w:val="24"/>
          <w:lang w:val="bg-BG"/>
        </w:rPr>
      </w:pPr>
      <w:r w:rsidRPr="00BD67E5">
        <w:rPr>
          <w:rFonts w:asciiTheme="minorHAnsi" w:hAnsiTheme="minorHAnsi"/>
          <w:b/>
          <w:sz w:val="24"/>
          <w:szCs w:val="24"/>
          <w:lang w:val="bg-BG"/>
        </w:rPr>
        <w:t>Обезщетение за отглеждане на дете до 2-годишна възраст</w:t>
      </w:r>
      <w:r>
        <w:rPr>
          <w:rFonts w:asciiTheme="minorHAnsi" w:hAnsiTheme="minorHAnsi"/>
          <w:sz w:val="24"/>
          <w:szCs w:val="24"/>
          <w:lang w:val="bg-BG"/>
        </w:rPr>
        <w:t xml:space="preserve"> – замразено на 710 лв. Т.нар. майчинство дълги години не беше актуализирано. Очевидно българските майки трябва да се надяват на партийни боричкания и наддавания, за да получават обезщетение поне в размер на минималната работна заплата, която биха получавали, ако не си бяха позволили лукса да раждат и/или отглеждат деца. КТ „Подкрепа“ за пореден път настоява майчинството да бъде </w:t>
      </w:r>
      <w:r w:rsidRPr="00BD67E5">
        <w:rPr>
          <w:rFonts w:asciiTheme="minorHAnsi" w:hAnsiTheme="minorHAnsi"/>
          <w:b/>
          <w:sz w:val="24"/>
          <w:szCs w:val="24"/>
          <w:lang w:val="bg-BG"/>
        </w:rPr>
        <w:t>обвързано и равно на минималния осигурителен доход</w:t>
      </w:r>
      <w:r>
        <w:rPr>
          <w:rFonts w:asciiTheme="minorHAnsi" w:hAnsiTheme="minorHAnsi"/>
          <w:sz w:val="24"/>
          <w:szCs w:val="24"/>
          <w:lang w:val="bg-BG"/>
        </w:rPr>
        <w:t xml:space="preserve">. Подчертаваме, че това са лица, които са работили </w:t>
      </w:r>
      <w:r>
        <w:rPr>
          <w:rFonts w:asciiTheme="minorHAnsi" w:hAnsiTheme="minorHAnsi"/>
          <w:sz w:val="24"/>
          <w:szCs w:val="24"/>
          <w:lang w:val="bg-BG"/>
        </w:rPr>
        <w:lastRenderedPageBreak/>
        <w:t>и са се осигурявали и пак ще го правят, след като междувременно дадат приноса си към укрепване на демографския потенциал на българското общество.</w:t>
      </w:r>
    </w:p>
    <w:p w14:paraId="430EE7AD" w14:textId="77777777" w:rsidR="00D040B0" w:rsidRDefault="00D040B0" w:rsidP="003D28D2">
      <w:pPr>
        <w:spacing w:line="276" w:lineRule="auto"/>
        <w:ind w:left="426" w:right="272" w:firstLine="708"/>
        <w:jc w:val="both"/>
        <w:rPr>
          <w:rFonts w:asciiTheme="minorHAnsi" w:hAnsiTheme="minorHAnsi"/>
          <w:sz w:val="24"/>
          <w:szCs w:val="24"/>
          <w:lang w:val="bg-BG"/>
        </w:rPr>
      </w:pPr>
    </w:p>
    <w:p w14:paraId="2DDAB369" w14:textId="77777777" w:rsidR="00310E89" w:rsidRDefault="00087B94" w:rsidP="00087B94">
      <w:pPr>
        <w:spacing w:line="276" w:lineRule="auto"/>
        <w:ind w:left="426" w:right="272" w:firstLine="708"/>
        <w:jc w:val="both"/>
        <w:rPr>
          <w:rFonts w:asciiTheme="minorHAnsi" w:hAnsiTheme="minorHAnsi"/>
          <w:sz w:val="24"/>
          <w:szCs w:val="24"/>
          <w:lang w:val="bg-BG"/>
        </w:rPr>
      </w:pPr>
      <w:r>
        <w:rPr>
          <w:rFonts w:asciiTheme="minorHAnsi" w:hAnsiTheme="minorHAnsi"/>
          <w:sz w:val="24"/>
          <w:szCs w:val="24"/>
          <w:lang w:val="bg-BG"/>
        </w:rPr>
        <w:t xml:space="preserve">КТ „Подкрепа“ не приема обяснението, че средства за актуализация на обезщетенията няма. Ако приходите са недостатъчни, то е поради нежеланието на управляващите да увеличат административно минималните осигурителни доходи и максималния осигурителен доход, което води до хронично нарастване на дефицита на Националния осигурителен институт, който се дофинансира през бюджета. </w:t>
      </w:r>
      <w:r w:rsidR="00E61623">
        <w:rPr>
          <w:rFonts w:asciiTheme="minorHAnsi" w:hAnsiTheme="minorHAnsi"/>
          <w:sz w:val="24"/>
          <w:szCs w:val="24"/>
          <w:lang w:val="bg-BG"/>
        </w:rPr>
        <w:t>В тази връзка, настояваме:</w:t>
      </w:r>
    </w:p>
    <w:p w14:paraId="3A219BA3" w14:textId="77777777" w:rsidR="00E61623" w:rsidRPr="006A05E2" w:rsidRDefault="00E61623" w:rsidP="006A05E2">
      <w:pPr>
        <w:pStyle w:val="ListParagraph"/>
        <w:numPr>
          <w:ilvl w:val="0"/>
          <w:numId w:val="15"/>
        </w:numPr>
        <w:ind w:right="272"/>
        <w:jc w:val="both"/>
        <w:rPr>
          <w:rFonts w:asciiTheme="minorHAnsi" w:hAnsiTheme="minorHAnsi"/>
          <w:sz w:val="24"/>
          <w:szCs w:val="24"/>
          <w:lang w:val="bg-BG"/>
        </w:rPr>
      </w:pPr>
      <w:r>
        <w:rPr>
          <w:rFonts w:asciiTheme="minorHAnsi" w:hAnsiTheme="minorHAnsi"/>
          <w:b/>
          <w:sz w:val="24"/>
          <w:szCs w:val="24"/>
          <w:lang w:val="bg-BG"/>
        </w:rPr>
        <w:t xml:space="preserve">да бъдат увеличени </w:t>
      </w:r>
      <w:r w:rsidRPr="00E61623">
        <w:rPr>
          <w:rFonts w:asciiTheme="minorHAnsi" w:hAnsiTheme="minorHAnsi"/>
          <w:b/>
          <w:sz w:val="24"/>
          <w:szCs w:val="24"/>
          <w:lang w:val="bg-BG"/>
        </w:rPr>
        <w:t>минималните осигурителни доходи</w:t>
      </w:r>
      <w:r>
        <w:rPr>
          <w:rFonts w:asciiTheme="minorHAnsi" w:hAnsiTheme="minorHAnsi"/>
          <w:sz w:val="24"/>
          <w:szCs w:val="24"/>
          <w:lang w:val="bg-BG"/>
        </w:rPr>
        <w:t>. От няколко години работодателските организации бойкотират процес</w:t>
      </w:r>
      <w:r w:rsidR="00411F98">
        <w:rPr>
          <w:rFonts w:asciiTheme="minorHAnsi" w:hAnsiTheme="minorHAnsi"/>
          <w:sz w:val="24"/>
          <w:szCs w:val="24"/>
          <w:lang w:val="bg-BG"/>
        </w:rPr>
        <w:t>а по договаряне</w:t>
      </w:r>
      <w:r>
        <w:rPr>
          <w:rFonts w:asciiTheme="minorHAnsi" w:hAnsiTheme="minorHAnsi"/>
          <w:sz w:val="24"/>
          <w:szCs w:val="24"/>
          <w:lang w:val="bg-BG"/>
        </w:rPr>
        <w:t xml:space="preserve"> на МОД, поради което огромната част от позициите са на нивото на минималната работна заплата. С други думи, механизмът, който трябваше да осветли икономиката, вече не работи.</w:t>
      </w:r>
      <w:r w:rsidR="006A05E2">
        <w:rPr>
          <w:rFonts w:asciiTheme="minorHAnsi" w:hAnsiTheme="minorHAnsi"/>
          <w:sz w:val="24"/>
          <w:szCs w:val="24"/>
          <w:lang w:val="bg-BG"/>
        </w:rPr>
        <w:t xml:space="preserve"> </w:t>
      </w:r>
      <w:r w:rsidR="006A05E2" w:rsidRPr="006A05E2">
        <w:rPr>
          <w:rFonts w:asciiTheme="minorHAnsi" w:hAnsiTheme="minorHAnsi"/>
          <w:sz w:val="24"/>
          <w:szCs w:val="24"/>
          <w:lang w:val="bg-BG"/>
        </w:rPr>
        <w:t>Масово квалифицирани работници и специалисти, техници и приложни специалисти, ръководители съвсем законно се осигуряват на МРЗ.</w:t>
      </w:r>
    </w:p>
    <w:p w14:paraId="365C838C" w14:textId="77777777" w:rsidR="00E61623" w:rsidRDefault="00E61623" w:rsidP="00E61623">
      <w:pPr>
        <w:pStyle w:val="ListParagraph"/>
        <w:numPr>
          <w:ilvl w:val="0"/>
          <w:numId w:val="15"/>
        </w:numPr>
        <w:ind w:right="272"/>
        <w:jc w:val="both"/>
        <w:rPr>
          <w:rFonts w:asciiTheme="minorHAnsi" w:hAnsiTheme="minorHAnsi"/>
          <w:sz w:val="24"/>
          <w:szCs w:val="24"/>
          <w:lang w:val="bg-BG"/>
        </w:rPr>
      </w:pPr>
      <w:r>
        <w:rPr>
          <w:rFonts w:asciiTheme="minorHAnsi" w:hAnsiTheme="minorHAnsi"/>
          <w:b/>
          <w:sz w:val="24"/>
          <w:szCs w:val="24"/>
          <w:lang w:val="bg-BG"/>
        </w:rPr>
        <w:t>да бъде увеличен значително максималният осигурителен доход</w:t>
      </w:r>
      <w:r w:rsidRPr="00E61623">
        <w:rPr>
          <w:rFonts w:asciiTheme="minorHAnsi" w:hAnsiTheme="minorHAnsi"/>
          <w:sz w:val="24"/>
          <w:szCs w:val="24"/>
          <w:lang w:val="bg-BG"/>
        </w:rPr>
        <w:t>.</w:t>
      </w:r>
      <w:r>
        <w:rPr>
          <w:rFonts w:asciiTheme="minorHAnsi" w:hAnsiTheme="minorHAnsi"/>
          <w:sz w:val="24"/>
          <w:szCs w:val="24"/>
          <w:lang w:val="bg-BG"/>
        </w:rPr>
        <w:t xml:space="preserve"> Напомняме, че той беше въведен след поредица консултации с международни организации. Размерът му трябваше да бъде 10 пъти минималната работна заплата. Благодарение на многобройните отстъпки към бизнеса и заможните български граждани, днес максималният осигурите</w:t>
      </w:r>
      <w:r w:rsidR="00087B94">
        <w:rPr>
          <w:rFonts w:asciiTheme="minorHAnsi" w:hAnsiTheme="minorHAnsi"/>
          <w:sz w:val="24"/>
          <w:szCs w:val="24"/>
          <w:lang w:val="bg-BG"/>
        </w:rPr>
        <w:t>лен доход е в размер на едва 4,35</w:t>
      </w:r>
      <w:r>
        <w:rPr>
          <w:rFonts w:asciiTheme="minorHAnsi" w:hAnsiTheme="minorHAnsi"/>
          <w:sz w:val="24"/>
          <w:szCs w:val="24"/>
          <w:lang w:val="bg-BG"/>
        </w:rPr>
        <w:t xml:space="preserve"> пъти МРЗ.</w:t>
      </w:r>
    </w:p>
    <w:p w14:paraId="162F68B4" w14:textId="77777777" w:rsidR="00E61623" w:rsidRPr="00E61623" w:rsidRDefault="00E61623" w:rsidP="00E61623">
      <w:pPr>
        <w:pStyle w:val="ListParagraph"/>
        <w:numPr>
          <w:ilvl w:val="0"/>
          <w:numId w:val="15"/>
        </w:numPr>
        <w:ind w:right="272"/>
        <w:jc w:val="both"/>
        <w:rPr>
          <w:rFonts w:asciiTheme="minorHAnsi" w:hAnsiTheme="minorHAnsi"/>
          <w:sz w:val="24"/>
          <w:szCs w:val="24"/>
          <w:lang w:val="bg-BG"/>
        </w:rPr>
      </w:pPr>
      <w:r>
        <w:rPr>
          <w:rFonts w:asciiTheme="minorHAnsi" w:hAnsiTheme="minorHAnsi"/>
          <w:b/>
          <w:sz w:val="24"/>
          <w:szCs w:val="24"/>
          <w:lang w:val="bg-BG"/>
        </w:rPr>
        <w:t>още в началото на настоящия мандат имаше уверения, че ще бъдат предприети решителни стъпки към изсветляване на недекларирания труд</w:t>
      </w:r>
      <w:r w:rsidRPr="00E61623">
        <w:rPr>
          <w:rFonts w:asciiTheme="minorHAnsi" w:hAnsiTheme="minorHAnsi"/>
          <w:sz w:val="24"/>
          <w:szCs w:val="24"/>
          <w:lang w:val="bg-BG"/>
        </w:rPr>
        <w:t>.</w:t>
      </w:r>
      <w:r>
        <w:rPr>
          <w:rFonts w:asciiTheme="minorHAnsi" w:hAnsiTheme="minorHAnsi"/>
          <w:sz w:val="24"/>
          <w:szCs w:val="24"/>
          <w:lang w:val="bg-BG"/>
        </w:rPr>
        <w:t xml:space="preserve"> Работодателите не плащат осигуровки за работниците и служителите, чиито доходи не са на светло. Макар укриването на осигуровки да беше криминализирано</w:t>
      </w:r>
      <w:r w:rsidR="00087B94">
        <w:rPr>
          <w:rFonts w:asciiTheme="minorHAnsi" w:hAnsiTheme="minorHAnsi"/>
          <w:sz w:val="24"/>
          <w:szCs w:val="24"/>
          <w:lang w:val="bg-BG"/>
        </w:rPr>
        <w:t xml:space="preserve"> преди 8</w:t>
      </w:r>
      <w:r w:rsidR="003D28D2">
        <w:rPr>
          <w:rFonts w:asciiTheme="minorHAnsi" w:hAnsiTheme="minorHAnsi"/>
          <w:sz w:val="24"/>
          <w:szCs w:val="24"/>
          <w:lang w:val="bg-BG"/>
        </w:rPr>
        <w:t xml:space="preserve"> години</w:t>
      </w:r>
      <w:r>
        <w:rPr>
          <w:rFonts w:asciiTheme="minorHAnsi" w:hAnsiTheme="minorHAnsi"/>
          <w:sz w:val="24"/>
          <w:szCs w:val="24"/>
          <w:lang w:val="bg-BG"/>
        </w:rPr>
        <w:t>, до момента не е известен нито един случай,  в който работодател е осъден за подобно деяние.</w:t>
      </w:r>
    </w:p>
    <w:p w14:paraId="33D088E0" w14:textId="77777777" w:rsidR="00087B94" w:rsidRDefault="00087B94" w:rsidP="006A05E2">
      <w:pPr>
        <w:ind w:left="426" w:right="272" w:firstLine="708"/>
        <w:jc w:val="both"/>
        <w:rPr>
          <w:rFonts w:asciiTheme="minorHAnsi" w:hAnsiTheme="minorHAnsi"/>
          <w:sz w:val="24"/>
          <w:szCs w:val="24"/>
          <w:lang w:val="bg-BG"/>
        </w:rPr>
      </w:pPr>
      <w:r>
        <w:rPr>
          <w:rFonts w:asciiTheme="minorHAnsi" w:hAnsiTheme="minorHAnsi"/>
          <w:sz w:val="24"/>
          <w:szCs w:val="24"/>
          <w:lang w:val="bg-BG"/>
        </w:rPr>
        <w:t>Отново</w:t>
      </w:r>
      <w:r w:rsidR="006A05E2">
        <w:rPr>
          <w:rFonts w:asciiTheme="minorHAnsi" w:hAnsiTheme="minorHAnsi"/>
          <w:sz w:val="24"/>
          <w:szCs w:val="24"/>
          <w:lang w:val="bg-BG"/>
        </w:rPr>
        <w:t xml:space="preserve"> обръщаме внимание, че замразяването на максималния</w:t>
      </w:r>
      <w:r w:rsidR="006A05E2" w:rsidRPr="00182B0D">
        <w:rPr>
          <w:rFonts w:asciiTheme="minorHAnsi" w:hAnsiTheme="minorHAnsi"/>
          <w:sz w:val="24"/>
          <w:szCs w:val="24"/>
          <w:lang w:val="bg-BG"/>
        </w:rPr>
        <w:t xml:space="preserve"> осигурителен доход</w:t>
      </w:r>
      <w:r w:rsidR="006A05E2">
        <w:rPr>
          <w:rFonts w:asciiTheme="minorHAnsi" w:hAnsiTheme="minorHAnsi"/>
          <w:sz w:val="24"/>
          <w:szCs w:val="24"/>
          <w:lang w:val="bg-BG"/>
        </w:rPr>
        <w:t xml:space="preserve"> е и в противоречие на заложения в </w:t>
      </w:r>
      <w:r w:rsidR="006A05E2" w:rsidRPr="003843DF">
        <w:rPr>
          <w:rFonts w:asciiTheme="minorHAnsi" w:hAnsiTheme="minorHAnsi"/>
          <w:sz w:val="24"/>
          <w:szCs w:val="24"/>
          <w:lang w:val="bg-BG"/>
        </w:rPr>
        <w:t>§</w:t>
      </w:r>
      <w:r w:rsidR="006A05E2">
        <w:rPr>
          <w:rFonts w:asciiTheme="minorHAnsi" w:hAnsiTheme="minorHAnsi"/>
          <w:sz w:val="24"/>
          <w:szCs w:val="24"/>
          <w:lang w:val="bg-BG"/>
        </w:rPr>
        <w:t xml:space="preserve">6 от Преходните и заключителните разпоредби на КСО принцип, който гласи, че максималната пенсия следва да </w:t>
      </w:r>
      <w:r w:rsidR="006A05E2" w:rsidRPr="00A7259A">
        <w:rPr>
          <w:rFonts w:asciiTheme="minorHAnsi" w:hAnsiTheme="minorHAnsi"/>
          <w:sz w:val="24"/>
          <w:szCs w:val="24"/>
          <w:lang w:val="bg-BG"/>
        </w:rPr>
        <w:t>бъде</w:t>
      </w:r>
      <w:r w:rsidR="006A05E2">
        <w:rPr>
          <w:rFonts w:asciiTheme="minorHAnsi" w:hAnsiTheme="minorHAnsi"/>
          <w:sz w:val="24"/>
          <w:szCs w:val="24"/>
          <w:lang w:val="bg-BG"/>
        </w:rPr>
        <w:t xml:space="preserve"> в размер на</w:t>
      </w:r>
      <w:r w:rsidR="006A05E2" w:rsidRPr="00A7259A">
        <w:rPr>
          <w:rFonts w:asciiTheme="minorHAnsi" w:hAnsiTheme="minorHAnsi"/>
          <w:sz w:val="24"/>
          <w:szCs w:val="24"/>
          <w:lang w:val="bg-BG"/>
        </w:rPr>
        <w:t xml:space="preserve"> 40% от максималния осигурителен доход</w:t>
      </w:r>
      <w:r w:rsidR="006A05E2">
        <w:rPr>
          <w:rFonts w:asciiTheme="minorHAnsi" w:hAnsiTheme="minorHAnsi"/>
          <w:sz w:val="24"/>
          <w:szCs w:val="24"/>
          <w:lang w:val="bg-BG"/>
        </w:rPr>
        <w:t xml:space="preserve">. За да не бъде нарушен за поредна година този принцип, следва или максималната пенсия да бъде намалена до 1360 лв., или максималният осигурителен доход да стане </w:t>
      </w:r>
      <w:r>
        <w:rPr>
          <w:rFonts w:asciiTheme="minorHAnsi" w:hAnsiTheme="minorHAnsi"/>
          <w:sz w:val="24"/>
          <w:szCs w:val="24"/>
          <w:lang w:val="bg-BG"/>
        </w:rPr>
        <w:t xml:space="preserve">8500 лв. На този проблем е обърнато внимание в мотивите към законопроекта, но се предлага обратния подход – за поредна година </w:t>
      </w:r>
      <w:r w:rsidRPr="003843DF">
        <w:rPr>
          <w:rFonts w:asciiTheme="minorHAnsi" w:hAnsiTheme="minorHAnsi"/>
          <w:sz w:val="24"/>
          <w:szCs w:val="24"/>
          <w:lang w:val="bg-BG"/>
        </w:rPr>
        <w:t>§</w:t>
      </w:r>
      <w:r>
        <w:rPr>
          <w:rFonts w:asciiTheme="minorHAnsi" w:hAnsiTheme="minorHAnsi"/>
          <w:sz w:val="24"/>
          <w:szCs w:val="24"/>
          <w:lang w:val="bg-BG"/>
        </w:rPr>
        <w:t>6 от Преходните и заключителните разпоредби на КСО да не се прилага. Ако можеше по този начин да излъжем математиката и да постигнем баланс между приходите и разходите – чудесно, но математиката не се интересува от политически заигравки и управленски страх, поради което дефицитът продължава да се задълбочава.</w:t>
      </w:r>
    </w:p>
    <w:p w14:paraId="621FB7CA" w14:textId="77777777" w:rsidR="006A05E2" w:rsidRDefault="006A05E2" w:rsidP="00055255">
      <w:pPr>
        <w:ind w:left="426" w:right="272" w:firstLine="708"/>
        <w:jc w:val="both"/>
        <w:rPr>
          <w:rFonts w:asciiTheme="minorHAnsi" w:hAnsiTheme="minorHAnsi"/>
          <w:sz w:val="24"/>
          <w:szCs w:val="24"/>
          <w:lang w:val="bg-BG"/>
        </w:rPr>
      </w:pPr>
    </w:p>
    <w:p w14:paraId="75DAA5FC" w14:textId="77777777" w:rsidR="006D2506" w:rsidRDefault="00310E89" w:rsidP="00055255">
      <w:pPr>
        <w:ind w:left="426" w:right="272" w:firstLine="708"/>
        <w:jc w:val="both"/>
        <w:rPr>
          <w:rFonts w:asciiTheme="minorHAnsi" w:hAnsiTheme="minorHAnsi"/>
          <w:sz w:val="24"/>
          <w:szCs w:val="24"/>
          <w:lang w:val="bg-BG"/>
        </w:rPr>
      </w:pPr>
      <w:r>
        <w:rPr>
          <w:rFonts w:asciiTheme="minorHAnsi" w:hAnsiTheme="minorHAnsi"/>
          <w:sz w:val="24"/>
          <w:szCs w:val="24"/>
          <w:lang w:val="bg-BG"/>
        </w:rPr>
        <w:t>Ако не</w:t>
      </w:r>
      <w:r w:rsidR="00B12912">
        <w:rPr>
          <w:rFonts w:asciiTheme="minorHAnsi" w:hAnsiTheme="minorHAnsi"/>
          <w:sz w:val="24"/>
          <w:szCs w:val="24"/>
          <w:lang w:val="bg-BG"/>
        </w:rPr>
        <w:t xml:space="preserve"> бъдат положени усилия за акумулиране на повече средства в осигурителната система</w:t>
      </w:r>
      <w:r>
        <w:rPr>
          <w:rFonts w:asciiTheme="minorHAnsi" w:hAnsiTheme="minorHAnsi"/>
          <w:sz w:val="24"/>
          <w:szCs w:val="24"/>
          <w:lang w:val="bg-BG"/>
        </w:rPr>
        <w:t xml:space="preserve">, трансферът от държавния бюджет към бюджета на НОИ ще продължи да се увеличава, а това ще доведе до по-малко разполагаеми средства за всички останали </w:t>
      </w:r>
      <w:r>
        <w:rPr>
          <w:rFonts w:asciiTheme="minorHAnsi" w:hAnsiTheme="minorHAnsi"/>
          <w:sz w:val="24"/>
          <w:szCs w:val="24"/>
          <w:lang w:val="bg-BG"/>
        </w:rPr>
        <w:lastRenderedPageBreak/>
        <w:t>обществени сектори – здравеопазване, образование, социални услуги, публичен транспорт и др.</w:t>
      </w:r>
    </w:p>
    <w:p w14:paraId="601E9A13" w14:textId="77777777" w:rsidR="004C75A1" w:rsidRPr="004C75A1" w:rsidRDefault="004C75A1" w:rsidP="00087B94">
      <w:pPr>
        <w:ind w:right="272"/>
        <w:jc w:val="both"/>
        <w:rPr>
          <w:rFonts w:asciiTheme="minorHAnsi" w:hAnsiTheme="minorHAnsi"/>
          <w:sz w:val="24"/>
          <w:szCs w:val="24"/>
          <w:lang w:val="bg-BG"/>
        </w:rPr>
      </w:pPr>
    </w:p>
    <w:p w14:paraId="1109A98A" w14:textId="77777777" w:rsidR="004C75A1" w:rsidRDefault="004C75A1" w:rsidP="00055255">
      <w:pPr>
        <w:ind w:left="426" w:right="272" w:firstLine="708"/>
        <w:jc w:val="both"/>
        <w:rPr>
          <w:rFonts w:asciiTheme="minorHAnsi" w:hAnsiTheme="minorHAnsi"/>
          <w:sz w:val="24"/>
          <w:szCs w:val="24"/>
          <w:lang w:val="bg-BG"/>
        </w:rPr>
      </w:pPr>
    </w:p>
    <w:p w14:paraId="3AB9D66B" w14:textId="77777777" w:rsidR="003B7823" w:rsidRDefault="000C7B27" w:rsidP="000C7B27">
      <w:pPr>
        <w:ind w:left="426" w:right="272" w:firstLine="708"/>
        <w:jc w:val="both"/>
        <w:rPr>
          <w:rFonts w:asciiTheme="minorHAnsi" w:hAnsiTheme="minorHAnsi"/>
          <w:b/>
          <w:sz w:val="24"/>
          <w:szCs w:val="24"/>
          <w:lang w:val="bg-BG"/>
        </w:rPr>
      </w:pPr>
      <w:r>
        <w:rPr>
          <w:rFonts w:asciiTheme="minorHAnsi" w:hAnsiTheme="minorHAnsi"/>
          <w:sz w:val="24"/>
          <w:szCs w:val="24"/>
          <w:lang w:val="bg-BG"/>
        </w:rPr>
        <w:t xml:space="preserve">Не на последно място обръщаме внимание, че разходите за персонал на НОИ изобщо не са променени. Това няма да даде възможност за никакво актуализиране на заплатите на служителите. Очевидно управляващите не знаят или не оценяват труда и отговорностите, които носят заетите там. Това беше и все още е </w:t>
      </w:r>
      <w:r w:rsidRPr="000C7B27">
        <w:rPr>
          <w:rFonts w:asciiTheme="minorHAnsi" w:hAnsiTheme="minorHAnsi"/>
          <w:sz w:val="24"/>
          <w:szCs w:val="24"/>
          <w:lang w:val="bg-BG"/>
        </w:rPr>
        <w:t xml:space="preserve">една от натоварените администрации по време на </w:t>
      </w:r>
      <w:r>
        <w:rPr>
          <w:rFonts w:asciiTheme="minorHAnsi" w:hAnsiTheme="minorHAnsi"/>
          <w:sz w:val="24"/>
          <w:szCs w:val="24"/>
          <w:lang w:val="bg-BG"/>
        </w:rPr>
        <w:t xml:space="preserve">пандемията от </w:t>
      </w:r>
      <w:r>
        <w:rPr>
          <w:rFonts w:asciiTheme="minorHAnsi" w:hAnsiTheme="minorHAnsi"/>
          <w:sz w:val="24"/>
          <w:szCs w:val="24"/>
        </w:rPr>
        <w:t>COVID</w:t>
      </w:r>
      <w:r w:rsidRPr="000C7B27">
        <w:rPr>
          <w:rFonts w:asciiTheme="minorHAnsi" w:hAnsiTheme="minorHAnsi"/>
          <w:sz w:val="24"/>
          <w:szCs w:val="24"/>
          <w:lang w:val="bg-BG"/>
        </w:rPr>
        <w:t>-19</w:t>
      </w:r>
      <w:r>
        <w:rPr>
          <w:rFonts w:asciiTheme="minorHAnsi" w:hAnsiTheme="minorHAnsi"/>
          <w:sz w:val="24"/>
          <w:szCs w:val="24"/>
          <w:lang w:val="bg-BG"/>
        </w:rPr>
        <w:t xml:space="preserve">. НОИ пое изплащането на добавките към пенсиите, вместо те да бъдат изплащани като социално подпомагане. </w:t>
      </w:r>
      <w:r w:rsidR="003B7823">
        <w:rPr>
          <w:rFonts w:asciiTheme="minorHAnsi" w:hAnsiTheme="minorHAnsi"/>
          <w:sz w:val="24"/>
          <w:szCs w:val="24"/>
          <w:lang w:val="bg-BG"/>
        </w:rPr>
        <w:t xml:space="preserve">Впоследствие се наложи спешно да преизчислят всички отпуснати пенсии в страната. </w:t>
      </w:r>
      <w:r w:rsidR="003B7823" w:rsidRPr="006A05E2">
        <w:rPr>
          <w:rFonts w:asciiTheme="minorHAnsi" w:hAnsiTheme="minorHAnsi"/>
          <w:b/>
          <w:sz w:val="24"/>
          <w:szCs w:val="24"/>
          <w:lang w:val="bg-BG"/>
        </w:rPr>
        <w:t>Служителите на НОИ са професионалисти, които не могат да бъдат лесно заменени, защото притежават изключително специфични знания за пенсионната система.</w:t>
      </w:r>
    </w:p>
    <w:p w14:paraId="0663A50F" w14:textId="77777777" w:rsidR="0040405A" w:rsidRDefault="0040405A" w:rsidP="000C7B27">
      <w:pPr>
        <w:ind w:left="426" w:right="272" w:firstLine="708"/>
        <w:jc w:val="both"/>
        <w:rPr>
          <w:rFonts w:asciiTheme="minorHAnsi" w:hAnsiTheme="minorHAnsi"/>
          <w:sz w:val="24"/>
          <w:szCs w:val="24"/>
          <w:lang w:val="bg-BG"/>
        </w:rPr>
      </w:pPr>
    </w:p>
    <w:p w14:paraId="37BFF04A" w14:textId="77777777" w:rsidR="004E2595" w:rsidRDefault="006A05E2" w:rsidP="003B7823">
      <w:pPr>
        <w:ind w:left="426" w:right="272" w:firstLine="708"/>
        <w:jc w:val="both"/>
        <w:rPr>
          <w:rFonts w:asciiTheme="minorHAnsi" w:hAnsiTheme="minorHAnsi"/>
          <w:sz w:val="24"/>
          <w:szCs w:val="24"/>
          <w:lang w:val="bg-BG"/>
        </w:rPr>
      </w:pPr>
      <w:r>
        <w:rPr>
          <w:rFonts w:asciiTheme="minorHAnsi" w:hAnsiTheme="minorHAnsi"/>
          <w:sz w:val="24"/>
          <w:szCs w:val="24"/>
          <w:lang w:val="bg-BG"/>
        </w:rPr>
        <w:t>КТ „Подкрепа“ настоява в</w:t>
      </w:r>
      <w:r w:rsidRPr="006A05E2">
        <w:rPr>
          <w:rFonts w:asciiTheme="minorHAnsi" w:hAnsiTheme="minorHAnsi"/>
          <w:sz w:val="24"/>
          <w:szCs w:val="24"/>
          <w:lang w:val="bg-BG"/>
        </w:rPr>
        <w:t xml:space="preserve"> Закона за бюджета държавното обществено осигуряване </w:t>
      </w:r>
      <w:r w:rsidR="00087B94">
        <w:rPr>
          <w:rFonts w:asciiTheme="minorHAnsi" w:hAnsiTheme="minorHAnsi"/>
          <w:sz w:val="24"/>
          <w:szCs w:val="24"/>
          <w:lang w:val="bg-BG"/>
        </w:rPr>
        <w:t xml:space="preserve">2023 </w:t>
      </w:r>
      <w:r w:rsidRPr="006A05E2">
        <w:rPr>
          <w:rFonts w:asciiTheme="minorHAnsi" w:hAnsiTheme="minorHAnsi"/>
          <w:sz w:val="24"/>
          <w:szCs w:val="24"/>
          <w:lang w:val="bg-BG"/>
        </w:rPr>
        <w:t xml:space="preserve">да се заложи увеличение с </w:t>
      </w:r>
      <w:r w:rsidR="00087B94">
        <w:rPr>
          <w:rFonts w:asciiTheme="minorHAnsi" w:hAnsiTheme="minorHAnsi"/>
          <w:b/>
          <w:sz w:val="24"/>
          <w:szCs w:val="24"/>
          <w:lang w:val="bg-BG"/>
        </w:rPr>
        <w:t>минимум 3</w:t>
      </w:r>
      <w:r w:rsidRPr="006A05E2">
        <w:rPr>
          <w:rFonts w:asciiTheme="minorHAnsi" w:hAnsiTheme="minorHAnsi"/>
          <w:b/>
          <w:sz w:val="24"/>
          <w:szCs w:val="24"/>
          <w:lang w:val="bg-BG"/>
        </w:rPr>
        <w:t>0%</w:t>
      </w:r>
      <w:r w:rsidR="00087B94">
        <w:rPr>
          <w:rFonts w:asciiTheme="minorHAnsi" w:hAnsiTheme="minorHAnsi"/>
          <w:sz w:val="24"/>
          <w:szCs w:val="24"/>
          <w:lang w:val="bg-BG"/>
        </w:rPr>
        <w:t xml:space="preserve"> в перо „разходи за персонал” </w:t>
      </w:r>
      <w:r w:rsidRPr="006A05E2">
        <w:rPr>
          <w:rFonts w:asciiTheme="minorHAnsi" w:hAnsiTheme="minorHAnsi"/>
          <w:sz w:val="24"/>
          <w:szCs w:val="24"/>
          <w:lang w:val="bg-BG"/>
        </w:rPr>
        <w:t>за увеличение на възнагражденията на работниците и служи</w:t>
      </w:r>
      <w:r w:rsidR="00411F98">
        <w:rPr>
          <w:rFonts w:asciiTheme="minorHAnsi" w:hAnsiTheme="minorHAnsi"/>
          <w:sz w:val="24"/>
          <w:szCs w:val="24"/>
          <w:lang w:val="bg-BG"/>
        </w:rPr>
        <w:t>телите в системата на НОИ. Обемът</w:t>
      </w:r>
      <w:r w:rsidRPr="006A05E2">
        <w:rPr>
          <w:rFonts w:asciiTheme="minorHAnsi" w:hAnsiTheme="minorHAnsi"/>
          <w:sz w:val="24"/>
          <w:szCs w:val="24"/>
          <w:lang w:val="bg-BG"/>
        </w:rPr>
        <w:t xml:space="preserve"> и интензитета на работа в системата на НОИ в последните две години е изключително сериозен, промените и предизвикателствата пред работниците и служителите са </w:t>
      </w:r>
      <w:r w:rsidR="00411F98">
        <w:rPr>
          <w:rFonts w:asciiTheme="minorHAnsi" w:hAnsiTheme="minorHAnsi"/>
          <w:sz w:val="24"/>
          <w:szCs w:val="24"/>
          <w:lang w:val="bg-BG"/>
        </w:rPr>
        <w:t>значителни</w:t>
      </w:r>
      <w:r w:rsidRPr="006A05E2">
        <w:rPr>
          <w:rFonts w:asciiTheme="minorHAnsi" w:hAnsiTheme="minorHAnsi"/>
          <w:sz w:val="24"/>
          <w:szCs w:val="24"/>
          <w:lang w:val="bg-BG"/>
        </w:rPr>
        <w:t xml:space="preserve"> и следва да получат подобаващо възнаграждение за отговорностите, които </w:t>
      </w:r>
      <w:r w:rsidR="00411F98">
        <w:rPr>
          <w:rFonts w:asciiTheme="minorHAnsi" w:hAnsiTheme="minorHAnsi"/>
          <w:sz w:val="24"/>
          <w:szCs w:val="24"/>
          <w:lang w:val="bg-BG"/>
        </w:rPr>
        <w:t>носят</w:t>
      </w:r>
      <w:r w:rsidRPr="006A05E2">
        <w:rPr>
          <w:rFonts w:asciiTheme="minorHAnsi" w:hAnsiTheme="minorHAnsi"/>
          <w:sz w:val="24"/>
          <w:szCs w:val="24"/>
          <w:lang w:val="bg-BG"/>
        </w:rPr>
        <w:t>.</w:t>
      </w:r>
      <w:r w:rsidR="006561D8">
        <w:rPr>
          <w:rFonts w:asciiTheme="minorHAnsi" w:hAnsiTheme="minorHAnsi"/>
          <w:sz w:val="24"/>
          <w:szCs w:val="24"/>
          <w:lang w:val="bg-BG"/>
        </w:rPr>
        <w:t xml:space="preserve"> Уведомяваме ви, че в структурите на НОИ вече започва подготовка за стачни действия, което означава, че при неизпълнение на исканията на служителите съществува реален риск и замразените обезщетения, и осъвременените пенсии да не бъдат изплащани.</w:t>
      </w:r>
    </w:p>
    <w:p w14:paraId="5972176E" w14:textId="77777777" w:rsidR="00411F98" w:rsidRPr="009B77B9" w:rsidRDefault="00411F98" w:rsidP="003B7823">
      <w:pPr>
        <w:ind w:left="426" w:right="272" w:firstLine="708"/>
        <w:jc w:val="both"/>
        <w:rPr>
          <w:rFonts w:asciiTheme="minorHAnsi" w:hAnsiTheme="minorHAnsi"/>
          <w:sz w:val="24"/>
          <w:szCs w:val="24"/>
          <w:lang w:val="bg-BG"/>
        </w:rPr>
      </w:pPr>
    </w:p>
    <w:p w14:paraId="08F9BAEB" w14:textId="77777777" w:rsidR="00763B6D" w:rsidRPr="00763B6D" w:rsidRDefault="00763B6D" w:rsidP="00D11CFE">
      <w:pPr>
        <w:ind w:left="426" w:right="272"/>
        <w:rPr>
          <w:rFonts w:asciiTheme="minorHAnsi" w:hAnsiTheme="minorHAnsi"/>
          <w:sz w:val="24"/>
          <w:szCs w:val="24"/>
          <w:lang w:val="bg-BG"/>
        </w:rPr>
      </w:pPr>
    </w:p>
    <w:p w14:paraId="6F8488AF" w14:textId="77777777" w:rsidR="00763B6D" w:rsidRPr="00763B6D" w:rsidRDefault="00763B6D" w:rsidP="00D11CFE">
      <w:pPr>
        <w:ind w:left="426" w:right="272"/>
        <w:rPr>
          <w:rFonts w:asciiTheme="minorHAnsi" w:hAnsiTheme="minorHAnsi"/>
          <w:lang w:val="bg-BG"/>
        </w:rPr>
      </w:pPr>
    </w:p>
    <w:p w14:paraId="4A7C8E12" w14:textId="77777777" w:rsidR="00763B6D" w:rsidRPr="00763B6D" w:rsidRDefault="00763B6D" w:rsidP="00D11CFE">
      <w:pPr>
        <w:ind w:left="426" w:right="272"/>
        <w:rPr>
          <w:rFonts w:asciiTheme="minorHAnsi" w:hAnsiTheme="minorHAnsi"/>
          <w:lang w:val="bg-BG"/>
        </w:rPr>
      </w:pPr>
    </w:p>
    <w:p w14:paraId="276322FB" w14:textId="77777777" w:rsidR="00763B6D" w:rsidRPr="00763B6D" w:rsidRDefault="00763B6D" w:rsidP="00AB00C5">
      <w:pPr>
        <w:ind w:left="3420" w:right="272"/>
        <w:rPr>
          <w:rFonts w:asciiTheme="minorHAnsi" w:hAnsiTheme="minorHAnsi"/>
          <w:b/>
          <w:sz w:val="24"/>
          <w:szCs w:val="24"/>
          <w:lang w:val="bg-BG"/>
        </w:rPr>
      </w:pPr>
      <w:r w:rsidRPr="00763B6D">
        <w:rPr>
          <w:rFonts w:asciiTheme="minorHAnsi" w:hAnsiTheme="minorHAnsi"/>
          <w:b/>
          <w:sz w:val="24"/>
          <w:szCs w:val="24"/>
          <w:lang w:val="bg-BG"/>
        </w:rPr>
        <w:t>С УВАЖЕНИЕ:</w:t>
      </w:r>
    </w:p>
    <w:p w14:paraId="2141B3E1" w14:textId="77777777" w:rsidR="00763B6D" w:rsidRPr="00763B6D" w:rsidRDefault="00763B6D" w:rsidP="00AB00C5">
      <w:pPr>
        <w:ind w:left="3420" w:right="272"/>
        <w:rPr>
          <w:rFonts w:asciiTheme="minorHAnsi" w:hAnsiTheme="minorHAnsi"/>
          <w:b/>
          <w:sz w:val="24"/>
          <w:szCs w:val="24"/>
          <w:lang w:val="bg-BG"/>
        </w:rPr>
      </w:pPr>
    </w:p>
    <w:p w14:paraId="709E7728" w14:textId="77777777" w:rsidR="00CD6992" w:rsidRPr="00CD6992" w:rsidRDefault="00763B6D" w:rsidP="00CD6992">
      <w:pPr>
        <w:ind w:left="3420" w:right="272"/>
        <w:rPr>
          <w:rFonts w:asciiTheme="minorHAnsi" w:hAnsiTheme="minorHAnsi"/>
          <w:b/>
          <w:sz w:val="24"/>
          <w:szCs w:val="24"/>
          <w:lang w:val="bg-BG"/>
        </w:rPr>
      </w:pPr>
      <w:r w:rsidRPr="00763B6D">
        <w:rPr>
          <w:rFonts w:asciiTheme="minorHAnsi" w:hAnsiTheme="minorHAnsi"/>
          <w:b/>
          <w:sz w:val="24"/>
          <w:szCs w:val="24"/>
          <w:lang w:val="bg-BG"/>
        </w:rPr>
        <w:tab/>
      </w:r>
      <w:r w:rsidRPr="00763B6D">
        <w:rPr>
          <w:rFonts w:asciiTheme="minorHAnsi" w:hAnsiTheme="minorHAnsi"/>
          <w:b/>
          <w:sz w:val="24"/>
          <w:szCs w:val="24"/>
          <w:lang w:val="bg-BG"/>
        </w:rPr>
        <w:tab/>
      </w:r>
      <w:r w:rsidRPr="00763B6D">
        <w:rPr>
          <w:rFonts w:asciiTheme="minorHAnsi" w:hAnsiTheme="minorHAnsi"/>
          <w:b/>
          <w:sz w:val="24"/>
          <w:szCs w:val="24"/>
          <w:lang w:val="bg-BG"/>
        </w:rPr>
        <w:tab/>
      </w:r>
      <w:r w:rsidR="00CD6992" w:rsidRPr="00CD6992">
        <w:rPr>
          <w:rFonts w:asciiTheme="minorHAnsi" w:hAnsiTheme="minorHAnsi"/>
          <w:b/>
          <w:sz w:val="24"/>
          <w:szCs w:val="24"/>
          <w:lang w:val="bg-BG"/>
        </w:rPr>
        <w:t>ИНЖ. ДИМИТЪР МАНОЛОВ</w:t>
      </w:r>
    </w:p>
    <w:p w14:paraId="0A4E311F" w14:textId="77777777" w:rsidR="00EF5947" w:rsidRPr="00136D7D" w:rsidRDefault="00CD6992" w:rsidP="00CD6992">
      <w:pPr>
        <w:ind w:left="3420" w:right="272"/>
        <w:rPr>
          <w:sz w:val="24"/>
          <w:szCs w:val="24"/>
          <w:lang w:val="bg-BG"/>
        </w:rPr>
      </w:pPr>
      <w:r w:rsidRPr="00CD6992">
        <w:rPr>
          <w:rFonts w:asciiTheme="minorHAnsi" w:hAnsiTheme="minorHAnsi"/>
          <w:b/>
          <w:sz w:val="24"/>
          <w:szCs w:val="24"/>
          <w:lang w:val="bg-BG"/>
        </w:rPr>
        <w:tab/>
      </w:r>
      <w:r w:rsidRPr="00CD6992">
        <w:rPr>
          <w:rFonts w:asciiTheme="minorHAnsi" w:hAnsiTheme="minorHAnsi"/>
          <w:b/>
          <w:sz w:val="24"/>
          <w:szCs w:val="24"/>
          <w:lang w:val="bg-BG"/>
        </w:rPr>
        <w:tab/>
      </w:r>
      <w:r w:rsidRPr="00CD6992">
        <w:rPr>
          <w:rFonts w:asciiTheme="minorHAnsi" w:hAnsiTheme="minorHAnsi"/>
          <w:b/>
          <w:sz w:val="24"/>
          <w:szCs w:val="24"/>
          <w:lang w:val="bg-BG"/>
        </w:rPr>
        <w:tab/>
        <w:t>ПРЕЗИДЕНТ НА КТ „ПОДКРЕПА</w:t>
      </w:r>
      <w:r w:rsidR="00055255">
        <w:rPr>
          <w:rFonts w:asciiTheme="minorHAnsi" w:hAnsiTheme="minorHAnsi"/>
          <w:b/>
          <w:sz w:val="24"/>
          <w:szCs w:val="24"/>
          <w:lang w:val="bg-BG"/>
        </w:rPr>
        <w:t>“</w:t>
      </w:r>
    </w:p>
    <w:sectPr w:rsidR="00EF5947" w:rsidRPr="00136D7D" w:rsidSect="000501D6">
      <w:headerReference w:type="default" r:id="rId8"/>
      <w:footerReference w:type="default" r:id="rId9"/>
      <w:pgSz w:w="11906" w:h="16838"/>
      <w:pgMar w:top="2102" w:right="566" w:bottom="764" w:left="720" w:header="568" w:footer="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F3E99" w14:textId="77777777" w:rsidR="00F33CF9" w:rsidRDefault="00F33CF9">
      <w:r>
        <w:separator/>
      </w:r>
    </w:p>
  </w:endnote>
  <w:endnote w:type="continuationSeparator" w:id="0">
    <w:p w14:paraId="422C6E15" w14:textId="77777777" w:rsidR="00F33CF9" w:rsidRDefault="00F3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msCyr">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21700"/>
      <w:docPartObj>
        <w:docPartGallery w:val="Page Numbers (Bottom of Page)"/>
        <w:docPartUnique/>
      </w:docPartObj>
    </w:sdtPr>
    <w:sdtEndPr>
      <w:rPr>
        <w:noProof/>
      </w:rPr>
    </w:sdtEndPr>
    <w:sdtContent>
      <w:p w14:paraId="12AC9333" w14:textId="77777777" w:rsidR="00A02F81" w:rsidRDefault="00A02F81">
        <w:pPr>
          <w:pStyle w:val="Footer"/>
          <w:jc w:val="right"/>
        </w:pPr>
        <w:r>
          <w:fldChar w:fldCharType="begin"/>
        </w:r>
        <w:r>
          <w:instrText xml:space="preserve"> PAGE   \* MERGEFORMAT </w:instrText>
        </w:r>
        <w:r>
          <w:fldChar w:fldCharType="separate"/>
        </w:r>
        <w:r w:rsidR="006561D8">
          <w:rPr>
            <w:noProof/>
          </w:rPr>
          <w:t>1</w:t>
        </w:r>
        <w:r>
          <w:rPr>
            <w:noProof/>
          </w:rPr>
          <w:fldChar w:fldCharType="end"/>
        </w:r>
      </w:p>
    </w:sdtContent>
  </w:sdt>
  <w:p w14:paraId="0197BAD0" w14:textId="77777777" w:rsidR="000501D6" w:rsidRDefault="00050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D7ACA" w14:textId="77777777" w:rsidR="00F33CF9" w:rsidRDefault="00F33CF9">
      <w:r>
        <w:separator/>
      </w:r>
    </w:p>
  </w:footnote>
  <w:footnote w:type="continuationSeparator" w:id="0">
    <w:p w14:paraId="3CC87C0F" w14:textId="77777777" w:rsidR="00F33CF9" w:rsidRDefault="00F33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CB1C" w14:textId="77777777" w:rsidR="004B06C6" w:rsidRDefault="00D466E7" w:rsidP="00410464">
    <w:pPr>
      <w:pStyle w:val="Heading1"/>
      <w:jc w:val="left"/>
    </w:pPr>
    <w:r>
      <w:rPr>
        <w:noProof/>
        <w:lang w:eastAsia="en-US"/>
      </w:rPr>
      <w:drawing>
        <wp:inline distT="0" distB="0" distL="0" distR="0" wp14:anchorId="2C7E3EC5" wp14:editId="023AC501">
          <wp:extent cx="6657975" cy="1143000"/>
          <wp:effectExtent l="0" t="0" r="9525" b="0"/>
          <wp:docPr id="3" name="Picture 3" descr="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7975" cy="1143000"/>
                  </a:xfrm>
                  <a:prstGeom prst="rect">
                    <a:avLst/>
                  </a:prstGeom>
                  <a:noFill/>
                  <a:ln>
                    <a:noFill/>
                  </a:ln>
                </pic:spPr>
              </pic:pic>
            </a:graphicData>
          </a:graphic>
        </wp:inline>
      </w:drawing>
    </w:r>
  </w:p>
  <w:p w14:paraId="7D34CB15" w14:textId="77777777" w:rsidR="004B06C6" w:rsidRDefault="004B06C6">
    <w:pPr>
      <w:rPr>
        <w:lang w:val="bg-B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Courier New"/>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440"/>
        </w:tabs>
        <w:ind w:left="1440" w:hanging="360"/>
      </w:pPr>
      <w:rPr>
        <w:rFonts w:ascii="Symbol" w:hAnsi="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Symbol" w:hAnsi="Symbol" w:cs="Courier New"/>
      </w:rPr>
    </w:lvl>
    <w:lvl w:ilvl="5">
      <w:start w:val="1"/>
      <w:numFmt w:val="bullet"/>
      <w:lvlText w:val=""/>
      <w:lvlJc w:val="left"/>
      <w:pPr>
        <w:tabs>
          <w:tab w:val="num" w:pos="2520"/>
        </w:tabs>
        <w:ind w:left="2520" w:hanging="360"/>
      </w:pPr>
      <w:rPr>
        <w:rFonts w:ascii="Symbol" w:hAnsi="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Symbol" w:hAnsi="Symbol" w:cs="Courier New"/>
      </w:rPr>
    </w:lvl>
    <w:lvl w:ilvl="8">
      <w:start w:val="1"/>
      <w:numFmt w:val="bullet"/>
      <w:lvlText w:val=""/>
      <w:lvlJc w:val="left"/>
      <w:pPr>
        <w:tabs>
          <w:tab w:val="num" w:pos="3600"/>
        </w:tabs>
        <w:ind w:left="3600" w:hanging="360"/>
      </w:pPr>
      <w:rPr>
        <w:rFonts w:ascii="Symbol" w:hAnsi="Symbol" w:cs="Courier New"/>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2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BCD79E4"/>
    <w:multiLevelType w:val="hybridMultilevel"/>
    <w:tmpl w:val="D35CED9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15:restartNumberingAfterBreak="0">
    <w:nsid w:val="0D1A63A8"/>
    <w:multiLevelType w:val="hybridMultilevel"/>
    <w:tmpl w:val="C0BECB00"/>
    <w:lvl w:ilvl="0" w:tplc="0402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15:restartNumberingAfterBreak="0">
    <w:nsid w:val="118A0514"/>
    <w:multiLevelType w:val="hybridMultilevel"/>
    <w:tmpl w:val="B346123E"/>
    <w:lvl w:ilvl="0" w:tplc="36CEF2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94911"/>
    <w:multiLevelType w:val="hybridMultilevel"/>
    <w:tmpl w:val="A0C2B794"/>
    <w:lvl w:ilvl="0" w:tplc="362CAF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92320E"/>
    <w:multiLevelType w:val="hybridMultilevel"/>
    <w:tmpl w:val="E5406BD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 w15:restartNumberingAfterBreak="0">
    <w:nsid w:val="2F5639D5"/>
    <w:multiLevelType w:val="hybridMultilevel"/>
    <w:tmpl w:val="22D22412"/>
    <w:lvl w:ilvl="0" w:tplc="291EAFEE">
      <w:start w:val="1"/>
      <w:numFmt w:val="decimal"/>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43E32755"/>
    <w:multiLevelType w:val="hybridMultilevel"/>
    <w:tmpl w:val="86FC1182"/>
    <w:lvl w:ilvl="0" w:tplc="05945AB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A4345C"/>
    <w:multiLevelType w:val="hybridMultilevel"/>
    <w:tmpl w:val="9482D9B2"/>
    <w:lvl w:ilvl="0" w:tplc="822AE3D2">
      <w:start w:val="8"/>
      <w:numFmt w:val="bullet"/>
      <w:lvlText w:val="-"/>
      <w:lvlJc w:val="left"/>
      <w:pPr>
        <w:ind w:left="1494" w:hanging="360"/>
      </w:pPr>
      <w:rPr>
        <w:rFonts w:ascii="Calibri" w:eastAsia="Times New Roman" w:hAnsi="Calibri" w:cs="Calibri"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 w15:restartNumberingAfterBreak="0">
    <w:nsid w:val="54C37330"/>
    <w:multiLevelType w:val="hybridMultilevel"/>
    <w:tmpl w:val="B6DCA202"/>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15:restartNumberingAfterBreak="0">
    <w:nsid w:val="657927F7"/>
    <w:multiLevelType w:val="hybridMultilevel"/>
    <w:tmpl w:val="6F5207FC"/>
    <w:lvl w:ilvl="0" w:tplc="0402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78C21F6"/>
    <w:multiLevelType w:val="hybridMultilevel"/>
    <w:tmpl w:val="430A3662"/>
    <w:lvl w:ilvl="0" w:tplc="C9ECEF4C">
      <w:start w:val="1"/>
      <w:numFmt w:val="decimal"/>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6B852D95"/>
    <w:multiLevelType w:val="hybridMultilevel"/>
    <w:tmpl w:val="E4BE03E6"/>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16cid:durableId="1834025357">
    <w:abstractNumId w:val="0"/>
  </w:num>
  <w:num w:numId="2" w16cid:durableId="958418799">
    <w:abstractNumId w:val="1"/>
  </w:num>
  <w:num w:numId="3" w16cid:durableId="398208127">
    <w:abstractNumId w:val="2"/>
  </w:num>
  <w:num w:numId="4" w16cid:durableId="788281633">
    <w:abstractNumId w:val="3"/>
  </w:num>
  <w:num w:numId="5" w16cid:durableId="1304310843">
    <w:abstractNumId w:val="6"/>
  </w:num>
  <w:num w:numId="6" w16cid:durableId="1020546596">
    <w:abstractNumId w:val="13"/>
  </w:num>
  <w:num w:numId="7" w16cid:durableId="464854330">
    <w:abstractNumId w:val="7"/>
  </w:num>
  <w:num w:numId="8" w16cid:durableId="62026174">
    <w:abstractNumId w:val="8"/>
  </w:num>
  <w:num w:numId="9" w16cid:durableId="825437924">
    <w:abstractNumId w:val="5"/>
  </w:num>
  <w:num w:numId="10" w16cid:durableId="2146776946">
    <w:abstractNumId w:val="9"/>
  </w:num>
  <w:num w:numId="11" w16cid:durableId="1091122373">
    <w:abstractNumId w:val="10"/>
  </w:num>
  <w:num w:numId="12" w16cid:durableId="80107808">
    <w:abstractNumId w:val="15"/>
  </w:num>
  <w:num w:numId="13" w16cid:durableId="1975870775">
    <w:abstractNumId w:val="12"/>
  </w:num>
  <w:num w:numId="14" w16cid:durableId="2120369984">
    <w:abstractNumId w:val="4"/>
  </w:num>
  <w:num w:numId="15" w16cid:durableId="766535872">
    <w:abstractNumId w:val="11"/>
  </w:num>
  <w:num w:numId="16" w16cid:durableId="19888983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E05"/>
    <w:rsid w:val="0001597F"/>
    <w:rsid w:val="00030D13"/>
    <w:rsid w:val="000409D6"/>
    <w:rsid w:val="00041B6B"/>
    <w:rsid w:val="000420DD"/>
    <w:rsid w:val="000501D6"/>
    <w:rsid w:val="00055255"/>
    <w:rsid w:val="00063712"/>
    <w:rsid w:val="00087B94"/>
    <w:rsid w:val="00092DDC"/>
    <w:rsid w:val="000A05DF"/>
    <w:rsid w:val="000A1F80"/>
    <w:rsid w:val="000B658D"/>
    <w:rsid w:val="000C2F66"/>
    <w:rsid w:val="000C7B27"/>
    <w:rsid w:val="000D0403"/>
    <w:rsid w:val="000E0D1C"/>
    <w:rsid w:val="000E78E1"/>
    <w:rsid w:val="000F0939"/>
    <w:rsid w:val="000F580F"/>
    <w:rsid w:val="001011E2"/>
    <w:rsid w:val="00111E05"/>
    <w:rsid w:val="00136D7D"/>
    <w:rsid w:val="00143B21"/>
    <w:rsid w:val="00166E11"/>
    <w:rsid w:val="0017395B"/>
    <w:rsid w:val="0017481E"/>
    <w:rsid w:val="001825E3"/>
    <w:rsid w:val="00182B0D"/>
    <w:rsid w:val="001845FE"/>
    <w:rsid w:val="00190D37"/>
    <w:rsid w:val="001913BF"/>
    <w:rsid w:val="001B09CE"/>
    <w:rsid w:val="001B2BEB"/>
    <w:rsid w:val="001D0AD1"/>
    <w:rsid w:val="001D10E3"/>
    <w:rsid w:val="001D71B3"/>
    <w:rsid w:val="001E4833"/>
    <w:rsid w:val="001E6C22"/>
    <w:rsid w:val="001F7C79"/>
    <w:rsid w:val="001F7ECB"/>
    <w:rsid w:val="00204080"/>
    <w:rsid w:val="00204C12"/>
    <w:rsid w:val="00206C23"/>
    <w:rsid w:val="00214948"/>
    <w:rsid w:val="00256C62"/>
    <w:rsid w:val="00275CE0"/>
    <w:rsid w:val="002824EF"/>
    <w:rsid w:val="00283176"/>
    <w:rsid w:val="00284B07"/>
    <w:rsid w:val="00290B64"/>
    <w:rsid w:val="00295126"/>
    <w:rsid w:val="002D1074"/>
    <w:rsid w:val="002D7E37"/>
    <w:rsid w:val="002E194E"/>
    <w:rsid w:val="002E2B94"/>
    <w:rsid w:val="002E3DB0"/>
    <w:rsid w:val="002E7558"/>
    <w:rsid w:val="002F7837"/>
    <w:rsid w:val="00310E89"/>
    <w:rsid w:val="00323D79"/>
    <w:rsid w:val="00325061"/>
    <w:rsid w:val="003255F7"/>
    <w:rsid w:val="00360CB9"/>
    <w:rsid w:val="00373A9D"/>
    <w:rsid w:val="003843DF"/>
    <w:rsid w:val="0038788B"/>
    <w:rsid w:val="003A679C"/>
    <w:rsid w:val="003B2C60"/>
    <w:rsid w:val="003B7823"/>
    <w:rsid w:val="003C2AB7"/>
    <w:rsid w:val="003D28D2"/>
    <w:rsid w:val="003D3F84"/>
    <w:rsid w:val="003D5240"/>
    <w:rsid w:val="0040029E"/>
    <w:rsid w:val="0040405A"/>
    <w:rsid w:val="00410464"/>
    <w:rsid w:val="00411F98"/>
    <w:rsid w:val="00416F09"/>
    <w:rsid w:val="00421366"/>
    <w:rsid w:val="004607F5"/>
    <w:rsid w:val="0046449E"/>
    <w:rsid w:val="00470962"/>
    <w:rsid w:val="004770F6"/>
    <w:rsid w:val="004836E2"/>
    <w:rsid w:val="00486550"/>
    <w:rsid w:val="00497599"/>
    <w:rsid w:val="004A24C9"/>
    <w:rsid w:val="004A303F"/>
    <w:rsid w:val="004A3FEB"/>
    <w:rsid w:val="004A6C2F"/>
    <w:rsid w:val="004B06C6"/>
    <w:rsid w:val="004B0C3E"/>
    <w:rsid w:val="004B4862"/>
    <w:rsid w:val="004C1DB5"/>
    <w:rsid w:val="004C3AD9"/>
    <w:rsid w:val="004C75A1"/>
    <w:rsid w:val="004E2595"/>
    <w:rsid w:val="00506DBD"/>
    <w:rsid w:val="005242F2"/>
    <w:rsid w:val="005450D4"/>
    <w:rsid w:val="005477F3"/>
    <w:rsid w:val="00573FDB"/>
    <w:rsid w:val="00576F33"/>
    <w:rsid w:val="00583698"/>
    <w:rsid w:val="00585C4E"/>
    <w:rsid w:val="00586757"/>
    <w:rsid w:val="00587D67"/>
    <w:rsid w:val="00590BD2"/>
    <w:rsid w:val="005A2628"/>
    <w:rsid w:val="005A2E74"/>
    <w:rsid w:val="005B784B"/>
    <w:rsid w:val="005C1AB5"/>
    <w:rsid w:val="005D0830"/>
    <w:rsid w:val="005D3E0B"/>
    <w:rsid w:val="005D5EEC"/>
    <w:rsid w:val="005E4493"/>
    <w:rsid w:val="005E7E8C"/>
    <w:rsid w:val="005F42BD"/>
    <w:rsid w:val="0061713B"/>
    <w:rsid w:val="00626299"/>
    <w:rsid w:val="00633B7E"/>
    <w:rsid w:val="00633D21"/>
    <w:rsid w:val="00640A99"/>
    <w:rsid w:val="00641F0E"/>
    <w:rsid w:val="00651709"/>
    <w:rsid w:val="006561D8"/>
    <w:rsid w:val="0066416C"/>
    <w:rsid w:val="00680CAC"/>
    <w:rsid w:val="00692A79"/>
    <w:rsid w:val="006A05E2"/>
    <w:rsid w:val="006A74E8"/>
    <w:rsid w:val="006B112F"/>
    <w:rsid w:val="006B53F9"/>
    <w:rsid w:val="006D2506"/>
    <w:rsid w:val="006D2D57"/>
    <w:rsid w:val="006F6F90"/>
    <w:rsid w:val="0072591C"/>
    <w:rsid w:val="00755584"/>
    <w:rsid w:val="00763B6D"/>
    <w:rsid w:val="00776F39"/>
    <w:rsid w:val="00781775"/>
    <w:rsid w:val="00787ACA"/>
    <w:rsid w:val="007A0F71"/>
    <w:rsid w:val="007E7155"/>
    <w:rsid w:val="00800D8E"/>
    <w:rsid w:val="0080176C"/>
    <w:rsid w:val="00807EEA"/>
    <w:rsid w:val="00830299"/>
    <w:rsid w:val="00830817"/>
    <w:rsid w:val="00835069"/>
    <w:rsid w:val="00851DAD"/>
    <w:rsid w:val="0085535E"/>
    <w:rsid w:val="0085537D"/>
    <w:rsid w:val="00871E6B"/>
    <w:rsid w:val="0087385D"/>
    <w:rsid w:val="00886992"/>
    <w:rsid w:val="00886F5A"/>
    <w:rsid w:val="008B2C13"/>
    <w:rsid w:val="008C0E99"/>
    <w:rsid w:val="008D457C"/>
    <w:rsid w:val="00902F09"/>
    <w:rsid w:val="00910066"/>
    <w:rsid w:val="00921B31"/>
    <w:rsid w:val="0092257C"/>
    <w:rsid w:val="009675C2"/>
    <w:rsid w:val="00992E30"/>
    <w:rsid w:val="0099320A"/>
    <w:rsid w:val="00994507"/>
    <w:rsid w:val="009A2EFF"/>
    <w:rsid w:val="009A7CAC"/>
    <w:rsid w:val="009B1E87"/>
    <w:rsid w:val="009B77B9"/>
    <w:rsid w:val="009C2A00"/>
    <w:rsid w:val="009D18F5"/>
    <w:rsid w:val="009F6B72"/>
    <w:rsid w:val="00A01AC8"/>
    <w:rsid w:val="00A02B75"/>
    <w:rsid w:val="00A02F81"/>
    <w:rsid w:val="00A25805"/>
    <w:rsid w:val="00A27620"/>
    <w:rsid w:val="00A34211"/>
    <w:rsid w:val="00A56E64"/>
    <w:rsid w:val="00A7259A"/>
    <w:rsid w:val="00A83CC7"/>
    <w:rsid w:val="00AA31E6"/>
    <w:rsid w:val="00AB00C5"/>
    <w:rsid w:val="00AB3B71"/>
    <w:rsid w:val="00AB64BC"/>
    <w:rsid w:val="00AC1AE1"/>
    <w:rsid w:val="00AE57D4"/>
    <w:rsid w:val="00AE7984"/>
    <w:rsid w:val="00AF06AB"/>
    <w:rsid w:val="00AF5E9E"/>
    <w:rsid w:val="00AF639B"/>
    <w:rsid w:val="00AF73E1"/>
    <w:rsid w:val="00B0567C"/>
    <w:rsid w:val="00B074A4"/>
    <w:rsid w:val="00B12912"/>
    <w:rsid w:val="00B15B96"/>
    <w:rsid w:val="00B35BAC"/>
    <w:rsid w:val="00B37A22"/>
    <w:rsid w:val="00B452BC"/>
    <w:rsid w:val="00B54BC6"/>
    <w:rsid w:val="00B577AE"/>
    <w:rsid w:val="00B75D92"/>
    <w:rsid w:val="00B917C9"/>
    <w:rsid w:val="00B92712"/>
    <w:rsid w:val="00B94049"/>
    <w:rsid w:val="00BA27B5"/>
    <w:rsid w:val="00BA2D96"/>
    <w:rsid w:val="00BA532F"/>
    <w:rsid w:val="00BA56F9"/>
    <w:rsid w:val="00BB045C"/>
    <w:rsid w:val="00BB1240"/>
    <w:rsid w:val="00BB246A"/>
    <w:rsid w:val="00BB53A6"/>
    <w:rsid w:val="00BC4573"/>
    <w:rsid w:val="00BC6DA2"/>
    <w:rsid w:val="00BD4FE6"/>
    <w:rsid w:val="00BD67E5"/>
    <w:rsid w:val="00C04F4D"/>
    <w:rsid w:val="00C0529F"/>
    <w:rsid w:val="00C07F31"/>
    <w:rsid w:val="00C10A1F"/>
    <w:rsid w:val="00C56452"/>
    <w:rsid w:val="00C609B5"/>
    <w:rsid w:val="00C84240"/>
    <w:rsid w:val="00CB659C"/>
    <w:rsid w:val="00CC7A37"/>
    <w:rsid w:val="00CD6992"/>
    <w:rsid w:val="00CF7B23"/>
    <w:rsid w:val="00D040B0"/>
    <w:rsid w:val="00D069A4"/>
    <w:rsid w:val="00D11CFE"/>
    <w:rsid w:val="00D466E7"/>
    <w:rsid w:val="00D80BF4"/>
    <w:rsid w:val="00D95479"/>
    <w:rsid w:val="00DA07AB"/>
    <w:rsid w:val="00DC576A"/>
    <w:rsid w:val="00DD13E0"/>
    <w:rsid w:val="00DF05C4"/>
    <w:rsid w:val="00DF18D0"/>
    <w:rsid w:val="00DF398D"/>
    <w:rsid w:val="00E0085B"/>
    <w:rsid w:val="00E009DD"/>
    <w:rsid w:val="00E10C17"/>
    <w:rsid w:val="00E16824"/>
    <w:rsid w:val="00E253BB"/>
    <w:rsid w:val="00E341BA"/>
    <w:rsid w:val="00E363C5"/>
    <w:rsid w:val="00E50FA6"/>
    <w:rsid w:val="00E5126D"/>
    <w:rsid w:val="00E6076D"/>
    <w:rsid w:val="00E61623"/>
    <w:rsid w:val="00E6799A"/>
    <w:rsid w:val="00E769B7"/>
    <w:rsid w:val="00E80D18"/>
    <w:rsid w:val="00EA46B0"/>
    <w:rsid w:val="00EB2E06"/>
    <w:rsid w:val="00EB3927"/>
    <w:rsid w:val="00EB49F6"/>
    <w:rsid w:val="00EE0D08"/>
    <w:rsid w:val="00EE2989"/>
    <w:rsid w:val="00EE3F14"/>
    <w:rsid w:val="00EF1563"/>
    <w:rsid w:val="00EF5947"/>
    <w:rsid w:val="00F04AE5"/>
    <w:rsid w:val="00F05FD7"/>
    <w:rsid w:val="00F22CEB"/>
    <w:rsid w:val="00F22D13"/>
    <w:rsid w:val="00F33CF9"/>
    <w:rsid w:val="00F53B5C"/>
    <w:rsid w:val="00F669B2"/>
    <w:rsid w:val="00F8191C"/>
    <w:rsid w:val="00F8323D"/>
    <w:rsid w:val="00F939C5"/>
    <w:rsid w:val="00FB2BCC"/>
    <w:rsid w:val="00FB36DF"/>
    <w:rsid w:val="00FC4B6F"/>
    <w:rsid w:val="00FE135B"/>
    <w:rsid w:val="00FE69CB"/>
    <w:rsid w:val="00FF0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4128DD1"/>
  <w15:docId w15:val="{7B58E76F-DA83-430C-97DE-AE866EDC3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ar-SA"/>
    </w:rPr>
  </w:style>
  <w:style w:type="paragraph" w:styleId="Heading1">
    <w:name w:val="heading 1"/>
    <w:basedOn w:val="Normal"/>
    <w:next w:val="Normal"/>
    <w:qFormat/>
    <w:pPr>
      <w:keepNext/>
      <w:numPr>
        <w:numId w:val="1"/>
      </w:numPr>
      <w:jc w:val="both"/>
      <w:outlineLvl w:val="0"/>
    </w:pPr>
    <w:rPr>
      <w:rFonts w:ascii="Verdana" w:hAnsi="Verdana"/>
      <w:b/>
    </w:rPr>
  </w:style>
  <w:style w:type="paragraph" w:styleId="Heading2">
    <w:name w:val="heading 2"/>
    <w:basedOn w:val="Normal"/>
    <w:next w:val="Normal"/>
    <w:qFormat/>
    <w:pPr>
      <w:keepNext/>
      <w:numPr>
        <w:ilvl w:val="1"/>
        <w:numId w:val="1"/>
      </w:numPr>
      <w:jc w:val="center"/>
      <w:outlineLvl w:val="1"/>
    </w:pPr>
    <w:rPr>
      <w:rFonts w:ascii="Verdana" w:hAnsi="Verdana"/>
      <w:b/>
      <w:lang w:val="bg-BG"/>
    </w:rPr>
  </w:style>
  <w:style w:type="paragraph" w:styleId="Heading3">
    <w:name w:val="heading 3"/>
    <w:basedOn w:val="Normal"/>
    <w:next w:val="Normal"/>
    <w:qFormat/>
    <w:pPr>
      <w:keepNext/>
      <w:numPr>
        <w:ilvl w:val="2"/>
        <w:numId w:val="1"/>
      </w:numPr>
      <w:spacing w:before="240" w:after="60"/>
      <w:outlineLvl w:val="2"/>
    </w:pPr>
    <w:rPr>
      <w:rFonts w:ascii="Arial" w:hAnsi="Arial"/>
      <w:sz w:val="24"/>
      <w:lang w:val="en-AU"/>
    </w:rPr>
  </w:style>
  <w:style w:type="paragraph" w:styleId="Heading4">
    <w:name w:val="heading 4"/>
    <w:basedOn w:val="Normal"/>
    <w:next w:val="Normal"/>
    <w:qFormat/>
    <w:pPr>
      <w:keepNext/>
      <w:numPr>
        <w:ilvl w:val="3"/>
        <w:numId w:val="1"/>
      </w:numPr>
      <w:spacing w:before="100" w:after="100"/>
      <w:jc w:val="center"/>
      <w:outlineLvl w:val="3"/>
    </w:pPr>
    <w:rPr>
      <w:b/>
      <w:i/>
      <w:sz w:val="24"/>
      <w:u w:val="single"/>
    </w:rPr>
  </w:style>
  <w:style w:type="paragraph" w:styleId="Heading5">
    <w:name w:val="heading 5"/>
    <w:basedOn w:val="Normal"/>
    <w:next w:val="Normal"/>
    <w:qFormat/>
    <w:pPr>
      <w:keepNext/>
      <w:numPr>
        <w:ilvl w:val="4"/>
        <w:numId w:val="1"/>
      </w:numPr>
      <w:outlineLvl w:val="4"/>
    </w:pPr>
    <w:rPr>
      <w:b/>
      <w:sz w:val="24"/>
      <w:lang w:val="bg-BG"/>
    </w:rPr>
  </w:style>
  <w:style w:type="paragraph" w:styleId="Heading6">
    <w:name w:val="heading 6"/>
    <w:basedOn w:val="Normal"/>
    <w:next w:val="Normal"/>
    <w:qFormat/>
    <w:pPr>
      <w:keepNext/>
      <w:numPr>
        <w:ilvl w:val="5"/>
        <w:numId w:val="1"/>
      </w:numPr>
      <w:jc w:val="center"/>
      <w:outlineLvl w:val="5"/>
    </w:pPr>
    <w:rPr>
      <w:b/>
      <w:bCs/>
      <w:sz w:val="24"/>
    </w:rPr>
  </w:style>
  <w:style w:type="paragraph" w:styleId="Heading7">
    <w:name w:val="heading 7"/>
    <w:basedOn w:val="Normal"/>
    <w:next w:val="Normal"/>
    <w:qFormat/>
    <w:pPr>
      <w:keepNext/>
      <w:numPr>
        <w:ilvl w:val="6"/>
        <w:numId w:val="1"/>
      </w:numPr>
      <w:jc w:val="center"/>
      <w:outlineLvl w:val="6"/>
    </w:pPr>
    <w:rPr>
      <w:b/>
      <w:bCs/>
      <w:sz w:val="28"/>
    </w:rPr>
  </w:style>
  <w:style w:type="paragraph" w:styleId="Heading8">
    <w:name w:val="heading 8"/>
    <w:basedOn w:val="Normal"/>
    <w:next w:val="Normal"/>
    <w:qFormat/>
    <w:pPr>
      <w:keepNext/>
      <w:numPr>
        <w:ilvl w:val="7"/>
        <w:numId w:val="1"/>
      </w:numPr>
      <w:outlineLvl w:val="7"/>
    </w:pPr>
    <w:rPr>
      <w:sz w:val="28"/>
      <w:lang w:val="bg-BG"/>
    </w:rPr>
  </w:style>
  <w:style w:type="paragraph" w:styleId="Heading9">
    <w:name w:val="heading 9"/>
    <w:basedOn w:val="Normal"/>
    <w:next w:val="Normal"/>
    <w:qFormat/>
    <w:pPr>
      <w:keepNext/>
      <w:numPr>
        <w:ilvl w:val="8"/>
        <w:numId w:val="1"/>
      </w:numPr>
      <w:outlineLvl w:val="8"/>
    </w:pPr>
    <w:rPr>
      <w:b/>
      <w:bCs/>
      <w:color w:val="0000FF"/>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Courier New" w:hAnsi="Courier New" w:cs="Courier New"/>
    </w:rPr>
  </w:style>
  <w:style w:type="character" w:customStyle="1" w:styleId="WW8Num3z0">
    <w:name w:val="WW8Num3z0"/>
    <w:rPr>
      <w:rFonts w:ascii="Symbol" w:hAnsi="Symbol" w:cs="OpenSymbol"/>
    </w:rPr>
  </w:style>
  <w:style w:type="character" w:customStyle="1" w:styleId="Absatz-Standardschriftart">
    <w:name w:val="Absatz-Standardschriftart"/>
  </w:style>
  <w:style w:type="character" w:customStyle="1" w:styleId="WW8Num1z0">
    <w:name w:val="WW8Num1z0"/>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Wingdings" w:hAnsi="Wingdings"/>
    </w:rPr>
  </w:style>
  <w:style w:type="character" w:customStyle="1" w:styleId="WW8Num6z1">
    <w:name w:val="WW8Num6z1"/>
    <w:rPr>
      <w:rFonts w:ascii="Courier New" w:hAnsi="Courier New"/>
    </w:rPr>
  </w:style>
  <w:style w:type="character" w:customStyle="1" w:styleId="WW8Num6z3">
    <w:name w:val="WW8Num6z3"/>
    <w:rPr>
      <w:rFonts w:ascii="Symbol" w:hAnsi="Symbol"/>
    </w:rPr>
  </w:style>
  <w:style w:type="character" w:customStyle="1" w:styleId="WW8Num7z0">
    <w:name w:val="WW8Num7z0"/>
    <w:rPr>
      <w:rFonts w:ascii="Wingdings" w:hAnsi="Wingdings"/>
      <w:sz w:val="16"/>
    </w:rPr>
  </w:style>
  <w:style w:type="character" w:customStyle="1" w:styleId="WW8Num8z0">
    <w:name w:val="WW8Num8z0"/>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5z0">
    <w:name w:val="WW8Num15z0"/>
    <w:rPr>
      <w:sz w:val="24"/>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customStyle="1" w:styleId="contenttitle1">
    <w:name w:val="content_title1"/>
    <w:rPr>
      <w:rFonts w:ascii="Arial" w:hAnsi="Arial" w:cs="Arial"/>
      <w:b/>
      <w:bCs/>
      <w:strike w:val="0"/>
      <w:dstrike w:val="0"/>
      <w:color w:val="0B175D"/>
      <w:sz w:val="20"/>
      <w:szCs w:val="20"/>
      <w:u w:val="none"/>
    </w:rPr>
  </w:style>
  <w:style w:type="character" w:styleId="Strong">
    <w:name w:val="Strong"/>
    <w:qFormat/>
    <w:rPr>
      <w:b/>
      <w:bCs/>
    </w:rPr>
  </w:style>
  <w:style w:type="character" w:customStyle="1" w:styleId="a">
    <w:name w:val="Водачи"/>
    <w:rPr>
      <w:rFonts w:ascii="OpenSymbol" w:eastAsia="OpenSymbol" w:hAnsi="OpenSymbol" w:cs="OpenSymbol"/>
    </w:rPr>
  </w:style>
  <w:style w:type="character" w:customStyle="1" w:styleId="a0">
    <w:name w:val="Символи за номериране"/>
  </w:style>
  <w:style w:type="paragraph" w:customStyle="1" w:styleId="1">
    <w:name w:val="Заглавие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216"/>
    </w:pPr>
    <w:rPr>
      <w:rFonts w:ascii="TmsCyr" w:hAnsi="TmsCyr"/>
      <w:color w:val="000000"/>
      <w:lang w:val="en-AU"/>
    </w:rPr>
  </w:style>
  <w:style w:type="paragraph" w:styleId="List">
    <w:name w:val="List"/>
    <w:basedOn w:val="BodyText"/>
    <w:rPr>
      <w:rFonts w:cs="Tahoma"/>
    </w:rPr>
  </w:style>
  <w:style w:type="paragraph" w:customStyle="1" w:styleId="10">
    <w:name w:val="Надпис1"/>
    <w:basedOn w:val="Normal"/>
    <w:pPr>
      <w:suppressLineNumbers/>
      <w:spacing w:before="120" w:after="120"/>
    </w:pPr>
    <w:rPr>
      <w:rFonts w:cs="Tahoma"/>
      <w:i/>
      <w:iCs/>
      <w:sz w:val="24"/>
      <w:szCs w:val="24"/>
    </w:rPr>
  </w:style>
  <w:style w:type="paragraph" w:customStyle="1" w:styleId="a1">
    <w:name w:val="Указател"/>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BalloonText">
    <w:name w:val="Balloon Text"/>
    <w:basedOn w:val="Normal"/>
    <w:rPr>
      <w:rFonts w:ascii="Tahoma" w:hAnsi="Tahoma" w:cs="Tahoma"/>
      <w:sz w:val="16"/>
      <w:szCs w:val="16"/>
    </w:rPr>
  </w:style>
  <w:style w:type="paragraph" w:styleId="BodyText2">
    <w:name w:val="Body Text 2"/>
    <w:basedOn w:val="Normal"/>
    <w:pPr>
      <w:jc w:val="both"/>
    </w:pPr>
    <w:rPr>
      <w:b/>
      <w:lang w:val="bg-BG"/>
    </w:rPr>
  </w:style>
  <w:style w:type="paragraph" w:styleId="BodyText3">
    <w:name w:val="Body Text 3"/>
    <w:basedOn w:val="Normal"/>
    <w:pPr>
      <w:jc w:val="both"/>
    </w:pPr>
    <w:rPr>
      <w:sz w:val="24"/>
      <w:lang w:val="bg-BG"/>
    </w:rPr>
  </w:style>
  <w:style w:type="paragraph" w:styleId="BodyTextIndent">
    <w:name w:val="Body Text Indent"/>
    <w:basedOn w:val="Normal"/>
    <w:pPr>
      <w:ind w:firstLine="720"/>
      <w:jc w:val="both"/>
    </w:pPr>
    <w:rPr>
      <w:b/>
      <w:i/>
      <w:lang w:val="bg-BG"/>
    </w:rPr>
  </w:style>
  <w:style w:type="paragraph" w:styleId="NormalWeb">
    <w:name w:val="Normal (Web)"/>
    <w:basedOn w:val="Normal"/>
    <w:pPr>
      <w:spacing w:before="100" w:after="100"/>
    </w:pPr>
    <w:rPr>
      <w:rFonts w:ascii="Arial Unicode MS" w:eastAsia="Arial Unicode MS" w:hAnsi="Arial Unicode MS" w:cs="Arial Unicode MS"/>
      <w:sz w:val="24"/>
      <w:szCs w:val="24"/>
    </w:rPr>
  </w:style>
  <w:style w:type="paragraph" w:styleId="Caption">
    <w:name w:val="caption"/>
    <w:basedOn w:val="Normal"/>
    <w:next w:val="Normal"/>
    <w:qFormat/>
    <w:pPr>
      <w:jc w:val="center"/>
    </w:pPr>
    <w:rPr>
      <w:b/>
      <w:bCs/>
      <w:color w:val="CC3300"/>
      <w:spacing w:val="20"/>
      <w:sz w:val="26"/>
      <w:u w:val="single"/>
    </w:rPr>
  </w:style>
  <w:style w:type="paragraph" w:styleId="BodyTextIndent2">
    <w:name w:val="Body Text Indent 2"/>
    <w:basedOn w:val="Normal"/>
    <w:pPr>
      <w:ind w:left="708"/>
    </w:pPr>
    <w:rPr>
      <w:sz w:val="24"/>
      <w:lang w:val="bg-BG"/>
    </w:rPr>
  </w:style>
  <w:style w:type="paragraph" w:styleId="ListParagraph">
    <w:name w:val="List Paragraph"/>
    <w:basedOn w:val="Normal"/>
    <w:uiPriority w:val="34"/>
    <w:qFormat/>
    <w:rsid w:val="00D466E7"/>
    <w:pPr>
      <w:suppressAutoHyphens w:val="0"/>
      <w:spacing w:after="200" w:line="276" w:lineRule="auto"/>
      <w:ind w:left="720"/>
      <w:contextualSpacing/>
    </w:pPr>
    <w:rPr>
      <w:rFonts w:ascii="Calibri" w:eastAsia="Calibri" w:hAnsi="Calibri"/>
      <w:sz w:val="22"/>
      <w:szCs w:val="22"/>
      <w:lang w:eastAsia="en-US"/>
    </w:rPr>
  </w:style>
  <w:style w:type="paragraph" w:styleId="FootnoteText">
    <w:name w:val="footnote text"/>
    <w:basedOn w:val="Normal"/>
    <w:link w:val="FootnoteTextChar"/>
    <w:uiPriority w:val="99"/>
    <w:semiHidden/>
    <w:unhideWhenUsed/>
    <w:rsid w:val="00D466E7"/>
    <w:pPr>
      <w:suppressAutoHyphens w:val="0"/>
    </w:pPr>
    <w:rPr>
      <w:rFonts w:ascii="Calibri" w:eastAsia="Calibri" w:hAnsi="Calibri"/>
      <w:lang w:eastAsia="en-US"/>
    </w:rPr>
  </w:style>
  <w:style w:type="character" w:customStyle="1" w:styleId="FootnoteTextChar">
    <w:name w:val="Footnote Text Char"/>
    <w:basedOn w:val="DefaultParagraphFont"/>
    <w:link w:val="FootnoteText"/>
    <w:uiPriority w:val="99"/>
    <w:semiHidden/>
    <w:rsid w:val="00D466E7"/>
    <w:rPr>
      <w:rFonts w:ascii="Calibri" w:eastAsia="Calibri" w:hAnsi="Calibri"/>
    </w:rPr>
  </w:style>
  <w:style w:type="character" w:styleId="FootnoteReference">
    <w:name w:val="footnote reference"/>
    <w:uiPriority w:val="99"/>
    <w:semiHidden/>
    <w:unhideWhenUsed/>
    <w:rsid w:val="00D466E7"/>
    <w:rPr>
      <w:vertAlign w:val="superscript"/>
    </w:rPr>
  </w:style>
  <w:style w:type="character" w:customStyle="1" w:styleId="FooterChar">
    <w:name w:val="Footer Char"/>
    <w:basedOn w:val="DefaultParagraphFont"/>
    <w:link w:val="Footer"/>
    <w:uiPriority w:val="99"/>
    <w:rsid w:val="00692A79"/>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245257">
      <w:bodyDiv w:val="1"/>
      <w:marLeft w:val="0"/>
      <w:marRight w:val="0"/>
      <w:marTop w:val="0"/>
      <w:marBottom w:val="0"/>
      <w:divBdr>
        <w:top w:val="none" w:sz="0" w:space="0" w:color="auto"/>
        <w:left w:val="none" w:sz="0" w:space="0" w:color="auto"/>
        <w:bottom w:val="none" w:sz="0" w:space="0" w:color="auto"/>
        <w:right w:val="none" w:sz="0" w:space="0" w:color="auto"/>
      </w:divBdr>
    </w:div>
    <w:div w:id="731467640">
      <w:bodyDiv w:val="1"/>
      <w:marLeft w:val="0"/>
      <w:marRight w:val="0"/>
      <w:marTop w:val="0"/>
      <w:marBottom w:val="0"/>
      <w:divBdr>
        <w:top w:val="none" w:sz="0" w:space="0" w:color="auto"/>
        <w:left w:val="none" w:sz="0" w:space="0" w:color="auto"/>
        <w:bottom w:val="none" w:sz="0" w:space="0" w:color="auto"/>
        <w:right w:val="none" w:sz="0" w:space="0" w:color="auto"/>
      </w:divBdr>
    </w:div>
    <w:div w:id="119354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A3BFC-1E2E-455E-8248-7BB65F425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5434</Characters>
  <Application>Microsoft Office Word</Application>
  <DocSecurity>0</DocSecurity>
  <Lines>45</Lines>
  <Paragraphs>12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ANTET</vt:lpstr>
      <vt:lpstr>ANTET</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dc:title>
  <dc:creator>"Vanya" &lt;vgrigorova@podkrepa.org&gt;</dc:creator>
  <cp:lastModifiedBy>Bilyana Vakrilova</cp:lastModifiedBy>
  <cp:revision>2</cp:revision>
  <cp:lastPrinted>2010-08-30T06:44:00Z</cp:lastPrinted>
  <dcterms:created xsi:type="dcterms:W3CDTF">2023-04-25T05:44:00Z</dcterms:created>
  <dcterms:modified xsi:type="dcterms:W3CDTF">2023-04-25T05:44:00Z</dcterms:modified>
</cp:coreProperties>
</file>