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F07" w:rsidRPr="006E3F07" w:rsidRDefault="006E3F07" w:rsidP="006E3F07">
      <w:pPr>
        <w:rPr>
          <w:rFonts w:ascii="Verdana" w:hAnsi="Verdana"/>
          <w:sz w:val="20"/>
          <w:lang w:val="bg-BG"/>
        </w:rPr>
      </w:pPr>
    </w:p>
    <w:p w:rsidR="006E3F07" w:rsidRPr="006E3F07" w:rsidRDefault="006E3F07" w:rsidP="006E3F07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/>
          <w:b/>
          <w:bCs/>
          <w:color w:val="000000"/>
          <w:sz w:val="20"/>
          <w:lang w:val="bg-BG" w:eastAsia="en-US"/>
        </w:rPr>
      </w:pPr>
    </w:p>
    <w:p w:rsidR="006E3F07" w:rsidRDefault="006E3F07" w:rsidP="00792E32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Verdana" w:eastAsia="Calibri" w:hAnsi="Verdana"/>
          <w:b/>
          <w:bCs/>
          <w:color w:val="000000"/>
          <w:sz w:val="20"/>
          <w:lang w:val="bg-BG" w:eastAsia="en-US"/>
        </w:rPr>
      </w:pPr>
    </w:p>
    <w:p w:rsidR="00BC5D31" w:rsidRDefault="006E3F07" w:rsidP="006E3F0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Calibri" w:hAnsi="Verdana"/>
          <w:b/>
          <w:bCs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t>ДОХОДИ, РАЗХОДИ И ПОТРЕБЛЕНИЕ НА</w:t>
      </w:r>
      <w:r w:rsidRPr="006E3F07">
        <w:rPr>
          <w:rFonts w:ascii="Verdana" w:eastAsia="Calibri" w:hAnsi="Verdana"/>
          <w:b/>
          <w:bCs/>
          <w:color w:val="000000"/>
          <w:sz w:val="20"/>
          <w:lang w:val="ru-RU" w:eastAsia="en-US"/>
        </w:rPr>
        <w:t xml:space="preserve"> </w:t>
      </w: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t xml:space="preserve">ДОМАКИНСТВАТА </w:t>
      </w:r>
    </w:p>
    <w:p w:rsidR="006E3F07" w:rsidRPr="006E3F07" w:rsidRDefault="006E3F07" w:rsidP="006E3F0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Verdana" w:eastAsia="Calibri" w:hAnsi="Verdana"/>
          <w:b/>
          <w:bCs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t>ПРЕЗ 202</w:t>
      </w:r>
      <w:r w:rsidR="00BC5D31">
        <w:rPr>
          <w:rFonts w:ascii="Verdana" w:eastAsia="Calibri" w:hAnsi="Verdana"/>
          <w:b/>
          <w:bCs/>
          <w:color w:val="000000"/>
          <w:sz w:val="20"/>
          <w:lang w:val="en-US" w:eastAsia="en-US"/>
        </w:rPr>
        <w:t>4</w:t>
      </w: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t xml:space="preserve"> ГОДИНА</w:t>
      </w:r>
    </w:p>
    <w:p w:rsidR="006E3F07" w:rsidRPr="006E3F07" w:rsidRDefault="006E3F07" w:rsidP="008318E2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Calibri" w:hAnsi="Verdana"/>
          <w:b/>
          <w:bCs/>
          <w:color w:val="000000"/>
          <w:sz w:val="20"/>
          <w:lang w:val="ru-RU" w:eastAsia="en-US"/>
        </w:rPr>
      </w:pP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t xml:space="preserve">Доходи на домакинствата </w:t>
      </w:r>
    </w:p>
    <w:p w:rsidR="006E3F07" w:rsidRDefault="006E3F07" w:rsidP="008318E2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През 202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</w:t>
      </w:r>
      <w:r w:rsidRPr="006E3F07">
        <w:rPr>
          <w:rFonts w:ascii="Verdana" w:eastAsia="Calibri" w:hAnsi="Verdana"/>
          <w:sz w:val="20"/>
          <w:lang w:val="bg-BG" w:eastAsia="en-US"/>
        </w:rPr>
        <w:t>г. годишният о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бщ доход средно на лице от домакинство е 1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2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 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8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57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лв.</w:t>
      </w:r>
      <w:r w:rsidRPr="006E3F07">
        <w:rPr>
          <w:rFonts w:ascii="Verdana" w:eastAsia="Calibri" w:hAnsi="Verdana"/>
          <w:color w:val="000000"/>
          <w:sz w:val="20"/>
          <w:lang w:val="ru-RU" w:eastAsia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и нараства с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 xml:space="preserve"> 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18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.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% спрямо 202</w:t>
      </w:r>
      <w:r w:rsidR="00023EDC">
        <w:rPr>
          <w:rFonts w:ascii="Verdana" w:eastAsia="Calibri" w:hAnsi="Verdana"/>
          <w:color w:val="000000"/>
          <w:sz w:val="20"/>
          <w:lang w:val="en-US" w:eastAsia="en-US"/>
        </w:rPr>
        <w:t>3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година. </w:t>
      </w:r>
      <w:r w:rsidRPr="006E3F07">
        <w:rPr>
          <w:rFonts w:ascii="Verdana" w:eastAsia="Times New Roman" w:hAnsi="Verdana"/>
          <w:sz w:val="20"/>
          <w:lang w:val="bg-BG" w:eastAsia="en-US"/>
        </w:rPr>
        <w:t>За последните десет години (20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023EDC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ru-RU" w:eastAsia="en-US"/>
        </w:rPr>
        <w:t>-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202</w:t>
      </w:r>
      <w:r w:rsidR="00023EDC">
        <w:rPr>
          <w:rFonts w:ascii="Verdana" w:eastAsia="Times New Roman" w:hAnsi="Verdana"/>
          <w:sz w:val="20"/>
          <w:lang w:val="en-US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г.) общият доход средно на лице от домакинство се увеличава </w:t>
      </w:r>
      <w:r w:rsidRPr="006E3F07">
        <w:rPr>
          <w:rFonts w:ascii="Verdana" w:eastAsia="Times New Roman" w:hAnsi="Verdana"/>
          <w:sz w:val="20"/>
          <w:lang w:val="en-US" w:eastAsia="en-US"/>
        </w:rPr>
        <w:t>2.</w:t>
      </w:r>
      <w:r w:rsidR="00023EDC">
        <w:rPr>
          <w:rFonts w:ascii="Verdana" w:eastAsia="Times New Roman" w:hAnsi="Verdana"/>
          <w:sz w:val="20"/>
          <w:lang w:val="en-US" w:eastAsia="en-US"/>
        </w:rPr>
        <w:t>6</w:t>
      </w:r>
      <w:r w:rsidRPr="006E3F07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пъти. </w:t>
      </w:r>
    </w:p>
    <w:p w:rsidR="006E3F07" w:rsidRPr="006E3F07" w:rsidRDefault="00086522" w:rsidP="008146D2">
      <w:pPr>
        <w:autoSpaceDE w:val="0"/>
        <w:autoSpaceDN w:val="0"/>
        <w:spacing w:before="160" w:after="160" w:line="360" w:lineRule="auto"/>
        <w:ind w:firstLine="567"/>
        <w:jc w:val="center"/>
        <w:rPr>
          <w:rFonts w:ascii="Verdana" w:eastAsia="Times New Roman" w:hAnsi="Verdana"/>
          <w:b/>
          <w:bCs/>
          <w:sz w:val="20"/>
          <w:lang w:val="bg-BG" w:eastAsia="en-US"/>
        </w:rPr>
      </w:pPr>
      <w:r>
        <w:rPr>
          <w:rFonts w:ascii="Verdana" w:eastAsia="Times New Roman" w:hAnsi="Verdana"/>
          <w:b/>
          <w:bCs/>
          <w:sz w:val="20"/>
          <w:lang w:val="bg-BG" w:eastAsia="en-US"/>
        </w:rPr>
        <w:t xml:space="preserve">Таблица </w:t>
      </w:r>
      <w:r w:rsidR="006E3F07" w:rsidRPr="006E3F07">
        <w:rPr>
          <w:rFonts w:ascii="Verdana" w:eastAsia="Times New Roman" w:hAnsi="Verdana"/>
          <w:b/>
          <w:bCs/>
          <w:sz w:val="20"/>
          <w:lang w:val="ru-RU" w:eastAsia="en-US"/>
        </w:rPr>
        <w:t>1</w:t>
      </w:r>
      <w:r w:rsidR="006E3F07" w:rsidRPr="006E3F07">
        <w:rPr>
          <w:rFonts w:ascii="Verdana" w:eastAsia="Times New Roman" w:hAnsi="Verdana"/>
          <w:b/>
          <w:bCs/>
          <w:sz w:val="20"/>
          <w:lang w:val="bg-BG" w:eastAsia="en-US"/>
        </w:rPr>
        <w:t>.</w:t>
      </w:r>
      <w:r w:rsidR="006E3F07" w:rsidRPr="006E3F07">
        <w:rPr>
          <w:rFonts w:ascii="Verdana" w:eastAsia="Times New Roman" w:hAnsi="Verdana"/>
          <w:b/>
          <w:bCs/>
          <w:sz w:val="20"/>
          <w:lang w:val="ru-RU" w:eastAsia="en-US"/>
        </w:rPr>
        <w:t xml:space="preserve"> </w:t>
      </w:r>
      <w:r w:rsidR="006E3F07" w:rsidRPr="006E3F07">
        <w:rPr>
          <w:rFonts w:ascii="Verdana" w:eastAsia="Times New Roman" w:hAnsi="Verdana"/>
          <w:b/>
          <w:bCs/>
          <w:sz w:val="20"/>
          <w:lang w:val="bg-BG" w:eastAsia="en-US"/>
        </w:rPr>
        <w:t>Общ доход на лице от домакинство</w:t>
      </w:r>
      <w:r w:rsidR="006E3F07" w:rsidRPr="006E3F07">
        <w:rPr>
          <w:rFonts w:ascii="Verdana" w:eastAsia="Times New Roman" w:hAnsi="Verdana"/>
          <w:b/>
          <w:bCs/>
          <w:sz w:val="20"/>
          <w:lang w:val="ru-RU" w:eastAsia="en-US"/>
        </w:rPr>
        <w:t xml:space="preserve"> </w:t>
      </w:r>
      <w:r w:rsidR="006E3F07">
        <w:rPr>
          <w:rFonts w:ascii="Verdana" w:eastAsia="Times New Roman" w:hAnsi="Verdana"/>
          <w:b/>
          <w:bCs/>
          <w:sz w:val="20"/>
          <w:lang w:val="bg-BG" w:eastAsia="en-US"/>
        </w:rPr>
        <w:t>по източници</w:t>
      </w:r>
    </w:p>
    <w:tbl>
      <w:tblPr>
        <w:tblW w:w="9108" w:type="dxa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1"/>
        <w:gridCol w:w="711"/>
        <w:gridCol w:w="653"/>
        <w:gridCol w:w="595"/>
        <w:gridCol w:w="653"/>
        <w:gridCol w:w="709"/>
        <w:gridCol w:w="653"/>
        <w:gridCol w:w="710"/>
        <w:gridCol w:w="653"/>
      </w:tblGrid>
      <w:tr w:rsidR="006E3F07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6E3F07" w:rsidRPr="006E3F07" w:rsidRDefault="006E3F07" w:rsidP="000A4F40">
            <w:pPr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 Източници на доходи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1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6E3F07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9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4</w:t>
            </w:r>
          </w:p>
        </w:tc>
      </w:tr>
      <w:tr w:rsidR="006E3F07" w:rsidRPr="006E3F07" w:rsidTr="00900A1A">
        <w:trPr>
          <w:cantSplit/>
          <w:trHeight w:hRule="exact" w:val="238"/>
        </w:trPr>
        <w:tc>
          <w:tcPr>
            <w:tcW w:w="3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F07" w:rsidRPr="006E3F07" w:rsidRDefault="006E3F07" w:rsidP="000A4F40">
            <w:pPr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  <w:p w:rsidR="006E3F07" w:rsidRPr="006E3F07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b/>
                <w:bCs/>
                <w:i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b/>
                <w:bCs/>
                <w:i/>
                <w:sz w:val="16"/>
                <w:szCs w:val="16"/>
                <w:lang w:val="bg-BG"/>
              </w:rPr>
              <w:t>Общ доход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C31881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4953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C31881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EF2CBB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6592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EF2CBB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b/>
                <w:bCs/>
                <w:i/>
                <w:sz w:val="16"/>
                <w:szCs w:val="16"/>
              </w:rPr>
              <w:t>10846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EF2CBB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12857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EF2CBB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Брутен общ доход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4788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96.7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6325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96.0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10499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96.8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12488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97.1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Работна заплата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2726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55.0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3731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56.6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5941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54.8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7071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55.0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Извън работната заплата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158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3.2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171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1.3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От самостоятелна заетост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358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7.2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421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6.4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621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5.7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923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7.2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От собственост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0.5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43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0.3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Пенсии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1286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26.0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1801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27.3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3451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31.8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3863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30.0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Обезщетения за безработни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0.4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41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0.3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Семейни добавки за деца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46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0.9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82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111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0.9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Други обезщетения и помощи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105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2.1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129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320059">
            <w:pPr>
              <w:ind w:left="349" w:hanging="349"/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   Регулярни трансфери от други </w:t>
            </w:r>
            <w:r w:rsidR="00320059"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>домакинства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60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1.2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1.2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144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1.1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Приходи от продажби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30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0.6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27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80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0.6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sz w:val="16"/>
                <w:szCs w:val="16"/>
                <w:lang w:val="bg-BG"/>
              </w:rPr>
              <w:t xml:space="preserve">   Други приходи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135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C31881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C31881">
              <w:rPr>
                <w:rFonts w:ascii="Verdana" w:hAnsi="Verdana" w:cs="Tahoma"/>
                <w:sz w:val="16"/>
                <w:szCs w:val="16"/>
              </w:rPr>
              <w:t>2.7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239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3.6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299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2.8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290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EF2CBB">
              <w:rPr>
                <w:rFonts w:ascii="Verdana" w:hAnsi="Verdana" w:cs="Tahoma"/>
                <w:sz w:val="16"/>
                <w:szCs w:val="16"/>
              </w:rPr>
              <w:t>2.3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i/>
                <w:sz w:val="16"/>
                <w:szCs w:val="16"/>
                <w:lang w:val="bg-BG"/>
              </w:rPr>
              <w:t>Изтеглени спестявания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147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238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EF2CBB">
              <w:rPr>
                <w:rFonts w:ascii="Verdana" w:hAnsi="Verdana"/>
                <w:i/>
                <w:sz w:val="16"/>
                <w:szCs w:val="16"/>
              </w:rPr>
              <w:t>423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437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</w:tr>
      <w:tr w:rsidR="00EF2CBB" w:rsidRPr="006E3F07" w:rsidTr="008318E2">
        <w:trPr>
          <w:trHeight w:val="254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6E3F07" w:rsidRDefault="00EF2CBB" w:rsidP="00EF2CBB">
            <w:pPr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6E3F07">
              <w:rPr>
                <w:rFonts w:ascii="Verdana" w:hAnsi="Verdana"/>
                <w:i/>
                <w:sz w:val="16"/>
                <w:szCs w:val="16"/>
                <w:lang w:val="bg-BG"/>
              </w:rPr>
              <w:t>Заеми и кредити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47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83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EF2CBB">
              <w:rPr>
                <w:rFonts w:ascii="Verdana" w:hAnsi="Verdana"/>
                <w:i/>
                <w:sz w:val="16"/>
                <w:szCs w:val="16"/>
              </w:rPr>
              <w:t>56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EF2CBB">
              <w:rPr>
                <w:rFonts w:ascii="Verdana" w:hAnsi="Verdana" w:cs="Tahoma"/>
                <w:i/>
                <w:sz w:val="16"/>
                <w:szCs w:val="16"/>
              </w:rPr>
              <w:t>125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2CBB" w:rsidRPr="00EF2CBB" w:rsidRDefault="00EF2CBB" w:rsidP="00EF2CBB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</w:pPr>
            <w:r w:rsidRPr="00EF2CBB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bg-BG"/>
              </w:rPr>
              <w:t>х</w:t>
            </w:r>
          </w:p>
        </w:tc>
      </w:tr>
    </w:tbl>
    <w:p w:rsidR="006E3F07" w:rsidRPr="00A85203" w:rsidRDefault="006E3F07" w:rsidP="00635448">
      <w:pPr>
        <w:autoSpaceDE w:val="0"/>
        <w:autoSpaceDN w:val="0"/>
        <w:spacing w:before="160"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A85203">
        <w:rPr>
          <w:rFonts w:ascii="Verdana" w:eastAsia="Times New Roman" w:hAnsi="Verdana"/>
          <w:bCs/>
          <w:sz w:val="20"/>
          <w:lang w:val="bg-BG" w:eastAsia="en-US"/>
        </w:rPr>
        <w:t>Реалните доходи</w:t>
      </w:r>
      <w:r w:rsidRPr="00A85203">
        <w:rPr>
          <w:rFonts w:ascii="Verdana" w:eastAsia="Times New Roman" w:hAnsi="Verdana"/>
          <w:bCs/>
          <w:sz w:val="20"/>
          <w:vertAlign w:val="superscript"/>
          <w:lang w:val="bg-BG" w:eastAsia="en-US"/>
        </w:rPr>
        <w:footnoteReference w:id="1"/>
      </w:r>
      <w:r w:rsidRPr="00A85203">
        <w:rPr>
          <w:rFonts w:ascii="Verdana" w:eastAsia="Times New Roman" w:hAnsi="Verdana"/>
          <w:bCs/>
          <w:sz w:val="20"/>
          <w:lang w:val="bg-BG" w:eastAsia="en-US"/>
        </w:rPr>
        <w:t xml:space="preserve"> на домакинствата нарастват с </w:t>
      </w:r>
      <w:r w:rsidR="00A85203" w:rsidRPr="00A85203">
        <w:rPr>
          <w:rFonts w:ascii="Verdana" w:eastAsia="Times New Roman" w:hAnsi="Verdana"/>
          <w:bCs/>
          <w:sz w:val="20"/>
          <w:lang w:val="en-US" w:eastAsia="en-US"/>
        </w:rPr>
        <w:t>15.7</w:t>
      </w:r>
      <w:r w:rsidRPr="00A85203">
        <w:rPr>
          <w:rFonts w:ascii="Verdana" w:eastAsia="Times New Roman" w:hAnsi="Verdana"/>
          <w:bCs/>
          <w:sz w:val="20"/>
          <w:lang w:val="bg-BG" w:eastAsia="en-US"/>
        </w:rPr>
        <w:t>% през 20</w:t>
      </w:r>
      <w:r w:rsidRPr="00A85203">
        <w:rPr>
          <w:rFonts w:ascii="Verdana" w:eastAsia="Times New Roman" w:hAnsi="Verdana"/>
          <w:bCs/>
          <w:sz w:val="20"/>
          <w:lang w:val="en-US" w:eastAsia="en-US"/>
        </w:rPr>
        <w:t>2</w:t>
      </w:r>
      <w:r w:rsidR="00A85203" w:rsidRPr="00A85203">
        <w:rPr>
          <w:rFonts w:ascii="Verdana" w:eastAsia="Times New Roman" w:hAnsi="Verdana"/>
          <w:bCs/>
          <w:sz w:val="20"/>
          <w:lang w:val="en-US" w:eastAsia="en-US"/>
        </w:rPr>
        <w:t>4</w:t>
      </w:r>
      <w:r w:rsidRPr="00A85203">
        <w:rPr>
          <w:rFonts w:ascii="Verdana" w:eastAsia="Times New Roman" w:hAnsi="Verdana"/>
          <w:bCs/>
          <w:sz w:val="20"/>
          <w:lang w:val="bg-BG" w:eastAsia="en-US"/>
        </w:rPr>
        <w:t xml:space="preserve"> г. в сравнение с 20</w:t>
      </w:r>
      <w:r w:rsidRPr="00A85203">
        <w:rPr>
          <w:rFonts w:ascii="Verdana" w:eastAsia="Times New Roman" w:hAnsi="Verdana"/>
          <w:bCs/>
          <w:sz w:val="20"/>
          <w:lang w:val="en-US" w:eastAsia="en-US"/>
        </w:rPr>
        <w:t>2</w:t>
      </w:r>
      <w:r w:rsidR="00A85203" w:rsidRPr="00A85203">
        <w:rPr>
          <w:rFonts w:ascii="Verdana" w:eastAsia="Times New Roman" w:hAnsi="Verdana"/>
          <w:bCs/>
          <w:sz w:val="20"/>
          <w:lang w:val="en-US" w:eastAsia="en-US"/>
        </w:rPr>
        <w:t>3</w:t>
      </w:r>
      <w:r w:rsidRPr="00A85203">
        <w:rPr>
          <w:rFonts w:ascii="Verdana" w:eastAsia="Times New Roman" w:hAnsi="Verdana"/>
          <w:bCs/>
          <w:sz w:val="20"/>
          <w:lang w:val="bg-BG" w:eastAsia="en-US"/>
        </w:rPr>
        <w:t xml:space="preserve"> г., а </w:t>
      </w:r>
      <w:r w:rsidRPr="00A85203">
        <w:rPr>
          <w:rFonts w:ascii="Verdana" w:eastAsia="Times New Roman" w:hAnsi="Verdana"/>
          <w:sz w:val="20"/>
          <w:lang w:val="bg-BG" w:eastAsia="en-US"/>
        </w:rPr>
        <w:t>индексът на реалните доходи през 20</w:t>
      </w:r>
      <w:r w:rsidRPr="00A85203">
        <w:rPr>
          <w:rFonts w:ascii="Verdana" w:eastAsia="Times New Roman" w:hAnsi="Verdana"/>
          <w:sz w:val="20"/>
          <w:lang w:val="en-US" w:eastAsia="en-US"/>
        </w:rPr>
        <w:t>2</w:t>
      </w:r>
      <w:r w:rsidR="00A85203" w:rsidRPr="00A85203">
        <w:rPr>
          <w:rFonts w:ascii="Verdana" w:eastAsia="Times New Roman" w:hAnsi="Verdana"/>
          <w:sz w:val="20"/>
          <w:lang w:val="en-US" w:eastAsia="en-US"/>
        </w:rPr>
        <w:t>4</w:t>
      </w:r>
      <w:r w:rsidRPr="00A85203">
        <w:rPr>
          <w:rFonts w:ascii="Verdana" w:eastAsia="Times New Roman" w:hAnsi="Verdana"/>
          <w:sz w:val="20"/>
          <w:lang w:val="bg-BG" w:eastAsia="en-US"/>
        </w:rPr>
        <w:t xml:space="preserve"> г. спрямо 20</w:t>
      </w:r>
      <w:r w:rsidRPr="00A85203">
        <w:rPr>
          <w:rFonts w:ascii="Verdana" w:eastAsia="Times New Roman" w:hAnsi="Verdana"/>
          <w:sz w:val="20"/>
          <w:lang w:val="en-US" w:eastAsia="en-US"/>
        </w:rPr>
        <w:t>1</w:t>
      </w:r>
      <w:r w:rsidR="00A85203" w:rsidRPr="00A85203">
        <w:rPr>
          <w:rFonts w:ascii="Verdana" w:eastAsia="Times New Roman" w:hAnsi="Verdana"/>
          <w:sz w:val="20"/>
          <w:lang w:val="en-US" w:eastAsia="en-US"/>
        </w:rPr>
        <w:t>5</w:t>
      </w:r>
      <w:r w:rsidRPr="00A85203">
        <w:rPr>
          <w:rFonts w:ascii="Verdana" w:eastAsia="Times New Roman" w:hAnsi="Verdana"/>
          <w:sz w:val="20"/>
          <w:lang w:val="bg-BG" w:eastAsia="en-US"/>
        </w:rPr>
        <w:t xml:space="preserve"> г. е </w:t>
      </w:r>
      <w:r w:rsidR="00A85203" w:rsidRPr="00A85203">
        <w:rPr>
          <w:rFonts w:ascii="Verdana" w:eastAsia="Times New Roman" w:hAnsi="Verdana"/>
          <w:sz w:val="20"/>
          <w:lang w:val="en-US" w:eastAsia="en-US"/>
        </w:rPr>
        <w:t>178</w:t>
      </w:r>
      <w:r w:rsidRPr="00A85203">
        <w:rPr>
          <w:rFonts w:ascii="Verdana" w:eastAsia="Times New Roman" w:hAnsi="Verdana"/>
          <w:sz w:val="20"/>
          <w:lang w:val="en-US" w:eastAsia="en-US"/>
        </w:rPr>
        <w:t>.</w:t>
      </w:r>
      <w:r w:rsidR="00A85203" w:rsidRPr="00A85203">
        <w:rPr>
          <w:rFonts w:ascii="Verdana" w:eastAsia="Times New Roman" w:hAnsi="Verdana"/>
          <w:sz w:val="20"/>
          <w:lang w:val="en-US" w:eastAsia="en-US"/>
        </w:rPr>
        <w:t>1</w:t>
      </w:r>
      <w:r w:rsidRPr="00A85203">
        <w:rPr>
          <w:rFonts w:ascii="Verdana" w:eastAsia="Times New Roman" w:hAnsi="Verdana"/>
          <w:sz w:val="20"/>
          <w:lang w:val="bg-BG" w:eastAsia="en-US"/>
        </w:rPr>
        <w:t xml:space="preserve">%. </w:t>
      </w:r>
    </w:p>
    <w:p w:rsidR="006E3F07" w:rsidRPr="006E3F07" w:rsidRDefault="00086522" w:rsidP="008146D2">
      <w:pPr>
        <w:autoSpaceDE w:val="0"/>
        <w:autoSpaceDN w:val="0"/>
        <w:spacing w:before="160" w:after="160" w:line="360" w:lineRule="auto"/>
        <w:ind w:firstLine="567"/>
        <w:jc w:val="center"/>
        <w:rPr>
          <w:rFonts w:ascii="Verdana" w:eastAsia="Times New Roman" w:hAnsi="Verdana"/>
          <w:b/>
          <w:bCs/>
          <w:sz w:val="20"/>
          <w:lang w:val="bg-BG" w:eastAsia="en-US"/>
        </w:rPr>
      </w:pPr>
      <w:r>
        <w:rPr>
          <w:rFonts w:ascii="Verdana" w:eastAsia="Times New Roman" w:hAnsi="Verdana"/>
          <w:b/>
          <w:bCs/>
          <w:sz w:val="20"/>
          <w:lang w:val="ru-RU" w:eastAsia="en-US"/>
        </w:rPr>
        <w:t xml:space="preserve">Таблица </w:t>
      </w:r>
      <w:r w:rsidR="006E3F07" w:rsidRPr="006E3F07">
        <w:rPr>
          <w:rFonts w:ascii="Verdana" w:eastAsia="Times New Roman" w:hAnsi="Verdana"/>
          <w:b/>
          <w:bCs/>
          <w:sz w:val="20"/>
          <w:lang w:val="ru-RU" w:eastAsia="en-US"/>
        </w:rPr>
        <w:t xml:space="preserve">2. </w:t>
      </w:r>
      <w:r w:rsidR="006E3F07" w:rsidRPr="006E3F07">
        <w:rPr>
          <w:rFonts w:ascii="Verdana" w:eastAsia="Times New Roman" w:hAnsi="Verdana"/>
          <w:b/>
          <w:bCs/>
          <w:sz w:val="20"/>
          <w:lang w:val="bg-BG" w:eastAsia="en-US"/>
        </w:rPr>
        <w:t>Индекси на реалнит</w:t>
      </w:r>
      <w:r w:rsidR="006E3F07">
        <w:rPr>
          <w:rFonts w:ascii="Verdana" w:eastAsia="Times New Roman" w:hAnsi="Verdana"/>
          <w:b/>
          <w:bCs/>
          <w:sz w:val="20"/>
          <w:lang w:val="bg-BG" w:eastAsia="en-US"/>
        </w:rPr>
        <w:t>е доходи на лице от домакинство</w:t>
      </w:r>
    </w:p>
    <w:tbl>
      <w:tblPr>
        <w:tblW w:w="9072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50"/>
        <w:gridCol w:w="851"/>
        <w:gridCol w:w="850"/>
        <w:gridCol w:w="709"/>
        <w:gridCol w:w="851"/>
        <w:gridCol w:w="708"/>
        <w:gridCol w:w="709"/>
        <w:gridCol w:w="851"/>
        <w:gridCol w:w="850"/>
      </w:tblGrid>
      <w:tr w:rsidR="006E3F07" w:rsidRPr="006E3F07" w:rsidTr="00792E32">
        <w:trPr>
          <w:trHeight w:val="2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F07" w:rsidRPr="006E3F07" w:rsidRDefault="006E3F07" w:rsidP="000A4F40">
            <w:pPr>
              <w:rPr>
                <w:rFonts w:ascii="Verdana" w:eastAsia="Times New Roman" w:hAnsi="Verdana"/>
                <w:b/>
                <w:sz w:val="16"/>
                <w:szCs w:val="16"/>
                <w:lang w:val="bg-BG" w:eastAsia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 w:eastAsia="en-US"/>
              </w:rPr>
              <w:t>Години</w:t>
            </w:r>
          </w:p>
          <w:p w:rsidR="006E3F07" w:rsidRPr="006E3F07" w:rsidRDefault="006E3F07" w:rsidP="000A4F40">
            <w:pPr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3F07" w:rsidRPr="006E3F07" w:rsidRDefault="006E3F07" w:rsidP="000A4F40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bCs/>
                <w:sz w:val="16"/>
                <w:szCs w:val="16"/>
                <w:lang w:val="en-US" w:eastAsia="en-US"/>
              </w:rPr>
              <w:t xml:space="preserve">                        </w:t>
            </w:r>
            <w:r w:rsidRPr="006E3F07">
              <w:rPr>
                <w:rFonts w:ascii="Verdana" w:eastAsia="Times New Roman" w:hAnsi="Verdana"/>
                <w:b/>
                <w:bCs/>
                <w:sz w:val="16"/>
                <w:szCs w:val="16"/>
                <w:lang w:val="bg-BG" w:eastAsia="en-US"/>
              </w:rPr>
              <w:t>Години, приети за база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F07" w:rsidRPr="006E3F07" w:rsidRDefault="006E3F07" w:rsidP="000A4F40">
            <w:pPr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</w:p>
        </w:tc>
      </w:tr>
      <w:tr w:rsidR="00314EFC" w:rsidRPr="006E3F07" w:rsidTr="00792E32">
        <w:trPr>
          <w:trHeight w:val="2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202</w:t>
            </w: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202</w:t>
            </w:r>
            <w:r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4</w:t>
            </w: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autoSpaceDE w:val="0"/>
              <w:autoSpaceDN w:val="0"/>
              <w:jc w:val="right"/>
              <w:rPr>
                <w:rFonts w:ascii="Verdana" w:eastAsia="Times New Roman" w:hAnsi="Verdana"/>
                <w:sz w:val="16"/>
                <w:szCs w:val="16"/>
                <w:lang w:val="en-US" w:eastAsia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autoSpaceDE w:val="0"/>
              <w:autoSpaceDN w:val="0"/>
              <w:jc w:val="right"/>
              <w:rPr>
                <w:rFonts w:ascii="Verdana" w:eastAsia="Times New Roman" w:hAnsi="Verdana"/>
                <w:sz w:val="16"/>
                <w:szCs w:val="16"/>
                <w:lang w:val="en-US" w:eastAsia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autoSpaceDE w:val="0"/>
              <w:autoSpaceDN w:val="0"/>
              <w:jc w:val="right"/>
              <w:rPr>
                <w:rFonts w:ascii="Verdana" w:eastAsia="Times New Roman" w:hAnsi="Verdana"/>
                <w:sz w:val="16"/>
                <w:szCs w:val="16"/>
                <w:lang w:val="en-US" w:eastAsia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105.2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autoSpaceDE w:val="0"/>
              <w:autoSpaceDN w:val="0"/>
              <w:jc w:val="right"/>
              <w:rPr>
                <w:rFonts w:ascii="Verdana" w:eastAsia="Times New Roman" w:hAnsi="Verdana"/>
                <w:sz w:val="16"/>
                <w:szCs w:val="16"/>
                <w:lang w:val="en-US" w:eastAsia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105.9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124.0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106.3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111.1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104.4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138.0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118.3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106.5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133.0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112.8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108.0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101.4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314EFC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bg-BG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146.3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131.9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124.1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118.8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111.5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6E3F07">
              <w:rPr>
                <w:rFonts w:ascii="Verdana" w:hAnsi="Verdana"/>
                <w:sz w:val="16"/>
                <w:szCs w:val="16"/>
              </w:rPr>
              <w:t>110.0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100.0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4EFC" w:rsidRPr="006E3F07" w:rsidRDefault="00314EFC" w:rsidP="00314EFC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</w:p>
        </w:tc>
      </w:tr>
      <w:tr w:rsidR="00A85203" w:rsidRPr="006E3F07" w:rsidTr="00CA2348">
        <w:trPr>
          <w:trHeight w:val="2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6E3F07" w:rsidRDefault="00A85203" w:rsidP="00A85203">
            <w:pPr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A85203">
              <w:rPr>
                <w:rFonts w:ascii="Verdana" w:eastAsia="Times New Roman" w:hAnsi="Verdana"/>
                <w:sz w:val="16"/>
                <w:szCs w:val="16"/>
                <w:lang w:val="bg-BG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169.4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152.7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143.6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137.5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129.0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127.3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03" w:rsidRPr="00A73B4F" w:rsidRDefault="00A85203" w:rsidP="00A85203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A73B4F">
              <w:rPr>
                <w:rFonts w:ascii="Verdana" w:hAnsi="Verdana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03" w:rsidRPr="006E3F07" w:rsidRDefault="00A85203" w:rsidP="00A85203">
            <w:pPr>
              <w:jc w:val="right"/>
              <w:rPr>
                <w:rFonts w:ascii="Verdana" w:eastAsia="Times New Roman" w:hAnsi="Verdana"/>
                <w:sz w:val="16"/>
                <w:szCs w:val="16"/>
                <w:lang w:val="en-US"/>
              </w:rPr>
            </w:pPr>
            <w:r w:rsidRPr="006E3F07">
              <w:rPr>
                <w:rFonts w:ascii="Verdana" w:eastAsia="Times New Roman" w:hAnsi="Verdana"/>
                <w:sz w:val="16"/>
                <w:szCs w:val="16"/>
                <w:lang w:val="en-US"/>
              </w:rPr>
              <w:t>100.0</w:t>
            </w:r>
          </w:p>
        </w:tc>
      </w:tr>
    </w:tbl>
    <w:p w:rsidR="006E3F07" w:rsidRPr="006E3F07" w:rsidRDefault="006E3F07" w:rsidP="006F661A">
      <w:pPr>
        <w:autoSpaceDE w:val="0"/>
        <w:autoSpaceDN w:val="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ru-RU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lastRenderedPageBreak/>
        <w:t>През периода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314EFC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- 20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314EFC">
        <w:rPr>
          <w:rFonts w:ascii="Verdana" w:eastAsia="Times New Roman" w:hAnsi="Verdana"/>
          <w:sz w:val="20"/>
          <w:lang w:val="bg-BG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са регистрирани следните по-важни изменения по отношение на източниците на общия доход </w:t>
      </w:r>
      <w:r w:rsidRPr="006E3F07">
        <w:rPr>
          <w:rFonts w:ascii="Verdana" w:eastAsia="Times New Roman" w:hAnsi="Verdana"/>
          <w:i/>
          <w:sz w:val="20"/>
          <w:lang w:val="bg-BG" w:eastAsia="en-US"/>
        </w:rPr>
        <w:t>средно на лице от домакинство</w:t>
      </w:r>
      <w:r w:rsidRPr="006E3F07">
        <w:rPr>
          <w:rFonts w:ascii="Verdana" w:eastAsia="Times New Roman" w:hAnsi="Verdana"/>
          <w:sz w:val="20"/>
          <w:lang w:val="bg-BG" w:eastAsia="en-US"/>
        </w:rPr>
        <w:t>:</w:t>
      </w:r>
    </w:p>
    <w:p w:rsidR="006E3F07" w:rsidRPr="006E3F07" w:rsidRDefault="006E3F07" w:rsidP="00F85ECA">
      <w:pPr>
        <w:tabs>
          <w:tab w:val="left" w:pos="993"/>
        </w:tabs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sym w:font="Symbol" w:char="F0B7"/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221A1F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>Доходът от работна заплата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0A4F40">
        <w:rPr>
          <w:rFonts w:ascii="Verdana" w:eastAsia="Times New Roman" w:hAnsi="Verdana"/>
          <w:sz w:val="20"/>
          <w:lang w:val="en-US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е </w:t>
      </w:r>
      <w:r w:rsidR="000A4F40">
        <w:rPr>
          <w:rFonts w:ascii="Verdana" w:eastAsia="Times New Roman" w:hAnsi="Verdana"/>
          <w:sz w:val="20"/>
          <w:lang w:val="en-US" w:eastAsia="en-US"/>
        </w:rPr>
        <w:t>7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0A4F40">
        <w:rPr>
          <w:rFonts w:ascii="Verdana" w:eastAsia="Times New Roman" w:hAnsi="Verdana"/>
          <w:sz w:val="20"/>
          <w:lang w:val="en-US" w:eastAsia="en-US"/>
        </w:rPr>
        <w:t>071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лв. и се увеличава с </w:t>
      </w:r>
      <w:r w:rsidR="00744FF7">
        <w:rPr>
          <w:rFonts w:ascii="Verdana" w:eastAsia="Times New Roman" w:hAnsi="Verdana"/>
          <w:sz w:val="20"/>
          <w:lang w:val="en-US" w:eastAsia="en-US"/>
        </w:rPr>
        <w:t>19</w:t>
      </w:r>
      <w:r w:rsidRPr="006E3F07">
        <w:rPr>
          <w:rFonts w:ascii="Verdana" w:eastAsia="Times New Roman" w:hAnsi="Verdana"/>
          <w:sz w:val="20"/>
          <w:lang w:val="en-US" w:eastAsia="en-US"/>
        </w:rPr>
        <w:t>.</w:t>
      </w:r>
      <w:r w:rsidR="00744FF7">
        <w:rPr>
          <w:rFonts w:ascii="Verdana" w:eastAsia="Times New Roman" w:hAnsi="Verdana"/>
          <w:sz w:val="20"/>
          <w:lang w:val="en-US" w:eastAsia="en-US"/>
        </w:rPr>
        <w:t>0</w:t>
      </w:r>
      <w:r w:rsidRPr="006E3F07">
        <w:rPr>
          <w:rFonts w:ascii="Verdana" w:eastAsia="Times New Roman" w:hAnsi="Verdana"/>
          <w:sz w:val="20"/>
          <w:lang w:val="bg-BG" w:eastAsia="en-US"/>
        </w:rPr>
        <w:t>%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44FF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г., а нарастването му в сравнение с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е </w:t>
      </w:r>
      <w:r w:rsidRPr="006E3F07">
        <w:rPr>
          <w:rFonts w:ascii="Verdana" w:eastAsia="Times New Roman" w:hAnsi="Verdana"/>
          <w:sz w:val="20"/>
          <w:lang w:val="en-US" w:eastAsia="en-US"/>
        </w:rPr>
        <w:t>2.</w:t>
      </w:r>
      <w:r w:rsidR="00744FF7">
        <w:rPr>
          <w:rFonts w:ascii="Verdana" w:eastAsia="Times New Roman" w:hAnsi="Verdana"/>
          <w:sz w:val="20"/>
          <w:lang w:val="en-US" w:eastAsia="en-US"/>
        </w:rPr>
        <w:t>6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пъти;</w:t>
      </w:r>
    </w:p>
    <w:p w:rsidR="006E3F07" w:rsidRPr="006E3F07" w:rsidRDefault="006E3F07" w:rsidP="00F85ECA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line="360" w:lineRule="auto"/>
        <w:ind w:left="0" w:firstLine="567"/>
        <w:jc w:val="both"/>
        <w:rPr>
          <w:rFonts w:ascii="Verdana" w:eastAsia="Times New Roman" w:hAnsi="Verdana"/>
          <w:sz w:val="20"/>
          <w:lang w:val="ru-RU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 xml:space="preserve">Доходите от пенсии за последната година са </w:t>
      </w:r>
      <w:r w:rsidRPr="006E3F0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> </w:t>
      </w:r>
      <w:r w:rsidR="00744FF7">
        <w:rPr>
          <w:rFonts w:ascii="Verdana" w:eastAsia="Times New Roman" w:hAnsi="Verdana"/>
          <w:sz w:val="20"/>
          <w:lang w:val="en-US" w:eastAsia="en-US"/>
        </w:rPr>
        <w:t>863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лева. Те нарастват с 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1</w:t>
      </w:r>
      <w:r w:rsidRPr="006E3F07">
        <w:rPr>
          <w:rFonts w:ascii="Verdana" w:eastAsia="Times New Roman" w:hAnsi="Verdana"/>
          <w:sz w:val="20"/>
          <w:lang w:val="en-US" w:eastAsia="en-US"/>
        </w:rPr>
        <w:t>.</w:t>
      </w:r>
      <w:r w:rsidR="00744FF7">
        <w:rPr>
          <w:rFonts w:ascii="Verdana" w:eastAsia="Times New Roman" w:hAnsi="Verdana"/>
          <w:sz w:val="20"/>
          <w:lang w:val="en-US" w:eastAsia="en-US"/>
        </w:rPr>
        <w:t>9</w:t>
      </w:r>
      <w:r w:rsidRPr="006E3F07">
        <w:rPr>
          <w:rFonts w:ascii="Verdana" w:eastAsia="Times New Roman" w:hAnsi="Verdana"/>
          <w:sz w:val="20"/>
          <w:lang w:val="bg-BG" w:eastAsia="en-US"/>
        </w:rPr>
        <w:t>%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44FF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и </w:t>
      </w:r>
      <w:r w:rsidR="00744FF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пъти в сравнение с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година;</w:t>
      </w:r>
    </w:p>
    <w:p w:rsidR="006E3F07" w:rsidRPr="006E3F07" w:rsidRDefault="006E3F07" w:rsidP="00F85ECA">
      <w:pPr>
        <w:numPr>
          <w:ilvl w:val="0"/>
          <w:numId w:val="11"/>
        </w:numPr>
        <w:tabs>
          <w:tab w:val="left" w:pos="0"/>
          <w:tab w:val="left" w:pos="851"/>
        </w:tabs>
        <w:autoSpaceDE w:val="0"/>
        <w:autoSpaceDN w:val="0"/>
        <w:spacing w:line="360" w:lineRule="auto"/>
        <w:ind w:left="0" w:firstLine="567"/>
        <w:jc w:val="both"/>
        <w:rPr>
          <w:rFonts w:ascii="Verdana" w:eastAsia="Times New Roman" w:hAnsi="Verdana"/>
          <w:sz w:val="20"/>
          <w:lang w:val="ru-RU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Доходите от самостоятелна заетост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44FF7">
        <w:rPr>
          <w:rFonts w:ascii="Verdana" w:eastAsia="Times New Roman" w:hAnsi="Verdana"/>
          <w:sz w:val="20"/>
          <w:lang w:val="en-US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са </w:t>
      </w:r>
      <w:r w:rsidR="00744FF7">
        <w:rPr>
          <w:rFonts w:ascii="Verdana" w:eastAsia="Times New Roman" w:hAnsi="Verdana"/>
          <w:sz w:val="20"/>
          <w:lang w:val="en-US" w:eastAsia="en-US"/>
        </w:rPr>
        <w:t>923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лева.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44FF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</w:t>
      </w:r>
      <w:r w:rsidRPr="006E3F07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нарастват с </w:t>
      </w:r>
      <w:r w:rsidRPr="006E3F07">
        <w:rPr>
          <w:rFonts w:ascii="Verdana" w:eastAsia="Times New Roman" w:hAnsi="Verdana"/>
          <w:sz w:val="20"/>
          <w:lang w:val="en-US" w:eastAsia="en-US"/>
        </w:rPr>
        <w:t>4</w:t>
      </w:r>
      <w:r w:rsidR="00744FF7">
        <w:rPr>
          <w:rFonts w:ascii="Verdana" w:eastAsia="Times New Roman" w:hAnsi="Verdana"/>
          <w:sz w:val="20"/>
          <w:lang w:val="en-US" w:eastAsia="en-US"/>
        </w:rPr>
        <w:t>8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="00744FF7">
        <w:rPr>
          <w:rFonts w:ascii="Verdana" w:eastAsia="Times New Roman" w:hAnsi="Verdana"/>
          <w:sz w:val="20"/>
          <w:lang w:val="en-US" w:eastAsia="en-US"/>
        </w:rPr>
        <w:t>6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% и </w:t>
      </w:r>
      <w:r w:rsidR="00744FF7">
        <w:rPr>
          <w:rFonts w:ascii="Verdana" w:eastAsia="Times New Roman" w:hAnsi="Verdana"/>
          <w:sz w:val="20"/>
          <w:lang w:val="en-US" w:eastAsia="en-US"/>
        </w:rPr>
        <w:t>2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="00744FF7">
        <w:rPr>
          <w:rFonts w:ascii="Verdana" w:eastAsia="Times New Roman" w:hAnsi="Verdana"/>
          <w:sz w:val="20"/>
          <w:lang w:val="en-US" w:eastAsia="en-US"/>
        </w:rPr>
        <w:t>6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пъти в сравнение с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>година;</w:t>
      </w:r>
    </w:p>
    <w:p w:rsidR="006E3F07" w:rsidRPr="006E3F07" w:rsidRDefault="006E3F07" w:rsidP="00F85ECA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line="360" w:lineRule="auto"/>
        <w:ind w:left="0" w:firstLine="567"/>
        <w:jc w:val="both"/>
        <w:rPr>
          <w:rFonts w:ascii="Verdana" w:eastAsia="Times New Roman" w:hAnsi="Verdana"/>
          <w:sz w:val="20"/>
          <w:lang w:val="ru-RU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 xml:space="preserve">Доходът от трудова дейност извън работната заплата за последната година е 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7</w:t>
      </w:r>
      <w:r w:rsidRPr="006E3F07">
        <w:rPr>
          <w:rFonts w:ascii="Verdana" w:eastAsia="Times New Roman" w:hAnsi="Verdana"/>
          <w:sz w:val="20"/>
          <w:lang w:val="bg-BG" w:eastAsia="en-US"/>
        </w:rPr>
        <w:t>1 лв. и се увеличава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44FF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 </w:t>
      </w:r>
      <w:r w:rsidR="00744FF7">
        <w:rPr>
          <w:rFonts w:ascii="Verdana" w:eastAsia="Times New Roman" w:hAnsi="Verdana"/>
          <w:sz w:val="20"/>
          <w:lang w:val="en-US" w:eastAsia="en-US"/>
        </w:rPr>
        <w:t>69</w:t>
      </w:r>
      <w:r w:rsidRPr="006E3F07">
        <w:rPr>
          <w:rFonts w:ascii="Verdana" w:eastAsia="Times New Roman" w:hAnsi="Verdana"/>
          <w:sz w:val="20"/>
          <w:lang w:val="en-US" w:eastAsia="en-US"/>
        </w:rPr>
        <w:t>.3</w:t>
      </w:r>
      <w:r w:rsidRPr="006E3F07">
        <w:rPr>
          <w:rFonts w:ascii="Verdana" w:eastAsia="Times New Roman" w:hAnsi="Verdana"/>
          <w:sz w:val="20"/>
          <w:lang w:val="bg-BG" w:eastAsia="en-US"/>
        </w:rPr>
        <w:t>%, а в сравнение с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44FF7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на</w:t>
      </w:r>
      <w:r w:rsidR="00744FF7">
        <w:rPr>
          <w:rFonts w:ascii="Verdana" w:eastAsia="Times New Roman" w:hAnsi="Verdana"/>
          <w:sz w:val="20"/>
          <w:lang w:val="bg-BG" w:eastAsia="en-US"/>
        </w:rPr>
        <w:t>раства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с </w:t>
      </w:r>
      <w:r w:rsidR="00744FF7">
        <w:rPr>
          <w:rFonts w:ascii="Verdana" w:eastAsia="Times New Roman" w:hAnsi="Verdana"/>
          <w:sz w:val="20"/>
          <w:lang w:val="bg-BG" w:eastAsia="en-US"/>
        </w:rPr>
        <w:t>8</w:t>
      </w:r>
      <w:r w:rsidRPr="006E3F07">
        <w:rPr>
          <w:rFonts w:ascii="Verdana" w:eastAsia="Times New Roman" w:hAnsi="Verdana"/>
          <w:sz w:val="20"/>
          <w:lang w:val="en-US" w:eastAsia="en-US"/>
        </w:rPr>
        <w:t>.2</w:t>
      </w:r>
      <w:r w:rsidRPr="006E3F07">
        <w:rPr>
          <w:rFonts w:ascii="Verdana" w:eastAsia="Times New Roman" w:hAnsi="Verdana"/>
          <w:sz w:val="20"/>
          <w:lang w:val="bg-BG" w:eastAsia="en-US"/>
        </w:rPr>
        <w:t>%;</w:t>
      </w:r>
    </w:p>
    <w:p w:rsidR="006E3F07" w:rsidRPr="006E3F07" w:rsidRDefault="006E3F07" w:rsidP="00F85ECA">
      <w:pPr>
        <w:numPr>
          <w:ilvl w:val="0"/>
          <w:numId w:val="11"/>
        </w:numPr>
        <w:tabs>
          <w:tab w:val="left" w:pos="851"/>
        </w:tabs>
        <w:autoSpaceDE w:val="0"/>
        <w:autoSpaceDN w:val="0"/>
        <w:spacing w:line="360" w:lineRule="auto"/>
        <w:ind w:left="0" w:firstLine="567"/>
        <w:jc w:val="both"/>
        <w:rPr>
          <w:rFonts w:ascii="Verdana" w:eastAsia="Times New Roman" w:hAnsi="Verdana"/>
          <w:sz w:val="20"/>
          <w:lang w:val="ru-RU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Доходите от другите социални трансфери (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>обезщетения за безработни, семейни добавки за деца и други социални помощи</w:t>
      </w:r>
      <w:r w:rsidRPr="006E3F07">
        <w:rPr>
          <w:rFonts w:ascii="Verdana" w:eastAsia="Calibri" w:hAnsi="Verdana" w:cs="TimesNewRoman"/>
          <w:color w:val="000000"/>
          <w:sz w:val="20"/>
          <w:lang w:val="ru-RU" w:eastAsia="en-US"/>
        </w:rPr>
        <w:t xml:space="preserve"> 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>и обезщетения) през 20</w:t>
      </w:r>
      <w:r w:rsidRPr="006E3F07">
        <w:rPr>
          <w:rFonts w:ascii="Verdana" w:eastAsia="Calibri" w:hAnsi="Verdana" w:cs="TimesNewRoman"/>
          <w:color w:val="000000"/>
          <w:sz w:val="20"/>
          <w:lang w:val="en-US" w:eastAsia="en-US"/>
        </w:rPr>
        <w:t>2</w:t>
      </w:r>
      <w:r w:rsidR="00995EE9">
        <w:rPr>
          <w:rFonts w:ascii="Verdana" w:eastAsia="Calibri" w:hAnsi="Verdana" w:cs="TimesNewRoman"/>
          <w:color w:val="000000"/>
          <w:sz w:val="20"/>
          <w:lang w:val="bg-BG" w:eastAsia="en-US"/>
        </w:rPr>
        <w:t>4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 г. са </w:t>
      </w:r>
      <w:r w:rsidRPr="006E3F07">
        <w:rPr>
          <w:rFonts w:ascii="Verdana" w:eastAsia="Calibri" w:hAnsi="Verdana" w:cs="TimesNewRoman"/>
          <w:color w:val="000000"/>
          <w:sz w:val="20"/>
          <w:lang w:val="en-US" w:eastAsia="en-US"/>
        </w:rPr>
        <w:t>2</w:t>
      </w:r>
      <w:r w:rsidR="00995EE9">
        <w:rPr>
          <w:rFonts w:ascii="Verdana" w:eastAsia="Calibri" w:hAnsi="Verdana" w:cs="TimesNewRoman"/>
          <w:color w:val="000000"/>
          <w:sz w:val="20"/>
          <w:lang w:val="bg-BG" w:eastAsia="en-US"/>
        </w:rPr>
        <w:t>81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 лева. Те се увеличават с </w:t>
      </w:r>
      <w:r w:rsidR="00995EE9">
        <w:rPr>
          <w:rFonts w:ascii="Verdana" w:eastAsia="Calibri" w:hAnsi="Verdana" w:cs="TimesNewRoman"/>
          <w:color w:val="000000"/>
          <w:sz w:val="20"/>
          <w:lang w:val="bg-BG" w:eastAsia="en-US"/>
        </w:rPr>
        <w:t>26</w:t>
      </w:r>
      <w:r w:rsidRPr="006E3F07">
        <w:rPr>
          <w:rFonts w:ascii="Verdana" w:eastAsia="Calibri" w:hAnsi="Verdana" w:cs="TimesNewRoman"/>
          <w:color w:val="000000"/>
          <w:sz w:val="20"/>
          <w:lang w:val="ru-RU" w:eastAsia="en-US"/>
        </w:rPr>
        <w:t>.</w:t>
      </w:r>
      <w:r w:rsidR="00995EE9">
        <w:rPr>
          <w:rFonts w:ascii="Verdana" w:eastAsia="Calibri" w:hAnsi="Verdana" w:cs="TimesNewRoman"/>
          <w:color w:val="000000"/>
          <w:sz w:val="20"/>
          <w:lang w:val="ru-RU" w:eastAsia="en-US"/>
        </w:rPr>
        <w:t>6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>% спрямо 20</w:t>
      </w:r>
      <w:r w:rsidRPr="006E3F07">
        <w:rPr>
          <w:rFonts w:ascii="Verdana" w:eastAsia="Calibri" w:hAnsi="Verdana" w:cs="TimesNewRoman"/>
          <w:color w:val="000000"/>
          <w:sz w:val="20"/>
          <w:lang w:val="en-US" w:eastAsia="en-US"/>
        </w:rPr>
        <w:t>2</w:t>
      </w:r>
      <w:r w:rsidR="00995EE9">
        <w:rPr>
          <w:rFonts w:ascii="Verdana" w:eastAsia="Calibri" w:hAnsi="Verdana" w:cs="TimesNewRoman"/>
          <w:color w:val="000000"/>
          <w:sz w:val="20"/>
          <w:lang w:val="bg-BG" w:eastAsia="en-US"/>
        </w:rPr>
        <w:t>3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 г.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и с </w:t>
      </w:r>
      <w:r w:rsidR="00995EE9">
        <w:rPr>
          <w:rFonts w:ascii="Verdana" w:eastAsia="Times New Roman" w:hAnsi="Verdana"/>
          <w:sz w:val="20"/>
          <w:lang w:val="bg-BG" w:eastAsia="en-US"/>
        </w:rPr>
        <w:t>64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="00995EE9">
        <w:rPr>
          <w:rFonts w:ascii="Verdana" w:eastAsia="Times New Roman" w:hAnsi="Verdana"/>
          <w:sz w:val="20"/>
          <w:lang w:val="bg-BG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>%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995EE9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година.</w:t>
      </w:r>
    </w:p>
    <w:p w:rsidR="006E3F07" w:rsidRPr="00221A1F" w:rsidRDefault="006E3F07" w:rsidP="00F85ECA">
      <w:pPr>
        <w:tabs>
          <w:tab w:val="left" w:pos="1122"/>
        </w:tabs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en-US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В структурата на общия доход с най-висок относителен дял е работната заплата.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A648A0">
        <w:rPr>
          <w:rFonts w:ascii="Verdana" w:eastAsia="Times New Roman" w:hAnsi="Verdana"/>
          <w:sz w:val="20"/>
          <w:lang w:val="bg-BG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той е 5</w:t>
      </w:r>
      <w:r w:rsidR="00A217F9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="00A217F9">
        <w:rPr>
          <w:rFonts w:ascii="Verdana" w:eastAsia="Times New Roman" w:hAnsi="Verdana"/>
          <w:sz w:val="20"/>
          <w:lang w:val="bg-BG" w:eastAsia="en-US"/>
        </w:rPr>
        <w:t>0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%, 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което е с </w:t>
      </w:r>
      <w:r w:rsidRPr="006E3F07">
        <w:rPr>
          <w:rFonts w:ascii="Verdana" w:eastAsia="Calibri" w:hAnsi="Verdana" w:cs="TimesNewRoman"/>
          <w:color w:val="000000"/>
          <w:sz w:val="20"/>
          <w:lang w:val="en-US" w:eastAsia="en-US"/>
        </w:rPr>
        <w:t>0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>.</w:t>
      </w:r>
      <w:r w:rsidR="00A217F9">
        <w:rPr>
          <w:rFonts w:ascii="Verdana" w:eastAsia="Calibri" w:hAnsi="Verdana" w:cs="TimesNewRoman"/>
          <w:color w:val="000000"/>
          <w:sz w:val="20"/>
          <w:lang w:val="en-US" w:eastAsia="en-US"/>
        </w:rPr>
        <w:t>2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 процентни пункта повече в сравнение с 20</w:t>
      </w:r>
      <w:r w:rsidRPr="006E3F07">
        <w:rPr>
          <w:rFonts w:ascii="Verdana" w:eastAsia="Calibri" w:hAnsi="Verdana" w:cs="TimesNewRoman"/>
          <w:color w:val="000000"/>
          <w:sz w:val="20"/>
          <w:lang w:val="en-US" w:eastAsia="en-US"/>
        </w:rPr>
        <w:t>2</w:t>
      </w:r>
      <w:r w:rsidR="00A217F9">
        <w:rPr>
          <w:rFonts w:ascii="Verdana" w:eastAsia="Calibri" w:hAnsi="Verdana" w:cs="TimesNewRoman"/>
          <w:color w:val="000000"/>
          <w:sz w:val="20"/>
          <w:lang w:val="en-US" w:eastAsia="en-US"/>
        </w:rPr>
        <w:t>3</w:t>
      </w:r>
      <w:r w:rsidRPr="006E3F07">
        <w:rPr>
          <w:rFonts w:ascii="Verdana" w:eastAsia="Calibri" w:hAnsi="Verdana" w:cs="TimesNewRoman"/>
          <w:color w:val="000000"/>
          <w:sz w:val="20"/>
          <w:lang w:val="bg-BG" w:eastAsia="en-US"/>
        </w:rPr>
        <w:t xml:space="preserve"> г.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и </w:t>
      </w:r>
      <w:r w:rsidR="00A217F9">
        <w:rPr>
          <w:rFonts w:ascii="Verdana" w:eastAsia="Times New Roman" w:hAnsi="Verdana"/>
          <w:sz w:val="20"/>
          <w:lang w:val="bg-BG" w:eastAsia="en-US"/>
        </w:rPr>
        <w:t>без изменение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A217F9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година </w:t>
      </w:r>
      <w:r w:rsidR="00221A1F" w:rsidRPr="006E3F07">
        <w:rPr>
          <w:rFonts w:ascii="Verdana" w:eastAsia="Times New Roman" w:hAnsi="Verdana"/>
          <w:sz w:val="20"/>
          <w:lang w:val="bg-BG" w:eastAsia="en-US"/>
        </w:rPr>
        <w:t>(</w:t>
      </w:r>
      <w:r w:rsidR="00221A1F">
        <w:rPr>
          <w:rFonts w:ascii="Verdana" w:eastAsia="Times New Roman" w:hAnsi="Verdana"/>
          <w:sz w:val="20"/>
          <w:lang w:val="bg-BG" w:eastAsia="en-US"/>
        </w:rPr>
        <w:t xml:space="preserve">виж </w:t>
      </w:r>
      <w:r w:rsidR="00221A1F" w:rsidRPr="006E3F07">
        <w:rPr>
          <w:rFonts w:ascii="Verdana" w:eastAsia="Times New Roman" w:hAnsi="Verdana"/>
          <w:sz w:val="20"/>
          <w:lang w:val="bg-BG" w:eastAsia="en-US"/>
        </w:rPr>
        <w:t>фиг. 1)</w:t>
      </w:r>
      <w:r w:rsidR="00221A1F">
        <w:rPr>
          <w:rFonts w:ascii="Verdana" w:eastAsia="Times New Roman" w:hAnsi="Verdana"/>
          <w:sz w:val="20"/>
          <w:lang w:val="en-US" w:eastAsia="en-US"/>
        </w:rPr>
        <w:t>.</w:t>
      </w:r>
    </w:p>
    <w:p w:rsidR="006E3F07" w:rsidRPr="006E3F07" w:rsidRDefault="006E3F07" w:rsidP="00A901BD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hAnsi="Verdana"/>
          <w:noProof/>
          <w:sz w:val="20"/>
          <w:lang w:val="bg-BG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Фиг. 1. Относителен дял на дохода от работна заплата в общия доход </w:t>
      </w:r>
      <w:r w:rsidR="009277F9">
        <w:rPr>
          <w:rFonts w:ascii="Verdana" w:eastAsia="Calibri" w:hAnsi="Verdana"/>
          <w:b/>
          <w:color w:val="000000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на домакинствата</w:t>
      </w:r>
      <w:r w:rsidRPr="006E3F07">
        <w:rPr>
          <w:rFonts w:ascii="Verdana" w:eastAsia="Times New Roman" w:hAnsi="Verdana"/>
          <w:noProof/>
          <w:sz w:val="20"/>
          <w:lang w:val="bg-BG"/>
        </w:rPr>
        <w:t xml:space="preserve"> </w:t>
      </w:r>
    </w:p>
    <w:p w:rsidR="006E3F07" w:rsidRPr="006E3F07" w:rsidRDefault="005F7144" w:rsidP="006E3F07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TimesNewRoman"/>
          <w:color w:val="000000"/>
          <w:sz w:val="20"/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7C5168A4" wp14:editId="579B2D51">
            <wp:extent cx="5105400" cy="2475781"/>
            <wp:effectExtent l="0" t="0" r="0" b="12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Доходите от всички социални трансфери </w:t>
      </w:r>
      <w:r w:rsidRPr="006E3F07">
        <w:rPr>
          <w:rFonts w:ascii="Verdana" w:eastAsia="Times New Roman" w:hAnsi="Verdana"/>
          <w:sz w:val="20"/>
          <w:lang w:val="bg-BG" w:eastAsia="en-US"/>
        </w:rPr>
        <w:t>(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пенсии, обезщетения за безработни, семейни добавки за деца и други социални помощи</w:t>
      </w:r>
      <w:r w:rsidRPr="006E3F07">
        <w:rPr>
          <w:rFonts w:ascii="Verdana" w:eastAsia="Calibri" w:hAnsi="Verdana"/>
          <w:color w:val="000000"/>
          <w:sz w:val="20"/>
          <w:lang w:val="ru-RU" w:eastAsia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и обезщетения</w:t>
      </w:r>
      <w:r w:rsidRPr="006E3F07">
        <w:rPr>
          <w:rFonts w:ascii="Verdana" w:eastAsia="Times New Roman" w:hAnsi="Verdana"/>
          <w:sz w:val="20"/>
          <w:lang w:val="bg-BG" w:eastAsia="en-US"/>
        </w:rPr>
        <w:t>)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формират </w:t>
      </w:r>
      <w:r w:rsidRPr="006E3F07">
        <w:rPr>
          <w:rFonts w:ascii="Verdana" w:eastAsia="Calibri" w:hAnsi="Verdana"/>
          <w:sz w:val="20"/>
          <w:lang w:val="en-US" w:eastAsia="en-US"/>
        </w:rPr>
        <w:t>3</w:t>
      </w:r>
      <w:r w:rsidR="00474D06">
        <w:rPr>
          <w:rFonts w:ascii="Verdana" w:eastAsia="Calibri" w:hAnsi="Verdana"/>
          <w:sz w:val="20"/>
          <w:lang w:val="bg-BG" w:eastAsia="en-US"/>
        </w:rPr>
        <w:t>2</w:t>
      </w:r>
      <w:r w:rsidRPr="006E3F07">
        <w:rPr>
          <w:rFonts w:ascii="Verdana" w:eastAsia="Calibri" w:hAnsi="Verdana"/>
          <w:sz w:val="20"/>
          <w:lang w:val="en-US" w:eastAsia="en-US"/>
        </w:rPr>
        <w:t>.</w:t>
      </w:r>
      <w:r w:rsidR="00474D06">
        <w:rPr>
          <w:rFonts w:ascii="Verdana" w:eastAsia="Calibri" w:hAnsi="Verdana"/>
          <w:sz w:val="20"/>
          <w:lang w:val="bg-BG" w:eastAsia="en-US"/>
        </w:rPr>
        <w:t>2</w:t>
      </w:r>
      <w:r w:rsidRPr="006E3F07">
        <w:rPr>
          <w:rFonts w:ascii="Verdana" w:eastAsia="Calibri" w:hAnsi="Verdana"/>
          <w:sz w:val="20"/>
          <w:lang w:val="bg-BG" w:eastAsia="en-US"/>
        </w:rPr>
        <w:t>% от общия доход на домакинствата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474D06">
        <w:rPr>
          <w:rFonts w:ascii="Verdana" w:eastAsia="Times New Roman" w:hAnsi="Verdana"/>
          <w:sz w:val="20"/>
          <w:lang w:val="bg-BG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година.</w:t>
      </w:r>
    </w:p>
    <w:p w:rsidR="006E3F07" w:rsidRPr="006E3F07" w:rsidRDefault="006E3F07" w:rsidP="009E4921">
      <w:pPr>
        <w:autoSpaceDE w:val="0"/>
        <w:autoSpaceDN w:val="0"/>
        <w:spacing w:line="360" w:lineRule="auto"/>
        <w:ind w:firstLine="567"/>
        <w:jc w:val="both"/>
        <w:rPr>
          <w:rFonts w:ascii="Verdana" w:eastAsia="Calibri" w:hAnsi="Verdana" w:cs="TimesNewRoman"/>
          <w:sz w:val="20"/>
          <w:lang w:val="bg-BG" w:eastAsia="en-US"/>
        </w:rPr>
      </w:pPr>
      <w:r w:rsidRPr="006E3F07">
        <w:rPr>
          <w:rFonts w:ascii="Verdana" w:hAnsi="Verdana"/>
          <w:sz w:val="20"/>
          <w:lang w:val="bg-BG"/>
        </w:rPr>
        <w:t>От получените социални трансфери с най-висок относителен дял в общия доход на домакинствата са доходите от пенсии -</w:t>
      </w:r>
      <w:r w:rsidRPr="006E3F07">
        <w:rPr>
          <w:rFonts w:ascii="Verdana" w:hAnsi="Verdana"/>
          <w:i/>
          <w:sz w:val="20"/>
          <w:lang w:val="bg-BG"/>
        </w:rPr>
        <w:t xml:space="preserve"> </w:t>
      </w:r>
      <w:r w:rsidRPr="006E3F07">
        <w:rPr>
          <w:rFonts w:ascii="Verdana" w:eastAsia="Calibri" w:hAnsi="Verdana"/>
          <w:sz w:val="20"/>
          <w:lang w:val="en-US" w:eastAsia="en-US"/>
        </w:rPr>
        <w:t>3</w:t>
      </w:r>
      <w:r w:rsidR="00474D06">
        <w:rPr>
          <w:rFonts w:ascii="Verdana" w:eastAsia="Calibri" w:hAnsi="Verdana"/>
          <w:sz w:val="20"/>
          <w:lang w:val="bg-BG" w:eastAsia="en-US"/>
        </w:rPr>
        <w:t>0</w:t>
      </w:r>
      <w:r w:rsidRPr="006E3F07">
        <w:rPr>
          <w:rFonts w:ascii="Verdana" w:eastAsia="Calibri" w:hAnsi="Verdana"/>
          <w:sz w:val="20"/>
          <w:lang w:val="bg-BG" w:eastAsia="en-US"/>
        </w:rPr>
        <w:t>.</w:t>
      </w:r>
      <w:r w:rsidR="00474D06">
        <w:rPr>
          <w:rFonts w:ascii="Verdana" w:eastAsia="Calibri" w:hAnsi="Verdana"/>
          <w:sz w:val="20"/>
          <w:lang w:val="bg-BG" w:eastAsia="en-US"/>
        </w:rPr>
        <w:t>0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%, което е с </w:t>
      </w:r>
      <w:r w:rsidRPr="006E3F07">
        <w:rPr>
          <w:rFonts w:ascii="Verdana" w:eastAsia="Calibri" w:hAnsi="Verdana"/>
          <w:sz w:val="20"/>
          <w:lang w:val="en-US" w:eastAsia="en-US"/>
        </w:rPr>
        <w:t>1</w:t>
      </w:r>
      <w:r w:rsidRPr="006E3F07">
        <w:rPr>
          <w:rFonts w:ascii="Verdana" w:eastAsia="Calibri" w:hAnsi="Verdana"/>
          <w:sz w:val="20"/>
          <w:lang w:val="bg-BG" w:eastAsia="en-US"/>
        </w:rPr>
        <w:t>.</w:t>
      </w:r>
      <w:r w:rsidR="00474D06">
        <w:rPr>
          <w:rFonts w:ascii="Verdana" w:eastAsia="Calibri" w:hAnsi="Verdana"/>
          <w:sz w:val="20"/>
          <w:lang w:val="bg-BG" w:eastAsia="en-US"/>
        </w:rPr>
        <w:t>8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процентни пункта по</w:t>
      </w:r>
      <w:r w:rsidRPr="006E3F07">
        <w:rPr>
          <w:rFonts w:ascii="Verdana" w:eastAsia="Calibri" w:hAnsi="Verdana"/>
          <w:sz w:val="20"/>
          <w:lang w:val="en-US" w:eastAsia="en-US"/>
        </w:rPr>
        <w:t>-</w:t>
      </w:r>
      <w:r w:rsidRPr="006E3F07">
        <w:rPr>
          <w:rFonts w:ascii="Verdana" w:eastAsia="Calibri" w:hAnsi="Verdana"/>
          <w:sz w:val="20"/>
          <w:lang w:val="bg-BG" w:eastAsia="en-US"/>
        </w:rPr>
        <w:t>малко в сравнение с 20</w:t>
      </w:r>
      <w:r w:rsidRPr="006E3F07">
        <w:rPr>
          <w:rFonts w:ascii="Verdana" w:eastAsia="Calibri" w:hAnsi="Verdana"/>
          <w:sz w:val="20"/>
          <w:lang w:val="en-US" w:eastAsia="en-US"/>
        </w:rPr>
        <w:t>2</w:t>
      </w:r>
      <w:r w:rsidR="00474D06">
        <w:rPr>
          <w:rFonts w:ascii="Verdana" w:eastAsia="Calibri" w:hAnsi="Verdana"/>
          <w:sz w:val="20"/>
          <w:lang w:val="bg-BG" w:eastAsia="en-US"/>
        </w:rPr>
        <w:t>3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и с </w:t>
      </w:r>
      <w:r w:rsidR="00474D06">
        <w:rPr>
          <w:rFonts w:ascii="Verdana" w:eastAsia="Calibri" w:hAnsi="Verdana"/>
          <w:sz w:val="20"/>
          <w:lang w:val="en-US" w:eastAsia="en-US"/>
        </w:rPr>
        <w:t>4</w:t>
      </w:r>
      <w:r w:rsidRPr="006E3F07">
        <w:rPr>
          <w:rFonts w:ascii="Verdana" w:eastAsia="Calibri" w:hAnsi="Verdana"/>
          <w:sz w:val="20"/>
          <w:lang w:val="en-US" w:eastAsia="en-US"/>
        </w:rPr>
        <w:t>.0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процентни пункта повече в сравнение с 201</w:t>
      </w:r>
      <w:r w:rsidR="00474D06">
        <w:rPr>
          <w:rFonts w:ascii="Verdana" w:eastAsia="Calibri" w:hAnsi="Verdana"/>
          <w:sz w:val="20"/>
          <w:lang w:val="en-US" w:eastAsia="en-US"/>
        </w:rPr>
        <w:t>5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година (</w:t>
      </w:r>
      <w:r w:rsidR="00C84D06">
        <w:rPr>
          <w:rFonts w:ascii="Verdana" w:eastAsia="Calibri" w:hAnsi="Verdana"/>
          <w:sz w:val="20"/>
          <w:lang w:val="bg-BG" w:eastAsia="en-US"/>
        </w:rPr>
        <w:t xml:space="preserve">виж </w:t>
      </w:r>
      <w:r w:rsidRPr="006E3F07">
        <w:rPr>
          <w:rFonts w:ascii="Verdana" w:eastAsia="Calibri" w:hAnsi="Verdana"/>
          <w:sz w:val="20"/>
          <w:lang w:val="bg-BG" w:eastAsia="en-US"/>
        </w:rPr>
        <w:t>фиг. 2).</w:t>
      </w:r>
    </w:p>
    <w:p w:rsidR="006E3F07" w:rsidRPr="00CC7A06" w:rsidRDefault="006E3F07" w:rsidP="00A901BD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Calibri" w:hAnsi="Verdana"/>
          <w:b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lastRenderedPageBreak/>
        <w:t>Фиг. 2. Относителен дял на дохода от пенсии и други социални трансфери в</w:t>
      </w:r>
      <w:r w:rsidR="00CC7A06">
        <w:rPr>
          <w:rFonts w:ascii="Verdana" w:eastAsia="Calibri" w:hAnsi="Verdana"/>
          <w:b/>
          <w:color w:val="000000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общия доход на домакинствата</w:t>
      </w:r>
    </w:p>
    <w:p w:rsidR="006E3F07" w:rsidRPr="006E3F07" w:rsidRDefault="006E7684" w:rsidP="006E3F07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/>
          <w:noProof/>
          <w:sz w:val="20"/>
          <w:lang w:val="en-US"/>
        </w:rPr>
      </w:pPr>
      <w:r>
        <w:rPr>
          <w:noProof/>
          <w:lang w:val="bg-BG"/>
        </w:rPr>
        <w:drawing>
          <wp:inline distT="0" distB="0" distL="0" distR="0" wp14:anchorId="04B65418" wp14:editId="54013C07">
            <wp:extent cx="5667375" cy="35623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F07" w:rsidRDefault="006E3F07" w:rsidP="00F85ECA">
      <w:pPr>
        <w:tabs>
          <w:tab w:val="left" w:pos="1122"/>
        </w:tabs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color w:val="000000"/>
          <w:sz w:val="20"/>
          <w:lang w:val="bg-BG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2F2327">
        <w:rPr>
          <w:rFonts w:ascii="Verdana" w:eastAsia="Times New Roman" w:hAnsi="Verdana"/>
          <w:sz w:val="20"/>
          <w:lang w:val="en-US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о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>тносителният дял на д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оходите на домакинствата от самостоятелна заетост 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в общия доход на домакинствата </w:t>
      </w:r>
      <w:r w:rsidRPr="006E3F07">
        <w:rPr>
          <w:rFonts w:ascii="Verdana" w:eastAsia="Times New Roman" w:hAnsi="Verdana"/>
          <w:color w:val="000000"/>
          <w:sz w:val="20"/>
          <w:lang w:val="en-US" w:eastAsia="en-US"/>
        </w:rPr>
        <w:t>e</w:t>
      </w:r>
      <w:r w:rsidRPr="006E3F07">
        <w:rPr>
          <w:rFonts w:ascii="Verdana" w:eastAsia="Times New Roman" w:hAnsi="Verdana"/>
          <w:color w:val="000000"/>
          <w:sz w:val="20"/>
          <w:lang w:val="ru-RU" w:eastAsia="en-US"/>
        </w:rPr>
        <w:t xml:space="preserve"> </w:t>
      </w:r>
      <w:r w:rsidR="002F2327">
        <w:rPr>
          <w:rFonts w:ascii="Verdana" w:eastAsia="Times New Roman" w:hAnsi="Verdana"/>
          <w:color w:val="000000"/>
          <w:sz w:val="20"/>
          <w:lang w:val="en-US" w:eastAsia="en-US"/>
        </w:rPr>
        <w:t>7</w:t>
      </w:r>
      <w:r w:rsidRPr="006E3F07">
        <w:rPr>
          <w:rFonts w:ascii="Verdana" w:eastAsia="Times New Roman" w:hAnsi="Verdana"/>
          <w:color w:val="000000"/>
          <w:sz w:val="20"/>
          <w:lang w:val="en-US" w:eastAsia="en-US"/>
        </w:rPr>
        <w:t>.</w:t>
      </w:r>
      <w:r w:rsidR="002F2327">
        <w:rPr>
          <w:rFonts w:ascii="Verdana" w:eastAsia="Times New Roman" w:hAnsi="Verdana"/>
          <w:color w:val="000000"/>
          <w:sz w:val="20"/>
          <w:lang w:val="en-US" w:eastAsia="en-US"/>
        </w:rPr>
        <w:t>2</w:t>
      </w:r>
      <w:r w:rsidRPr="006E3F07">
        <w:rPr>
          <w:rFonts w:ascii="Verdana" w:eastAsia="Times New Roman" w:hAnsi="Verdana"/>
          <w:color w:val="000000"/>
          <w:sz w:val="20"/>
          <w:lang w:val="ru-RU" w:eastAsia="en-US"/>
        </w:rPr>
        <w:t>%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>, увеличава се с 1</w:t>
      </w:r>
      <w:r w:rsidRPr="006E3F07">
        <w:rPr>
          <w:rFonts w:ascii="Verdana" w:eastAsia="Times New Roman" w:hAnsi="Verdana"/>
          <w:color w:val="000000"/>
          <w:sz w:val="20"/>
          <w:lang w:val="en-US" w:eastAsia="en-US"/>
        </w:rPr>
        <w:t>.</w:t>
      </w:r>
      <w:r w:rsidR="002F2327">
        <w:rPr>
          <w:rFonts w:ascii="Verdana" w:eastAsia="Times New Roman" w:hAnsi="Verdana"/>
          <w:color w:val="000000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 процентни пункта в сравнение с 20</w:t>
      </w:r>
      <w:r w:rsidRPr="006E3F07">
        <w:rPr>
          <w:rFonts w:ascii="Verdana" w:eastAsia="Times New Roman" w:hAnsi="Verdana"/>
          <w:color w:val="000000"/>
          <w:sz w:val="20"/>
          <w:lang w:val="en-US" w:eastAsia="en-US"/>
        </w:rPr>
        <w:t>2</w:t>
      </w:r>
      <w:r w:rsidR="008B18D3">
        <w:rPr>
          <w:rFonts w:ascii="Verdana" w:eastAsia="Times New Roman" w:hAnsi="Verdana"/>
          <w:color w:val="000000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 г. и </w:t>
      </w:r>
      <w:r w:rsidR="008B18D3">
        <w:rPr>
          <w:rFonts w:ascii="Verdana" w:eastAsia="Times New Roman" w:hAnsi="Verdana"/>
          <w:color w:val="000000"/>
          <w:sz w:val="20"/>
          <w:lang w:val="bg-BG" w:eastAsia="en-US"/>
        </w:rPr>
        <w:t xml:space="preserve">достига нивото </w:t>
      </w:r>
      <w:r w:rsidR="000B697E">
        <w:rPr>
          <w:rFonts w:ascii="Verdana" w:eastAsia="Times New Roman" w:hAnsi="Verdana"/>
          <w:color w:val="000000"/>
          <w:sz w:val="20"/>
          <w:lang w:val="bg-BG" w:eastAsia="en-US"/>
        </w:rPr>
        <w:t xml:space="preserve">си </w:t>
      </w:r>
      <w:r w:rsidR="008B18D3">
        <w:rPr>
          <w:rFonts w:ascii="Verdana" w:eastAsia="Times New Roman" w:hAnsi="Verdana"/>
          <w:color w:val="000000"/>
          <w:sz w:val="20"/>
          <w:lang w:val="bg-BG" w:eastAsia="en-US"/>
        </w:rPr>
        <w:t>от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 20</w:t>
      </w:r>
      <w:r w:rsidRPr="006E3F07">
        <w:rPr>
          <w:rFonts w:ascii="Verdana" w:eastAsia="Times New Roman" w:hAnsi="Verdana"/>
          <w:color w:val="000000"/>
          <w:sz w:val="20"/>
          <w:lang w:val="en-US" w:eastAsia="en-US"/>
        </w:rPr>
        <w:t>1</w:t>
      </w:r>
      <w:r w:rsidR="008B18D3">
        <w:rPr>
          <w:rFonts w:ascii="Verdana" w:eastAsia="Times New Roman" w:hAnsi="Verdana"/>
          <w:color w:val="000000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 година</w:t>
      </w:r>
      <w:r w:rsidR="00B941DD">
        <w:rPr>
          <w:rFonts w:ascii="Verdana" w:eastAsia="Times New Roman" w:hAnsi="Verdana"/>
          <w:color w:val="000000"/>
          <w:sz w:val="20"/>
          <w:lang w:val="en-US" w:eastAsia="en-US"/>
        </w:rPr>
        <w:t xml:space="preserve"> </w:t>
      </w:r>
      <w:r w:rsidR="00B941DD" w:rsidRPr="006E3F07">
        <w:rPr>
          <w:rFonts w:ascii="Verdana" w:eastAsia="Calibri" w:hAnsi="Verdana"/>
          <w:sz w:val="20"/>
          <w:lang w:val="bg-BG" w:eastAsia="en-US"/>
        </w:rPr>
        <w:t>(</w:t>
      </w:r>
      <w:r w:rsidR="00B941DD">
        <w:rPr>
          <w:rFonts w:ascii="Verdana" w:eastAsia="Calibri" w:hAnsi="Verdana"/>
          <w:sz w:val="20"/>
          <w:lang w:val="bg-BG" w:eastAsia="en-US"/>
        </w:rPr>
        <w:t>виж фиг. 3</w:t>
      </w:r>
      <w:r w:rsidR="00B941DD" w:rsidRPr="006E3F07">
        <w:rPr>
          <w:rFonts w:ascii="Verdana" w:eastAsia="Calibri" w:hAnsi="Verdana"/>
          <w:sz w:val="20"/>
          <w:lang w:val="bg-BG" w:eastAsia="en-US"/>
        </w:rPr>
        <w:t>)</w:t>
      </w:r>
      <w:r w:rsidRPr="006E3F07">
        <w:rPr>
          <w:rFonts w:ascii="Verdana" w:eastAsia="Times New Roman" w:hAnsi="Verdana"/>
          <w:color w:val="000000"/>
          <w:sz w:val="20"/>
          <w:lang w:val="bg-BG" w:eastAsia="en-US"/>
        </w:rPr>
        <w:t xml:space="preserve">. </w:t>
      </w:r>
    </w:p>
    <w:p w:rsidR="006E3F07" w:rsidRPr="006E3F07" w:rsidRDefault="006E3F07" w:rsidP="00A901BD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Calibri" w:hAnsi="Verdana"/>
          <w:b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Фиг. 3. Относителен дял на дохода от самостоятелна заетост в</w:t>
      </w:r>
      <w:r w:rsidRPr="00CC7A06">
        <w:rPr>
          <w:rFonts w:ascii="Verdana" w:eastAsia="Calibri" w:hAnsi="Verdana"/>
          <w:b/>
          <w:color w:val="000000"/>
          <w:sz w:val="20"/>
          <w:lang w:val="bg-BG" w:eastAsia="en-US"/>
        </w:rPr>
        <w:br/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общия доход на домакинствата</w:t>
      </w:r>
    </w:p>
    <w:p w:rsidR="006E3F07" w:rsidRPr="006E3F07" w:rsidRDefault="00B941DD" w:rsidP="006E3F07">
      <w:pPr>
        <w:autoSpaceDE w:val="0"/>
        <w:autoSpaceDN w:val="0"/>
        <w:adjustRightInd w:val="0"/>
        <w:spacing w:after="200" w:line="276" w:lineRule="auto"/>
        <w:jc w:val="center"/>
        <w:rPr>
          <w:rFonts w:ascii="Verdana" w:eastAsia="Calibri" w:hAnsi="Verdana" w:cs="TimesNewRoman"/>
          <w:color w:val="000000"/>
          <w:sz w:val="20"/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2F79A15A" wp14:editId="09919176">
            <wp:extent cx="5210175" cy="20097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3F07" w:rsidRPr="006E3F07" w:rsidRDefault="006E3F07" w:rsidP="009E4921">
      <w:pPr>
        <w:tabs>
          <w:tab w:val="left" w:pos="1122"/>
        </w:tabs>
        <w:autoSpaceDE w:val="0"/>
        <w:autoSpaceDN w:val="0"/>
        <w:spacing w:before="160"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 xml:space="preserve">Относителният дял на дохода от трудова дейност извън работната заплата е </w:t>
      </w:r>
      <w:r w:rsidR="00FA1BE0">
        <w:rPr>
          <w:rFonts w:ascii="Verdana" w:eastAsia="Times New Roman" w:hAnsi="Verdana"/>
          <w:sz w:val="20"/>
          <w:lang w:val="bg-BG" w:eastAsia="en-US"/>
        </w:rPr>
        <w:t>1</w:t>
      </w:r>
      <w:r w:rsidRPr="00CC7A06">
        <w:rPr>
          <w:rFonts w:ascii="Verdana" w:eastAsia="Times New Roman" w:hAnsi="Verdana"/>
          <w:sz w:val="20"/>
          <w:lang w:val="bg-BG" w:eastAsia="en-US"/>
        </w:rPr>
        <w:t>.</w:t>
      </w:r>
      <w:r w:rsidR="00FA1BE0">
        <w:rPr>
          <w:rFonts w:ascii="Verdana" w:eastAsia="Times New Roman" w:hAnsi="Verdana"/>
          <w:sz w:val="20"/>
          <w:lang w:val="bg-BG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>% и се увеличава спрямо 20</w:t>
      </w:r>
      <w:r w:rsidRPr="00CC7A06">
        <w:rPr>
          <w:rFonts w:ascii="Verdana" w:eastAsia="Times New Roman" w:hAnsi="Verdana"/>
          <w:sz w:val="20"/>
          <w:lang w:val="bg-BG" w:eastAsia="en-US"/>
        </w:rPr>
        <w:t>2</w:t>
      </w:r>
      <w:r w:rsidR="00FA1BE0">
        <w:rPr>
          <w:rFonts w:ascii="Verdana" w:eastAsia="Times New Roman" w:hAnsi="Verdana"/>
          <w:sz w:val="20"/>
          <w:lang w:val="bg-BG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 </w:t>
      </w:r>
      <w:r w:rsidRPr="00CC7A06">
        <w:rPr>
          <w:rFonts w:ascii="Verdana" w:eastAsia="Times New Roman" w:hAnsi="Verdana"/>
          <w:sz w:val="20"/>
          <w:lang w:val="bg-BG" w:eastAsia="en-US"/>
        </w:rPr>
        <w:t>0.</w:t>
      </w:r>
      <w:r w:rsidR="00FA1BE0">
        <w:rPr>
          <w:rFonts w:ascii="Verdana" w:eastAsia="Times New Roman" w:hAnsi="Verdana"/>
          <w:sz w:val="20"/>
          <w:lang w:val="bg-BG" w:eastAsia="en-US"/>
        </w:rPr>
        <w:t>4</w:t>
      </w:r>
      <w:r w:rsidRPr="00CC7A06">
        <w:rPr>
          <w:rFonts w:ascii="Verdana" w:eastAsia="Times New Roman" w:hAnsi="Verdana"/>
          <w:sz w:val="20"/>
          <w:lang w:val="bg-BG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>процентни пункта, а спрямо 20</w:t>
      </w:r>
      <w:r w:rsidRPr="00CC7A06">
        <w:rPr>
          <w:rFonts w:ascii="Verdana" w:eastAsia="Times New Roman" w:hAnsi="Verdana"/>
          <w:sz w:val="20"/>
          <w:lang w:val="bg-BG" w:eastAsia="en-US"/>
        </w:rPr>
        <w:t>1</w:t>
      </w:r>
      <w:r w:rsidR="00FA1BE0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намалява с </w:t>
      </w:r>
      <w:r w:rsidR="00FA1BE0">
        <w:rPr>
          <w:rFonts w:ascii="Verdana" w:eastAsia="Times New Roman" w:hAnsi="Verdana"/>
          <w:sz w:val="20"/>
          <w:lang w:val="bg-BG" w:eastAsia="en-US"/>
        </w:rPr>
        <w:t>1</w:t>
      </w:r>
      <w:r w:rsidRPr="00CC7A06">
        <w:rPr>
          <w:rFonts w:ascii="Verdana" w:eastAsia="Times New Roman" w:hAnsi="Verdana"/>
          <w:sz w:val="20"/>
          <w:lang w:val="bg-BG" w:eastAsia="en-US"/>
        </w:rPr>
        <w:t>.</w:t>
      </w:r>
      <w:r w:rsidR="00FA1BE0">
        <w:rPr>
          <w:rFonts w:ascii="Verdana" w:eastAsia="Times New Roman" w:hAnsi="Verdana"/>
          <w:sz w:val="20"/>
          <w:lang w:val="bg-BG" w:eastAsia="en-US"/>
        </w:rPr>
        <w:t>9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процентни пункта.</w:t>
      </w:r>
    </w:p>
    <w:p w:rsidR="000B697E" w:rsidRDefault="000B697E" w:rsidP="00F85ECA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Calibri" w:hAnsi="Verdana"/>
          <w:b/>
          <w:bCs/>
          <w:color w:val="000000"/>
          <w:sz w:val="20"/>
          <w:lang w:val="bg-BG" w:eastAsia="en-US"/>
        </w:rPr>
      </w:pPr>
    </w:p>
    <w:p w:rsidR="006E3F07" w:rsidRPr="006E3F07" w:rsidRDefault="006E3F07" w:rsidP="00F85ECA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Calibri" w:hAnsi="Verdana"/>
          <w:b/>
          <w:bCs/>
          <w:color w:val="000000"/>
          <w:sz w:val="20"/>
          <w:lang w:val="ru-RU" w:eastAsia="en-US"/>
        </w:rPr>
      </w:pPr>
      <w:r w:rsidRPr="006E3F07">
        <w:rPr>
          <w:rFonts w:ascii="Verdana" w:eastAsia="Calibri" w:hAnsi="Verdana"/>
          <w:b/>
          <w:bCs/>
          <w:color w:val="000000"/>
          <w:sz w:val="20"/>
          <w:lang w:val="bg-BG" w:eastAsia="en-US"/>
        </w:rPr>
        <w:lastRenderedPageBreak/>
        <w:t>Разходи на домакинствата</w:t>
      </w:r>
    </w:p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През 20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2</w:t>
      </w:r>
      <w:r w:rsidR="004967AC">
        <w:rPr>
          <w:rFonts w:ascii="Verdana" w:eastAsia="Calibri" w:hAnsi="Verdana"/>
          <w:color w:val="000000"/>
          <w:sz w:val="20"/>
          <w:lang w:val="bg-BG" w:eastAsia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г. българските домакинства са изразходвали 1</w:t>
      </w:r>
      <w:r w:rsidR="004967AC">
        <w:rPr>
          <w:rFonts w:ascii="Verdana" w:eastAsia="Calibri" w:hAnsi="Verdana"/>
          <w:color w:val="000000"/>
          <w:sz w:val="20"/>
          <w:lang w:val="bg-BG" w:eastAsia="en-US"/>
        </w:rPr>
        <w:t>1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 xml:space="preserve"> </w:t>
      </w:r>
      <w:r w:rsidR="004967AC">
        <w:rPr>
          <w:rFonts w:ascii="Verdana" w:eastAsia="Calibri" w:hAnsi="Verdana"/>
          <w:color w:val="000000"/>
          <w:sz w:val="20"/>
          <w:lang w:val="bg-BG" w:eastAsia="en-US"/>
        </w:rPr>
        <w:t>712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лв. средно на лице, което е с 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1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6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.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6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% повече в сравнение с 20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2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3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година. За периода 20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1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- 20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2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г. разходите на домакинствата се увеличават 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2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.</w:t>
      </w:r>
      <w:r w:rsidR="004967AC">
        <w:rPr>
          <w:rFonts w:ascii="Verdana" w:eastAsia="Calibri" w:hAnsi="Verdana"/>
          <w:color w:val="000000"/>
          <w:sz w:val="20"/>
          <w:lang w:val="en-US" w:eastAsia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пъти.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</w:t>
      </w:r>
    </w:p>
    <w:p w:rsidR="006E3F07" w:rsidRPr="006E3F07" w:rsidRDefault="005D323B" w:rsidP="008146D2">
      <w:pPr>
        <w:autoSpaceDE w:val="0"/>
        <w:autoSpaceDN w:val="0"/>
        <w:spacing w:before="160" w:after="160" w:line="360" w:lineRule="auto"/>
        <w:ind w:firstLine="567"/>
        <w:jc w:val="center"/>
        <w:outlineLvl w:val="0"/>
        <w:rPr>
          <w:rFonts w:ascii="Verdana" w:eastAsia="Times New Roman" w:hAnsi="Verdana"/>
          <w:b/>
          <w:bCs/>
          <w:color w:val="000000"/>
          <w:sz w:val="20"/>
          <w:lang w:val="ru-RU" w:eastAsia="en-US"/>
        </w:rPr>
      </w:pPr>
      <w:r>
        <w:rPr>
          <w:rFonts w:ascii="Verdana" w:eastAsia="Times New Roman" w:hAnsi="Verdana"/>
          <w:b/>
          <w:bCs/>
          <w:color w:val="000000"/>
          <w:sz w:val="20"/>
          <w:lang w:val="ru-RU" w:eastAsia="en-US"/>
        </w:rPr>
        <w:t xml:space="preserve">Таблица </w:t>
      </w:r>
      <w:r w:rsidR="006E3F07" w:rsidRPr="006E3F07">
        <w:rPr>
          <w:rFonts w:ascii="Verdana" w:eastAsia="Times New Roman" w:hAnsi="Verdana"/>
          <w:b/>
          <w:bCs/>
          <w:color w:val="000000"/>
          <w:sz w:val="20"/>
          <w:lang w:val="ru-RU" w:eastAsia="en-US"/>
        </w:rPr>
        <w:t xml:space="preserve">3. </w:t>
      </w:r>
      <w:r w:rsidR="006E3F07" w:rsidRPr="006E3F07">
        <w:rPr>
          <w:rFonts w:ascii="Verdana" w:eastAsia="Times New Roman" w:hAnsi="Verdana"/>
          <w:b/>
          <w:bCs/>
          <w:color w:val="000000"/>
          <w:sz w:val="20"/>
          <w:lang w:val="bg-BG" w:eastAsia="en-US"/>
        </w:rPr>
        <w:t>Общ разход средно</w:t>
      </w:r>
      <w:r w:rsidR="006E3F07" w:rsidRPr="006E3F07">
        <w:rPr>
          <w:rFonts w:ascii="Verdana" w:eastAsia="Times New Roman" w:hAnsi="Verdana"/>
          <w:b/>
          <w:bCs/>
          <w:color w:val="000000"/>
          <w:sz w:val="20"/>
          <w:lang w:val="ru-RU" w:eastAsia="en-US"/>
        </w:rPr>
        <w:t xml:space="preserve"> </w:t>
      </w:r>
      <w:r w:rsidR="006E3F07" w:rsidRPr="006E3F07">
        <w:rPr>
          <w:rFonts w:ascii="Verdana" w:eastAsia="Times New Roman" w:hAnsi="Verdana"/>
          <w:b/>
          <w:bCs/>
          <w:color w:val="000000"/>
          <w:sz w:val="20"/>
          <w:lang w:val="bg-BG" w:eastAsia="en-US"/>
        </w:rPr>
        <w:t>на лице от домакинство</w:t>
      </w:r>
    </w:p>
    <w:tbl>
      <w:tblPr>
        <w:tblW w:w="898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9"/>
        <w:gridCol w:w="849"/>
        <w:gridCol w:w="739"/>
        <w:gridCol w:w="688"/>
        <w:gridCol w:w="679"/>
        <w:gridCol w:w="738"/>
        <w:gridCol w:w="739"/>
        <w:gridCol w:w="738"/>
        <w:gridCol w:w="739"/>
      </w:tblGrid>
      <w:tr w:rsidR="006E3F07" w:rsidRPr="006E3F07" w:rsidTr="00545D1C">
        <w:trPr>
          <w:trHeight w:val="233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0A4F40">
            <w:pPr>
              <w:autoSpaceDE w:val="0"/>
              <w:autoSpaceDN w:val="0"/>
              <w:ind w:left="259" w:hanging="259"/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Групи разходи</w:t>
            </w:r>
          </w:p>
          <w:p w:rsidR="006E3F07" w:rsidRPr="00545D1C" w:rsidRDefault="006E3F07" w:rsidP="000A4F40">
            <w:pPr>
              <w:autoSpaceDE w:val="0"/>
              <w:autoSpaceDN w:val="0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1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5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545D1C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201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9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314EFC">
            <w:pPr>
              <w:jc w:val="center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20</w:t>
            </w: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en-US"/>
              </w:rPr>
              <w:t>2</w:t>
            </w:r>
            <w:r w:rsidR="00314EF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4</w:t>
            </w:r>
          </w:p>
        </w:tc>
      </w:tr>
      <w:tr w:rsidR="00545D1C" w:rsidRPr="006E3F07" w:rsidTr="00314EFC">
        <w:trPr>
          <w:cantSplit/>
          <w:trHeight w:val="233"/>
        </w:trPr>
        <w:tc>
          <w:tcPr>
            <w:tcW w:w="3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F07" w:rsidRPr="00545D1C" w:rsidRDefault="006E3F07" w:rsidP="000A4F40">
            <w:pPr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лв.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3F07" w:rsidRPr="00545D1C" w:rsidRDefault="006E3F07" w:rsidP="00900A1A">
            <w:pPr>
              <w:jc w:val="right"/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sz w:val="16"/>
                <w:szCs w:val="16"/>
                <w:lang w:val="bg-BG"/>
              </w:rPr>
              <w:t>%</w:t>
            </w:r>
          </w:p>
        </w:tc>
      </w:tr>
      <w:tr w:rsidR="006A56BD" w:rsidRPr="006E3F07" w:rsidTr="00314EFC">
        <w:trPr>
          <w:trHeight w:val="31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  <w:t>Общ разход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4666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6214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/>
                <w:b/>
                <w:bCs/>
                <w:i/>
                <w:sz w:val="16"/>
                <w:szCs w:val="16"/>
              </w:rPr>
              <w:t>10044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/>
                <w:b/>
                <w:bCs/>
                <w:i/>
                <w:sz w:val="16"/>
                <w:szCs w:val="16"/>
              </w:rPr>
              <w:t>100.0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11712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eastAsia="Times New Roman" w:hAnsi="Verdana" w:cs="Tahoma"/>
                <w:b/>
                <w:bCs/>
                <w:i/>
                <w:sz w:val="16"/>
                <w:szCs w:val="16"/>
                <w:lang w:val="bg-BG"/>
              </w:rPr>
            </w:pPr>
            <w:r w:rsidRPr="006A56BD">
              <w:rPr>
                <w:rFonts w:ascii="Verdana" w:hAnsi="Verdana" w:cs="Tahoma"/>
                <w:b/>
                <w:bCs/>
                <w:i/>
                <w:sz w:val="16"/>
                <w:szCs w:val="16"/>
              </w:rPr>
              <w:t>100.0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Потребителски общ разход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3888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83.3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5066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81.5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8216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81.8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9466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80.8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Храна и безалкохолни напитки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1463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31.4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1833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29.5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2987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29.7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3357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28.7</w:t>
            </w:r>
          </w:p>
        </w:tc>
      </w:tr>
      <w:tr w:rsidR="006A56BD" w:rsidRPr="006E3F07" w:rsidTr="00CC62BC">
        <w:trPr>
          <w:trHeight w:val="362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autoSpaceDE w:val="0"/>
              <w:autoSpaceDN w:val="0"/>
              <w:ind w:left="259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 xml:space="preserve">Алкохолни напитки и тютюневи </w:t>
            </w:r>
            <w:r w:rsidRPr="00545D1C">
              <w:rPr>
                <w:rFonts w:ascii="Verdana" w:eastAsia="Times New Roman" w:hAnsi="Verdana"/>
                <w:sz w:val="16"/>
                <w:szCs w:val="16"/>
                <w:lang w:val="ru-RU"/>
              </w:rPr>
              <w:t xml:space="preserve">  </w:t>
            </w: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изделия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261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3.9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3.9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Облекло и обувки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202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3.5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435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3.7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ru-RU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 xml:space="preserve">Жилища, вода, електроенергия </w:t>
            </w:r>
          </w:p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и горива за битови нужди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666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14.3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836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13.5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1211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12.1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10.8</w:t>
            </w:r>
          </w:p>
        </w:tc>
      </w:tr>
      <w:tr w:rsidR="006A56BD" w:rsidRPr="006E3F07" w:rsidTr="00CC62BC">
        <w:trPr>
          <w:trHeight w:val="28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autoSpaceDE w:val="0"/>
              <w:autoSpaceDN w:val="0"/>
              <w:ind w:left="259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Жилищно обзавеждане и поддържане на дома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173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231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3.7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4.7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Здравеопазване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5.3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386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610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6.1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6.1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Транспорт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467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7.5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744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7.4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839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7.2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Съобщения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263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4.1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4.1</w:t>
            </w:r>
          </w:p>
        </w:tc>
      </w:tr>
      <w:tr w:rsidR="006A56BD" w:rsidRPr="006E3F07" w:rsidTr="00CC62BC">
        <w:trPr>
          <w:trHeight w:val="365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autoSpaceDE w:val="0"/>
              <w:autoSpaceDN w:val="0"/>
              <w:ind w:left="259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Свободно време, културен отдих и 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322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558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5.6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6.7</w:t>
            </w:r>
          </w:p>
        </w:tc>
      </w:tr>
      <w:tr w:rsidR="006A56BD" w:rsidRPr="006E3F07" w:rsidTr="00CC62BC">
        <w:trPr>
          <w:trHeight w:val="24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autoSpaceDE w:val="0"/>
              <w:autoSpaceDN w:val="0"/>
              <w:ind w:left="304" w:hanging="45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Разнообразни стоки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479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4.8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577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4.9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Данъци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5.0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348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554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5.5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5.8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Социални осигуровки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6.4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472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7.6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801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8.0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960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8.2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 xml:space="preserve">Регулярни трансфери към други </w:t>
            </w:r>
          </w:p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домакинства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1.2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64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0.9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1.0</w:t>
            </w:r>
          </w:p>
        </w:tc>
      </w:tr>
      <w:tr w:rsidR="006A56BD" w:rsidRPr="006E3F07" w:rsidTr="00CC62BC">
        <w:trPr>
          <w:trHeight w:val="23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ind w:firstLine="117"/>
              <w:rPr>
                <w:rFonts w:ascii="Verdana" w:eastAsia="Times New Roman" w:hAnsi="Verdana"/>
                <w:sz w:val="16"/>
                <w:szCs w:val="16"/>
                <w:lang w:val="bg-BG"/>
              </w:rPr>
            </w:pPr>
            <w:r w:rsidRPr="00545D1C">
              <w:rPr>
                <w:rFonts w:ascii="Verdana" w:eastAsia="Times New Roman" w:hAnsi="Verdana"/>
                <w:sz w:val="16"/>
                <w:szCs w:val="16"/>
                <w:lang w:val="bg-BG"/>
              </w:rPr>
              <w:t>Други разходи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193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263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545D1C">
              <w:rPr>
                <w:rFonts w:ascii="Verdana" w:hAnsi="Verdana"/>
                <w:sz w:val="16"/>
                <w:szCs w:val="16"/>
              </w:rPr>
              <w:t>3.8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sz w:val="16"/>
                <w:szCs w:val="16"/>
              </w:rPr>
            </w:pPr>
            <w:r w:rsidRPr="006A56BD">
              <w:rPr>
                <w:rFonts w:ascii="Verdana" w:hAnsi="Verdana" w:cs="Tahoma"/>
                <w:sz w:val="16"/>
                <w:szCs w:val="16"/>
              </w:rPr>
              <w:t>4.2</w:t>
            </w:r>
          </w:p>
        </w:tc>
      </w:tr>
      <w:tr w:rsidR="006A56BD" w:rsidRPr="006E3F07" w:rsidTr="00CC62BC">
        <w:trPr>
          <w:trHeight w:val="11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545D1C">
              <w:rPr>
                <w:rFonts w:ascii="Verdana" w:hAnsi="Verdana"/>
                <w:i/>
                <w:sz w:val="16"/>
                <w:szCs w:val="16"/>
                <w:lang w:val="bg-BG"/>
              </w:rPr>
              <w:t>Влог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131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383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45D1C">
              <w:rPr>
                <w:rFonts w:ascii="Verdana" w:hAnsi="Verdana"/>
                <w:i/>
                <w:sz w:val="16"/>
                <w:szCs w:val="16"/>
              </w:rPr>
              <w:t>697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956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</w:tr>
      <w:tr w:rsidR="006A56BD" w:rsidRPr="006E3F07" w:rsidTr="00CC62BC">
        <w:trPr>
          <w:trHeight w:val="238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rPr>
                <w:rFonts w:ascii="Verdana" w:hAnsi="Verdana"/>
                <w:i/>
                <w:sz w:val="16"/>
                <w:szCs w:val="16"/>
                <w:lang w:val="bg-BG"/>
              </w:rPr>
            </w:pPr>
            <w:r w:rsidRPr="00545D1C">
              <w:rPr>
                <w:rFonts w:ascii="Verdana" w:hAnsi="Verdana"/>
                <w:i/>
                <w:sz w:val="16"/>
                <w:szCs w:val="16"/>
                <w:lang w:val="bg-BG"/>
              </w:rPr>
              <w:t>Изплатен дълг и даден заем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168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137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45D1C">
              <w:rPr>
                <w:rFonts w:ascii="Verdana" w:hAnsi="Verdana"/>
                <w:i/>
                <w:sz w:val="16"/>
                <w:szCs w:val="16"/>
              </w:rPr>
              <w:t>202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A56BD" w:rsidRPr="006A56BD" w:rsidRDefault="006A56BD" w:rsidP="006A56BD">
            <w:pPr>
              <w:jc w:val="right"/>
              <w:rPr>
                <w:rFonts w:ascii="Verdana" w:hAnsi="Verdana" w:cs="Tahoma"/>
                <w:i/>
                <w:sz w:val="16"/>
                <w:szCs w:val="16"/>
              </w:rPr>
            </w:pPr>
            <w:r w:rsidRPr="006A56BD">
              <w:rPr>
                <w:rFonts w:ascii="Verdana" w:hAnsi="Verdana" w:cs="Tahoma"/>
                <w:i/>
                <w:sz w:val="16"/>
                <w:szCs w:val="16"/>
              </w:rPr>
              <w:t>260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56BD" w:rsidRPr="00545D1C" w:rsidRDefault="006A56BD" w:rsidP="006A56BD">
            <w:pPr>
              <w:jc w:val="right"/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</w:pPr>
            <w:r w:rsidRPr="00545D1C">
              <w:rPr>
                <w:rFonts w:ascii="Verdana" w:eastAsia="Times New Roman" w:hAnsi="Verdana"/>
                <w:bCs/>
                <w:i/>
                <w:iCs/>
                <w:sz w:val="16"/>
                <w:szCs w:val="16"/>
                <w:lang w:val="en-US"/>
              </w:rPr>
              <w:t>x</w:t>
            </w:r>
          </w:p>
        </w:tc>
      </w:tr>
    </w:tbl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en-US" w:eastAsia="en-US"/>
        </w:rPr>
      </w:pPr>
    </w:p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Относителният дял на потребителския разход от общите разходи на домакинствата намалява от 8</w:t>
      </w:r>
      <w:r w:rsidRPr="006E3F07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="00DF653D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>%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DF653D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на 8</w:t>
      </w:r>
      <w:r w:rsidR="00DF653D">
        <w:rPr>
          <w:rFonts w:ascii="Verdana" w:eastAsia="Times New Roman" w:hAnsi="Verdana"/>
          <w:sz w:val="20"/>
          <w:lang w:val="en-US" w:eastAsia="en-US"/>
        </w:rPr>
        <w:t>0</w:t>
      </w:r>
      <w:r w:rsidRPr="006E3F07">
        <w:rPr>
          <w:rFonts w:ascii="Verdana" w:eastAsia="Times New Roman" w:hAnsi="Verdana"/>
          <w:sz w:val="20"/>
          <w:lang w:val="bg-BG" w:eastAsia="en-US"/>
        </w:rPr>
        <w:t>.</w:t>
      </w:r>
      <w:r w:rsidRPr="006E3F07">
        <w:rPr>
          <w:rFonts w:ascii="Verdana" w:eastAsia="Times New Roman" w:hAnsi="Verdana"/>
          <w:sz w:val="20"/>
          <w:lang w:val="en-US" w:eastAsia="en-US"/>
        </w:rPr>
        <w:t>8</w:t>
      </w:r>
      <w:r w:rsidRPr="006E3F07">
        <w:rPr>
          <w:rFonts w:ascii="Verdana" w:eastAsia="Times New Roman" w:hAnsi="Verdana"/>
          <w:sz w:val="20"/>
          <w:lang w:val="bg-BG" w:eastAsia="en-US"/>
        </w:rPr>
        <w:t>% през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DF653D">
        <w:rPr>
          <w:rFonts w:ascii="Verdana" w:eastAsia="Times New Roman" w:hAnsi="Verdana"/>
          <w:sz w:val="20"/>
          <w:lang w:val="en-US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година.</w:t>
      </w:r>
    </w:p>
    <w:p w:rsidR="006E3F07" w:rsidRPr="006E3F07" w:rsidRDefault="006E3F07" w:rsidP="00F85ECA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sz w:val="20"/>
          <w:lang w:val="bg-BG" w:eastAsia="en-US"/>
        </w:rPr>
        <w:t>През периода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A61D87">
        <w:rPr>
          <w:rFonts w:ascii="Verdana" w:eastAsia="Times New Roman" w:hAnsi="Verdana"/>
          <w:sz w:val="20"/>
          <w:lang w:val="bg-BG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- 20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A61D87">
        <w:rPr>
          <w:rFonts w:ascii="Verdana" w:eastAsia="Times New Roman" w:hAnsi="Verdana"/>
          <w:sz w:val="20"/>
          <w:lang w:val="bg-BG" w:eastAsia="en-US"/>
        </w:rPr>
        <w:t>4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се наблюдават следните промени по отношение на някои видове разходи </w:t>
      </w:r>
      <w:r w:rsidRPr="006E3F07">
        <w:rPr>
          <w:rFonts w:ascii="Verdana" w:eastAsia="Times New Roman" w:hAnsi="Verdana"/>
          <w:i/>
          <w:sz w:val="20"/>
          <w:lang w:val="bg-BG" w:eastAsia="en-US"/>
        </w:rPr>
        <w:t>средно на лице от домакинство</w:t>
      </w:r>
      <w:r w:rsidRPr="006E3F07">
        <w:rPr>
          <w:rFonts w:ascii="Verdana" w:eastAsia="Times New Roman" w:hAnsi="Verdana"/>
          <w:sz w:val="20"/>
          <w:lang w:val="bg-BG" w:eastAsia="en-US"/>
        </w:rPr>
        <w:t>: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sz w:val="20"/>
          <w:szCs w:val="20"/>
        </w:rPr>
        <w:t xml:space="preserve">Изразходваните средства за храна и безалкохолни напитки са </w:t>
      </w:r>
      <w:r w:rsidR="00DF653D">
        <w:rPr>
          <w:rFonts w:ascii="Verdana" w:eastAsia="Calibri" w:hAnsi="Verdana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sz w:val="20"/>
          <w:szCs w:val="20"/>
        </w:rPr>
        <w:t xml:space="preserve"> </w:t>
      </w:r>
      <w:r w:rsidR="00DF653D">
        <w:rPr>
          <w:rFonts w:ascii="Verdana" w:eastAsia="Calibri" w:hAnsi="Verdana"/>
          <w:sz w:val="20"/>
          <w:szCs w:val="20"/>
          <w:lang w:val="en-US"/>
        </w:rPr>
        <w:t>357</w:t>
      </w:r>
      <w:r w:rsidRPr="006E3F07">
        <w:rPr>
          <w:rFonts w:ascii="Verdana" w:eastAsia="Calibri" w:hAnsi="Verdana"/>
          <w:sz w:val="20"/>
          <w:szCs w:val="20"/>
        </w:rPr>
        <w:t xml:space="preserve"> лв.</w:t>
      </w:r>
      <w:r w:rsidR="001C5A26" w:rsidRPr="001C5A26">
        <w:rPr>
          <w:rFonts w:ascii="Verdana" w:eastAsia="Calibri" w:hAnsi="Verdana"/>
          <w:sz w:val="20"/>
          <w:szCs w:val="20"/>
        </w:rPr>
        <w:t xml:space="preserve"> </w:t>
      </w:r>
      <w:r w:rsidR="001C5A26" w:rsidRPr="006E3F07">
        <w:rPr>
          <w:rFonts w:ascii="Verdana" w:eastAsia="Calibri" w:hAnsi="Verdana"/>
          <w:sz w:val="20"/>
          <w:szCs w:val="20"/>
        </w:rPr>
        <w:t>през 20</w:t>
      </w:r>
      <w:r w:rsidR="001C5A26" w:rsidRPr="006E3F07">
        <w:rPr>
          <w:rFonts w:ascii="Verdana" w:eastAsia="Calibri" w:hAnsi="Verdana"/>
          <w:sz w:val="20"/>
          <w:szCs w:val="20"/>
          <w:lang w:val="en-US"/>
        </w:rPr>
        <w:t>2</w:t>
      </w:r>
      <w:r w:rsidR="001C5A26">
        <w:rPr>
          <w:rFonts w:ascii="Verdana" w:eastAsia="Calibri" w:hAnsi="Verdana"/>
          <w:sz w:val="20"/>
          <w:szCs w:val="20"/>
          <w:lang w:val="en-US"/>
        </w:rPr>
        <w:t>4</w:t>
      </w:r>
      <w:r w:rsidR="001C5A26" w:rsidRPr="006E3F07">
        <w:rPr>
          <w:rFonts w:ascii="Verdana" w:eastAsia="Calibri" w:hAnsi="Verdana"/>
          <w:sz w:val="20"/>
          <w:szCs w:val="20"/>
        </w:rPr>
        <w:t xml:space="preserve"> г.</w:t>
      </w:r>
      <w:r w:rsidRPr="006E3F07">
        <w:rPr>
          <w:rFonts w:ascii="Verdana" w:eastAsia="Calibri" w:hAnsi="Verdana"/>
          <w:sz w:val="20"/>
          <w:szCs w:val="20"/>
        </w:rPr>
        <w:t xml:space="preserve">, или с </w:t>
      </w:r>
      <w:r w:rsidRPr="006E3F07">
        <w:rPr>
          <w:rFonts w:ascii="Verdana" w:eastAsia="Calibri" w:hAnsi="Verdana"/>
          <w:sz w:val="20"/>
          <w:szCs w:val="20"/>
          <w:lang w:val="en-US"/>
        </w:rPr>
        <w:t>1</w:t>
      </w:r>
      <w:r w:rsidR="00DF653D">
        <w:rPr>
          <w:rFonts w:ascii="Verdana" w:eastAsia="Calibri" w:hAnsi="Verdana"/>
          <w:sz w:val="20"/>
          <w:szCs w:val="20"/>
          <w:lang w:val="en-US"/>
        </w:rPr>
        <w:t>2</w:t>
      </w:r>
      <w:r w:rsidRPr="006E3F07">
        <w:rPr>
          <w:rFonts w:ascii="Verdana" w:eastAsia="Calibri" w:hAnsi="Verdana"/>
          <w:sz w:val="20"/>
          <w:szCs w:val="20"/>
          <w:lang w:val="en-US"/>
        </w:rPr>
        <w:t>.</w:t>
      </w:r>
      <w:r w:rsidR="00DF653D">
        <w:rPr>
          <w:rFonts w:ascii="Verdana" w:eastAsia="Calibri" w:hAnsi="Verdana"/>
          <w:sz w:val="20"/>
          <w:szCs w:val="20"/>
          <w:lang w:val="en-US"/>
        </w:rPr>
        <w:t>4</w:t>
      </w:r>
      <w:r w:rsidRPr="006E3F07">
        <w:rPr>
          <w:rFonts w:ascii="Verdana" w:eastAsia="Calibri" w:hAnsi="Verdana"/>
          <w:sz w:val="20"/>
          <w:szCs w:val="20"/>
        </w:rPr>
        <w:t>% повече спрямо 20</w:t>
      </w:r>
      <w:r w:rsidRPr="006E3F07">
        <w:rPr>
          <w:rFonts w:ascii="Verdana" w:eastAsia="Calibri" w:hAnsi="Verdana"/>
          <w:sz w:val="20"/>
          <w:szCs w:val="20"/>
          <w:lang w:val="en-US"/>
        </w:rPr>
        <w:t>2</w:t>
      </w:r>
      <w:r w:rsidR="00DF653D">
        <w:rPr>
          <w:rFonts w:ascii="Verdana" w:eastAsia="Calibri" w:hAnsi="Verdana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sz w:val="20"/>
          <w:szCs w:val="20"/>
        </w:rPr>
        <w:t xml:space="preserve"> г. и </w:t>
      </w:r>
      <w:r w:rsidRPr="006E3F07">
        <w:rPr>
          <w:rFonts w:ascii="Verdana" w:eastAsia="Calibri" w:hAnsi="Verdana"/>
          <w:sz w:val="20"/>
          <w:szCs w:val="20"/>
          <w:lang w:val="en-US"/>
        </w:rPr>
        <w:t>2</w:t>
      </w:r>
      <w:r w:rsidR="00DF653D">
        <w:rPr>
          <w:rFonts w:ascii="Verdana" w:eastAsia="Calibri" w:hAnsi="Verdana"/>
          <w:sz w:val="20"/>
          <w:szCs w:val="20"/>
          <w:lang w:val="en-US"/>
        </w:rPr>
        <w:t>.3</w:t>
      </w:r>
      <w:r w:rsidRPr="006E3F07">
        <w:rPr>
          <w:rFonts w:ascii="Verdana" w:eastAsia="Calibri" w:hAnsi="Verdana"/>
          <w:sz w:val="20"/>
          <w:szCs w:val="20"/>
          <w:lang w:val="en-US"/>
        </w:rPr>
        <w:t xml:space="preserve"> </w:t>
      </w:r>
      <w:r w:rsidRPr="006E3F07">
        <w:rPr>
          <w:rFonts w:ascii="Verdana" w:eastAsia="Calibri" w:hAnsi="Verdana"/>
          <w:sz w:val="20"/>
          <w:szCs w:val="20"/>
        </w:rPr>
        <w:t>пъти повече в сравнение с 20</w:t>
      </w:r>
      <w:r w:rsidRPr="006E3F07">
        <w:rPr>
          <w:rFonts w:ascii="Verdana" w:eastAsia="Calibri" w:hAnsi="Verdana"/>
          <w:sz w:val="20"/>
          <w:szCs w:val="20"/>
          <w:lang w:val="en-US"/>
        </w:rPr>
        <w:t>1</w:t>
      </w:r>
      <w:r w:rsidR="00DF653D">
        <w:rPr>
          <w:rFonts w:ascii="Verdana" w:eastAsia="Calibri" w:hAnsi="Verdana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sz w:val="20"/>
          <w:szCs w:val="20"/>
        </w:rPr>
        <w:t xml:space="preserve"> година;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color w:val="000000"/>
          <w:sz w:val="20"/>
          <w:szCs w:val="20"/>
        </w:rPr>
        <w:t>Разходите за облекло и обувки през 202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са 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435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лева. В сравнение с предходната година те нарастват с 2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>.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0</w:t>
      </w:r>
      <w:r w:rsidRPr="006E3F07">
        <w:rPr>
          <w:rFonts w:ascii="Verdana" w:eastAsia="Calibri" w:hAnsi="Verdana"/>
          <w:color w:val="000000"/>
          <w:sz w:val="20"/>
          <w:szCs w:val="20"/>
        </w:rPr>
        <w:t>%, а спрямо 201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</w:t>
      </w:r>
      <w:r w:rsidR="005929AD">
        <w:rPr>
          <w:rFonts w:ascii="Verdana" w:hAnsi="Verdana"/>
          <w:sz w:val="20"/>
          <w:szCs w:val="20"/>
          <w:lang w:val="ru-RU"/>
        </w:rPr>
        <w:t xml:space="preserve"> -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2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.6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пъти;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  <w:tab w:val="left" w:pos="1276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color w:val="000000"/>
          <w:sz w:val="20"/>
          <w:szCs w:val="20"/>
        </w:rPr>
        <w:t>Разходите, свързани с жилището (вода, електроенергия,</w:t>
      </w:r>
      <w:r w:rsidRPr="006E3F07">
        <w:rPr>
          <w:rFonts w:ascii="Verdana" w:eastAsia="Calibri" w:hAnsi="Verdana"/>
          <w:color w:val="000000"/>
          <w:sz w:val="20"/>
          <w:szCs w:val="20"/>
          <w:lang w:val="ru-RU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горива, жилищно обзавеждане и поддържане на дома), за последната година са 1 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830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лева. В сравнение с 20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2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нарастват с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 xml:space="preserve"> 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8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.</w:t>
      </w:r>
      <w:r w:rsidRPr="006E3F07">
        <w:rPr>
          <w:rFonts w:ascii="Verdana" w:eastAsia="Calibri" w:hAnsi="Verdana"/>
          <w:color w:val="000000"/>
          <w:sz w:val="20"/>
          <w:szCs w:val="20"/>
        </w:rPr>
        <w:t>6%, а спрямо 20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1</w:t>
      </w:r>
      <w:r w:rsidR="00DF653D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се увеличават 2.2 пъти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hAnsi="Verdana"/>
          <w:sz w:val="20"/>
          <w:szCs w:val="20"/>
          <w:lang w:val="ru-RU"/>
        </w:rPr>
        <w:t>За здравеопазване през 20</w:t>
      </w:r>
      <w:r w:rsidRPr="006E3F07">
        <w:rPr>
          <w:rFonts w:ascii="Verdana" w:hAnsi="Verdana"/>
          <w:sz w:val="20"/>
          <w:szCs w:val="20"/>
          <w:lang w:val="en-US"/>
        </w:rPr>
        <w:t>2</w:t>
      </w:r>
      <w:r w:rsidR="00DF653D">
        <w:rPr>
          <w:rFonts w:ascii="Verdana" w:hAnsi="Verdana"/>
          <w:sz w:val="20"/>
          <w:szCs w:val="20"/>
          <w:lang w:val="en-US"/>
        </w:rPr>
        <w:t>4</w:t>
      </w:r>
      <w:r w:rsidRPr="006E3F07">
        <w:rPr>
          <w:rFonts w:ascii="Verdana" w:hAnsi="Verdana"/>
          <w:sz w:val="20"/>
          <w:szCs w:val="20"/>
          <w:lang w:val="ru-RU"/>
        </w:rPr>
        <w:t xml:space="preserve"> г. cа изразходвани </w:t>
      </w:r>
      <w:r w:rsidR="00DF653D">
        <w:rPr>
          <w:rFonts w:ascii="Verdana" w:hAnsi="Verdana"/>
          <w:sz w:val="20"/>
          <w:szCs w:val="20"/>
          <w:lang w:val="en-US"/>
        </w:rPr>
        <w:t>716</w:t>
      </w:r>
      <w:r w:rsidRPr="006E3F07">
        <w:rPr>
          <w:rFonts w:ascii="Verdana" w:hAnsi="Verdana"/>
          <w:sz w:val="20"/>
          <w:szCs w:val="20"/>
          <w:lang w:val="ru-RU"/>
        </w:rPr>
        <w:t xml:space="preserve"> лв. - с</w:t>
      </w:r>
      <w:r w:rsidR="00DF653D">
        <w:rPr>
          <w:rFonts w:ascii="Verdana" w:hAnsi="Verdana"/>
          <w:sz w:val="20"/>
          <w:szCs w:val="20"/>
          <w:lang w:val="ru-RU"/>
        </w:rPr>
        <w:t>ъс</w:t>
      </w:r>
      <w:r w:rsidRPr="006E3F07">
        <w:rPr>
          <w:rFonts w:ascii="Verdana" w:hAnsi="Verdana"/>
          <w:sz w:val="20"/>
          <w:szCs w:val="20"/>
          <w:lang w:val="ru-RU"/>
        </w:rPr>
        <w:t xml:space="preserve"> 1</w:t>
      </w:r>
      <w:r w:rsidR="00DF653D">
        <w:rPr>
          <w:rFonts w:ascii="Verdana" w:hAnsi="Verdana"/>
          <w:sz w:val="20"/>
          <w:szCs w:val="20"/>
          <w:lang w:val="en-US"/>
        </w:rPr>
        <w:t>7</w:t>
      </w:r>
      <w:r w:rsidRPr="006E3F07">
        <w:rPr>
          <w:rFonts w:ascii="Verdana" w:hAnsi="Verdana"/>
          <w:sz w:val="20"/>
          <w:szCs w:val="20"/>
          <w:lang w:val="ru-RU"/>
        </w:rPr>
        <w:t>.</w:t>
      </w:r>
      <w:r w:rsidR="00DF653D">
        <w:rPr>
          <w:rFonts w:ascii="Verdana" w:hAnsi="Verdana"/>
          <w:sz w:val="20"/>
          <w:szCs w:val="20"/>
          <w:lang w:val="en-US"/>
        </w:rPr>
        <w:t>4</w:t>
      </w:r>
      <w:r w:rsidRPr="006E3F07">
        <w:rPr>
          <w:rFonts w:ascii="Verdana" w:hAnsi="Verdana"/>
          <w:sz w:val="20"/>
          <w:szCs w:val="20"/>
          <w:lang w:val="ru-RU"/>
        </w:rPr>
        <w:t>% повече от 202</w:t>
      </w:r>
      <w:r w:rsidR="00DF653D">
        <w:rPr>
          <w:rFonts w:ascii="Verdana" w:hAnsi="Verdana"/>
          <w:sz w:val="20"/>
          <w:szCs w:val="20"/>
          <w:lang w:val="en-US"/>
        </w:rPr>
        <w:t>3</w:t>
      </w:r>
      <w:r w:rsidRPr="006E3F07">
        <w:rPr>
          <w:rFonts w:ascii="Verdana" w:hAnsi="Verdana"/>
          <w:sz w:val="20"/>
          <w:szCs w:val="20"/>
          <w:lang w:val="ru-RU"/>
        </w:rPr>
        <w:t xml:space="preserve"> г. и 2.</w:t>
      </w:r>
      <w:r w:rsidR="00DF653D">
        <w:rPr>
          <w:rFonts w:ascii="Verdana" w:hAnsi="Verdana"/>
          <w:sz w:val="20"/>
          <w:szCs w:val="20"/>
          <w:lang w:val="en-US"/>
        </w:rPr>
        <w:t>9</w:t>
      </w:r>
      <w:r w:rsidRPr="006E3F07">
        <w:rPr>
          <w:rFonts w:ascii="Verdana" w:hAnsi="Verdana"/>
          <w:sz w:val="20"/>
          <w:szCs w:val="20"/>
          <w:lang w:val="ru-RU"/>
        </w:rPr>
        <w:t xml:space="preserve"> пъти повече спрямо 201</w:t>
      </w:r>
      <w:r w:rsidR="00DF653D">
        <w:rPr>
          <w:rFonts w:ascii="Verdana" w:hAnsi="Verdana"/>
          <w:sz w:val="20"/>
          <w:szCs w:val="20"/>
          <w:lang w:val="en-US"/>
        </w:rPr>
        <w:t>5</w:t>
      </w:r>
      <w:r w:rsidRPr="006E3F07">
        <w:rPr>
          <w:rFonts w:ascii="Verdana" w:hAnsi="Verdana"/>
          <w:sz w:val="20"/>
          <w:szCs w:val="20"/>
          <w:lang w:val="ru-RU"/>
        </w:rPr>
        <w:t xml:space="preserve"> година</w:t>
      </w:r>
      <w:r w:rsidRPr="006E3F07">
        <w:rPr>
          <w:rFonts w:ascii="Verdana" w:hAnsi="Verdana"/>
          <w:sz w:val="20"/>
          <w:szCs w:val="20"/>
          <w:lang w:val="en-US"/>
        </w:rPr>
        <w:t>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color w:val="000000"/>
          <w:sz w:val="20"/>
          <w:szCs w:val="20"/>
        </w:rPr>
        <w:lastRenderedPageBreak/>
        <w:t>За транспорт и съобщения през 202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са похарчени </w:t>
      </w:r>
      <w:r w:rsidRPr="006E3F07">
        <w:rPr>
          <w:rFonts w:ascii="Verdana" w:eastAsia="Calibri" w:hAnsi="Verdana"/>
          <w:sz w:val="20"/>
          <w:szCs w:val="20"/>
        </w:rPr>
        <w:t>1 </w:t>
      </w:r>
      <w:r w:rsidR="00177DBC">
        <w:rPr>
          <w:rFonts w:ascii="Verdana" w:eastAsia="Calibri" w:hAnsi="Verdana"/>
          <w:sz w:val="20"/>
          <w:szCs w:val="20"/>
          <w:lang w:val="en-US"/>
        </w:rPr>
        <w:t>319</w:t>
      </w:r>
      <w:r w:rsidRPr="006E3F07">
        <w:rPr>
          <w:rFonts w:ascii="Verdana" w:eastAsia="Calibri" w:hAnsi="Verdana"/>
          <w:sz w:val="20"/>
          <w:szCs w:val="20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szCs w:val="20"/>
        </w:rPr>
        <w:t>лв., което е с 1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.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8</w:t>
      </w:r>
      <w:r w:rsidR="00545D1C">
        <w:rPr>
          <w:rFonts w:ascii="Verdana" w:eastAsia="Calibri" w:hAnsi="Verdana"/>
          <w:color w:val="000000"/>
          <w:sz w:val="20"/>
          <w:szCs w:val="20"/>
        </w:rPr>
        <w:t>%</w:t>
      </w:r>
      <w:r w:rsidR="00545D1C">
        <w:rPr>
          <w:rFonts w:ascii="Verdana" w:eastAsia="Calibri" w:hAnsi="Verdana"/>
          <w:color w:val="000000"/>
          <w:sz w:val="20"/>
          <w:szCs w:val="20"/>
          <w:lang w:val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szCs w:val="20"/>
        </w:rPr>
        <w:t>повече</w:t>
      </w:r>
      <w:r w:rsidR="00545D1C">
        <w:rPr>
          <w:rFonts w:ascii="Verdana" w:eastAsia="Calibri" w:hAnsi="Verdana"/>
          <w:color w:val="000000"/>
          <w:sz w:val="20"/>
          <w:szCs w:val="20"/>
          <w:lang w:val="en-US"/>
        </w:rPr>
        <w:t xml:space="preserve"> </w:t>
      </w:r>
      <w:r w:rsidR="00545D1C">
        <w:rPr>
          <w:rFonts w:ascii="Verdana" w:eastAsia="Calibri" w:hAnsi="Verdana"/>
          <w:color w:val="000000"/>
          <w:sz w:val="20"/>
          <w:szCs w:val="20"/>
        </w:rPr>
        <w:t>от</w:t>
      </w:r>
      <w:r w:rsidR="00545D1C">
        <w:rPr>
          <w:rFonts w:ascii="Verdana" w:eastAsia="Calibri" w:hAnsi="Verdana"/>
          <w:color w:val="000000"/>
          <w:sz w:val="20"/>
          <w:szCs w:val="20"/>
          <w:lang w:val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szCs w:val="20"/>
        </w:rPr>
        <w:t>202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и 2.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szCs w:val="20"/>
        </w:rPr>
        <w:t>пъти повече спрямо 20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1</w:t>
      </w:r>
      <w:r w:rsidR="00177DBC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година;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color w:val="000000"/>
          <w:sz w:val="20"/>
          <w:szCs w:val="20"/>
        </w:rPr>
        <w:t>Разходите за свободно време, културен отдих и образование през 202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са 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780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лева. В сравнение с 202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те се увеличават с 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39</w:t>
      </w:r>
      <w:r w:rsidRPr="006E3F07">
        <w:rPr>
          <w:rFonts w:ascii="Verdana" w:eastAsia="Calibri" w:hAnsi="Verdana"/>
          <w:color w:val="000000"/>
          <w:sz w:val="20"/>
          <w:szCs w:val="20"/>
        </w:rPr>
        <w:t>.8%, а спрямо 201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</w:t>
      </w:r>
      <w:r w:rsidRPr="006E3F07">
        <w:rPr>
          <w:rFonts w:ascii="Verdana" w:hAnsi="Verdana"/>
          <w:sz w:val="20"/>
          <w:szCs w:val="20"/>
          <w:lang w:val="ru-RU"/>
        </w:rPr>
        <w:t>-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>.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пъти;</w:t>
      </w:r>
    </w:p>
    <w:p w:rsidR="006E3F07" w:rsidRPr="006E3F07" w:rsidRDefault="006E3F07" w:rsidP="00F85ECA">
      <w:pPr>
        <w:pStyle w:val="ListParagraph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360" w:lineRule="auto"/>
        <w:ind w:left="0" w:firstLine="567"/>
        <w:jc w:val="both"/>
        <w:rPr>
          <w:rFonts w:ascii="Verdana" w:hAnsi="Verdana"/>
          <w:sz w:val="20"/>
          <w:szCs w:val="20"/>
          <w:lang w:val="ru-RU"/>
        </w:rPr>
      </w:pPr>
      <w:r w:rsidRPr="006E3F07">
        <w:rPr>
          <w:rFonts w:ascii="Verdana" w:eastAsia="Calibri" w:hAnsi="Verdana"/>
          <w:color w:val="000000"/>
          <w:sz w:val="20"/>
          <w:szCs w:val="20"/>
        </w:rPr>
        <w:t>През последната година разходите за данъци и социални осигуровки са в размер на 1 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640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лв. и се увеличават с 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21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.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0</w:t>
      </w:r>
      <w:r w:rsidRPr="006E3F07">
        <w:rPr>
          <w:rFonts w:ascii="Verdana" w:eastAsia="Calibri" w:hAnsi="Verdana"/>
          <w:color w:val="000000"/>
          <w:sz w:val="20"/>
          <w:szCs w:val="20"/>
        </w:rPr>
        <w:t>% в сравнение с 202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г., а спрямо 20</w:t>
      </w:r>
      <w:r w:rsidRPr="006E3F07">
        <w:rPr>
          <w:rFonts w:ascii="Verdana" w:eastAsia="Calibri" w:hAnsi="Verdana"/>
          <w:color w:val="000000"/>
          <w:sz w:val="20"/>
          <w:szCs w:val="20"/>
          <w:lang w:val="en-US"/>
        </w:rPr>
        <w:t>1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г. нарастват 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3</w:t>
      </w:r>
      <w:r w:rsidRPr="006E3F07">
        <w:rPr>
          <w:rFonts w:ascii="Verdana" w:eastAsia="Calibri" w:hAnsi="Verdana"/>
          <w:color w:val="000000"/>
          <w:sz w:val="20"/>
          <w:szCs w:val="20"/>
        </w:rPr>
        <w:t>.</w:t>
      </w:r>
      <w:r w:rsidR="004F2A81">
        <w:rPr>
          <w:rFonts w:ascii="Verdana" w:eastAsia="Calibri" w:hAnsi="Verdana"/>
          <w:color w:val="000000"/>
          <w:sz w:val="20"/>
          <w:szCs w:val="20"/>
          <w:lang w:val="en-US"/>
        </w:rPr>
        <w:t>1</w:t>
      </w:r>
      <w:r w:rsidRPr="006E3F07">
        <w:rPr>
          <w:rFonts w:ascii="Verdana" w:eastAsia="Calibri" w:hAnsi="Verdana"/>
          <w:color w:val="000000"/>
          <w:sz w:val="20"/>
          <w:szCs w:val="20"/>
        </w:rPr>
        <w:t xml:space="preserve"> пъти.</w:t>
      </w:r>
    </w:p>
    <w:p w:rsidR="006E3F07" w:rsidRPr="006E3F07" w:rsidRDefault="006E3F07" w:rsidP="00A901BD">
      <w:pPr>
        <w:autoSpaceDE w:val="0"/>
        <w:autoSpaceDN w:val="0"/>
        <w:spacing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Calibri" w:hAnsi="Verdana"/>
          <w:sz w:val="20"/>
          <w:lang w:val="bg-BG" w:eastAsia="en-US"/>
        </w:rPr>
        <w:t>През 202</w:t>
      </w:r>
      <w:r w:rsidR="004F2A81">
        <w:rPr>
          <w:rFonts w:ascii="Verdana" w:eastAsia="Calibri" w:hAnsi="Verdana"/>
          <w:sz w:val="20"/>
          <w:lang w:val="en-US" w:eastAsia="en-US"/>
        </w:rPr>
        <w:t>4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относителният дял на разходите за храна и безалкохолни напитки от общия разход е</w:t>
      </w:r>
      <w:r w:rsidRPr="006E3F07">
        <w:rPr>
          <w:rFonts w:ascii="Verdana" w:eastAsia="Calibri" w:hAnsi="Verdana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sz w:val="20"/>
          <w:lang w:val="bg-BG" w:eastAsia="en-US"/>
        </w:rPr>
        <w:t>2</w:t>
      </w:r>
      <w:r w:rsidR="004F2A81">
        <w:rPr>
          <w:rFonts w:ascii="Verdana" w:eastAsia="Calibri" w:hAnsi="Verdana"/>
          <w:sz w:val="20"/>
          <w:lang w:val="en-US" w:eastAsia="en-US"/>
        </w:rPr>
        <w:t>8</w:t>
      </w:r>
      <w:r w:rsidRPr="006E3F07">
        <w:rPr>
          <w:rFonts w:ascii="Verdana" w:eastAsia="Calibri" w:hAnsi="Verdana"/>
          <w:sz w:val="20"/>
          <w:lang w:val="en-US" w:eastAsia="en-US"/>
        </w:rPr>
        <w:t>.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7%, което е с </w:t>
      </w:r>
      <w:r w:rsidR="004F2A81">
        <w:rPr>
          <w:rFonts w:ascii="Verdana" w:eastAsia="Calibri" w:hAnsi="Verdana"/>
          <w:sz w:val="20"/>
          <w:lang w:val="en-US" w:eastAsia="en-US"/>
        </w:rPr>
        <w:t>1</w:t>
      </w:r>
      <w:r w:rsidRPr="006E3F07">
        <w:rPr>
          <w:rFonts w:ascii="Verdana" w:eastAsia="Calibri" w:hAnsi="Verdana"/>
          <w:sz w:val="20"/>
          <w:lang w:val="en-US" w:eastAsia="en-US"/>
        </w:rPr>
        <w:t>.</w:t>
      </w:r>
      <w:r w:rsidR="004F2A81">
        <w:rPr>
          <w:rFonts w:ascii="Verdana" w:eastAsia="Calibri" w:hAnsi="Verdana"/>
          <w:sz w:val="20"/>
          <w:lang w:val="en-US" w:eastAsia="en-US"/>
        </w:rPr>
        <w:t>0</w:t>
      </w:r>
      <w:r w:rsidRPr="006E3F07">
        <w:rPr>
          <w:rFonts w:ascii="Verdana" w:eastAsia="Calibri" w:hAnsi="Verdana"/>
          <w:sz w:val="20"/>
          <w:lang w:val="en-US" w:eastAsia="en-US"/>
        </w:rPr>
        <w:t xml:space="preserve"> </w:t>
      </w:r>
      <w:r w:rsidRPr="00225D15">
        <w:rPr>
          <w:rFonts w:ascii="Verdana" w:eastAsia="Calibri" w:hAnsi="Verdana"/>
          <w:sz w:val="20"/>
          <w:lang w:val="bg-BG" w:eastAsia="en-US"/>
        </w:rPr>
        <w:t>процентни пункта по</w:t>
      </w:r>
      <w:r w:rsidRPr="006E3F07">
        <w:rPr>
          <w:rFonts w:ascii="Verdana" w:eastAsia="Calibri" w:hAnsi="Verdana"/>
          <w:sz w:val="20"/>
          <w:lang w:val="en-US" w:eastAsia="en-US"/>
        </w:rPr>
        <w:t>-</w:t>
      </w:r>
      <w:r w:rsidRPr="006E3F07">
        <w:rPr>
          <w:rFonts w:ascii="Verdana" w:eastAsia="Calibri" w:hAnsi="Verdana"/>
          <w:sz w:val="20"/>
          <w:lang w:val="bg-BG" w:eastAsia="en-US"/>
        </w:rPr>
        <w:t>малко в сравнение с 202</w:t>
      </w:r>
      <w:r w:rsidR="004F2A81">
        <w:rPr>
          <w:rFonts w:ascii="Verdana" w:eastAsia="Calibri" w:hAnsi="Verdana"/>
          <w:sz w:val="20"/>
          <w:lang w:val="en-US" w:eastAsia="en-US"/>
        </w:rPr>
        <w:t>3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и с </w:t>
      </w:r>
      <w:r w:rsidRPr="006E3F07">
        <w:rPr>
          <w:rFonts w:ascii="Verdana" w:eastAsia="Calibri" w:hAnsi="Verdana"/>
          <w:sz w:val="20"/>
          <w:lang w:val="en-US" w:eastAsia="en-US"/>
        </w:rPr>
        <w:t>2.</w:t>
      </w:r>
      <w:r w:rsidR="004F2A81">
        <w:rPr>
          <w:rFonts w:ascii="Verdana" w:eastAsia="Calibri" w:hAnsi="Verdana"/>
          <w:sz w:val="20"/>
          <w:lang w:val="en-US" w:eastAsia="en-US"/>
        </w:rPr>
        <w:t>7</w:t>
      </w:r>
      <w:r w:rsidRPr="006E3F07">
        <w:rPr>
          <w:rFonts w:ascii="Verdana" w:eastAsia="Calibri" w:hAnsi="Verdana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процентни пункта </w:t>
      </w:r>
      <w:r w:rsidRPr="00225D15">
        <w:rPr>
          <w:rFonts w:ascii="Verdana" w:eastAsia="Calibri" w:hAnsi="Verdana"/>
          <w:sz w:val="20"/>
          <w:lang w:val="bg-BG" w:eastAsia="en-US"/>
        </w:rPr>
        <w:t xml:space="preserve">по-малко </w:t>
      </w:r>
      <w:r w:rsidRPr="006E3F07">
        <w:rPr>
          <w:rFonts w:ascii="Verdana" w:eastAsia="Calibri" w:hAnsi="Verdana"/>
          <w:sz w:val="20"/>
          <w:lang w:val="bg-BG" w:eastAsia="en-US"/>
        </w:rPr>
        <w:t>спрямо 20</w:t>
      </w:r>
      <w:r w:rsidRPr="006E3F07">
        <w:rPr>
          <w:rFonts w:ascii="Verdana" w:eastAsia="Calibri" w:hAnsi="Verdana"/>
          <w:sz w:val="20"/>
          <w:lang w:val="en-US" w:eastAsia="en-US"/>
        </w:rPr>
        <w:t>1</w:t>
      </w:r>
      <w:r w:rsidR="004F2A81">
        <w:rPr>
          <w:rFonts w:ascii="Verdana" w:eastAsia="Calibri" w:hAnsi="Verdana"/>
          <w:sz w:val="20"/>
          <w:lang w:val="en-US" w:eastAsia="en-US"/>
        </w:rPr>
        <w:t>5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година</w:t>
      </w:r>
      <w:r w:rsidR="006A14B6">
        <w:rPr>
          <w:rFonts w:ascii="Verdana" w:eastAsia="Calibri" w:hAnsi="Verdana"/>
          <w:sz w:val="20"/>
          <w:lang w:val="en-US" w:eastAsia="en-US"/>
        </w:rPr>
        <w:t xml:space="preserve"> </w:t>
      </w:r>
      <w:r w:rsidR="006A14B6" w:rsidRPr="006E3F07">
        <w:rPr>
          <w:rFonts w:ascii="Verdana" w:eastAsia="Calibri" w:hAnsi="Verdana"/>
          <w:sz w:val="20"/>
          <w:lang w:val="bg-BG" w:eastAsia="en-US"/>
        </w:rPr>
        <w:t>(</w:t>
      </w:r>
      <w:r w:rsidR="006A14B6">
        <w:rPr>
          <w:rFonts w:ascii="Verdana" w:eastAsia="Calibri" w:hAnsi="Verdana"/>
          <w:sz w:val="20"/>
          <w:lang w:val="bg-BG" w:eastAsia="en-US"/>
        </w:rPr>
        <w:t>виж фиг. 4</w:t>
      </w:r>
      <w:r w:rsidR="006A14B6" w:rsidRPr="006E3F07">
        <w:rPr>
          <w:rFonts w:ascii="Verdana" w:eastAsia="Calibri" w:hAnsi="Verdana"/>
          <w:sz w:val="20"/>
          <w:lang w:val="bg-BG" w:eastAsia="en-US"/>
        </w:rPr>
        <w:t>)</w:t>
      </w:r>
      <w:r w:rsidRPr="006E3F07">
        <w:rPr>
          <w:rFonts w:ascii="Verdana" w:eastAsia="Calibri" w:hAnsi="Verdana"/>
          <w:sz w:val="20"/>
          <w:lang w:val="bg-BG" w:eastAsia="en-US"/>
        </w:rPr>
        <w:t>.</w:t>
      </w:r>
      <w:r w:rsidR="00A901BD">
        <w:rPr>
          <w:rFonts w:ascii="Verdana" w:eastAsia="Times New Roman" w:hAnsi="Verdana"/>
          <w:sz w:val="20"/>
          <w:lang w:val="bg-BG" w:eastAsia="en-US"/>
        </w:rPr>
        <w:t xml:space="preserve"> </w:t>
      </w:r>
    </w:p>
    <w:p w:rsidR="006E3F07" w:rsidRPr="006E3F07" w:rsidRDefault="006E3F07" w:rsidP="008146D2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Calibri" w:hAnsi="Verdana"/>
          <w:b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Фиг. </w:t>
      </w:r>
      <w:r w:rsidRPr="006E3F07">
        <w:rPr>
          <w:rFonts w:ascii="Verdana" w:eastAsia="Calibri" w:hAnsi="Verdana"/>
          <w:b/>
          <w:color w:val="000000"/>
          <w:sz w:val="20"/>
          <w:lang w:val="ru-RU" w:eastAsia="en-US"/>
        </w:rPr>
        <w:t>4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. Относителен дял на разхода за храна и безалкохолни напитки в</w:t>
      </w:r>
      <w:r w:rsidR="00A71288">
        <w:rPr>
          <w:rFonts w:ascii="Verdana" w:eastAsia="Calibri" w:hAnsi="Verdana"/>
          <w:b/>
          <w:color w:val="000000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общия разход на домакинствата</w:t>
      </w:r>
    </w:p>
    <w:p w:rsidR="006E3F07" w:rsidRPr="006E3F07" w:rsidRDefault="003C5EE5" w:rsidP="006E3F07">
      <w:pPr>
        <w:autoSpaceDE w:val="0"/>
        <w:autoSpaceDN w:val="0"/>
        <w:adjustRightInd w:val="0"/>
        <w:spacing w:after="200" w:line="276" w:lineRule="auto"/>
        <w:jc w:val="center"/>
        <w:rPr>
          <w:rFonts w:ascii="Verdana" w:hAnsi="Verdana"/>
          <w:noProof/>
          <w:sz w:val="20"/>
          <w:lang w:val="en-US"/>
        </w:rPr>
      </w:pPr>
      <w:r>
        <w:rPr>
          <w:noProof/>
          <w:lang w:val="bg-BG"/>
        </w:rPr>
        <w:drawing>
          <wp:inline distT="0" distB="0" distL="0" distR="0" wp14:anchorId="21F6EBB5" wp14:editId="31504429">
            <wp:extent cx="5231572" cy="2282024"/>
            <wp:effectExtent l="0" t="0" r="7620" b="4445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A22" w:rsidRPr="008D209A" w:rsidRDefault="006E3F07" w:rsidP="00995A22">
      <w:pPr>
        <w:autoSpaceDE w:val="0"/>
        <w:autoSpaceDN w:val="0"/>
        <w:spacing w:before="160" w:line="360" w:lineRule="auto"/>
        <w:ind w:firstLine="567"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Относителният дял на разходите, свързани с жилището, </w:t>
      </w:r>
      <w:r w:rsidRPr="006E3F07">
        <w:rPr>
          <w:rFonts w:ascii="Verdana" w:eastAsia="Calibri" w:hAnsi="Verdana"/>
          <w:color w:val="000000"/>
          <w:sz w:val="20"/>
          <w:lang w:val="bg-BG"/>
        </w:rPr>
        <w:t>през 202</w:t>
      </w:r>
      <w:r w:rsidR="007B1B0D">
        <w:rPr>
          <w:rFonts w:ascii="Verdana" w:eastAsia="Calibri" w:hAnsi="Verdana"/>
          <w:color w:val="000000"/>
          <w:sz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/>
        </w:rPr>
        <w:t xml:space="preserve"> г. е</w:t>
      </w:r>
      <w:r w:rsidRPr="006E3F07">
        <w:rPr>
          <w:rFonts w:ascii="Verdana" w:eastAsia="Calibri" w:hAnsi="Verdana"/>
          <w:color w:val="000000"/>
          <w:sz w:val="20"/>
          <w:lang w:val="en-US"/>
        </w:rPr>
        <w:t xml:space="preserve"> 1</w:t>
      </w:r>
      <w:r w:rsidR="007B1B0D">
        <w:rPr>
          <w:rFonts w:ascii="Verdana" w:eastAsia="Calibri" w:hAnsi="Verdana"/>
          <w:color w:val="000000"/>
          <w:sz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en-US"/>
        </w:rPr>
        <w:t>.</w:t>
      </w:r>
      <w:r w:rsidR="007B1B0D">
        <w:rPr>
          <w:rFonts w:ascii="Verdana" w:eastAsia="Calibri" w:hAnsi="Verdana"/>
          <w:color w:val="000000"/>
          <w:sz w:val="20"/>
          <w:lang w:val="en-US"/>
        </w:rPr>
        <w:t>7</w:t>
      </w:r>
      <w:r w:rsidRPr="006E3F07">
        <w:rPr>
          <w:rFonts w:ascii="Verdana" w:eastAsia="Calibri" w:hAnsi="Verdana"/>
          <w:color w:val="000000"/>
          <w:sz w:val="20"/>
          <w:lang w:val="bg-BG"/>
        </w:rPr>
        <w:t xml:space="preserve">% от общия разход </w:t>
      </w:r>
      <w:r w:rsidRPr="006E3F07">
        <w:rPr>
          <w:rFonts w:ascii="Verdana" w:eastAsia="Times New Roman" w:hAnsi="Verdana"/>
          <w:sz w:val="20"/>
          <w:lang w:val="bg-BG" w:eastAsia="en-US"/>
        </w:rPr>
        <w:t>и намалява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2</w:t>
      </w:r>
      <w:r w:rsidR="007B1B0D">
        <w:rPr>
          <w:rFonts w:ascii="Verdana" w:eastAsia="Times New Roman" w:hAnsi="Verdana"/>
          <w:sz w:val="20"/>
          <w:lang w:val="en-US" w:eastAsia="en-US"/>
        </w:rPr>
        <w:t>3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с 1</w:t>
      </w:r>
      <w:r w:rsidRPr="006E3F07">
        <w:rPr>
          <w:rFonts w:ascii="Verdana" w:eastAsia="Times New Roman" w:hAnsi="Verdana"/>
          <w:sz w:val="20"/>
          <w:lang w:val="en-US" w:eastAsia="en-US"/>
        </w:rPr>
        <w:t>.</w:t>
      </w:r>
      <w:r w:rsidR="007B1B0D">
        <w:rPr>
          <w:rFonts w:ascii="Verdana" w:eastAsia="Times New Roman" w:hAnsi="Verdana"/>
          <w:sz w:val="20"/>
          <w:lang w:val="en-US" w:eastAsia="en-US"/>
        </w:rPr>
        <w:t>1</w:t>
      </w:r>
      <w:r w:rsidRPr="006E3F07">
        <w:rPr>
          <w:rFonts w:ascii="Verdana" w:eastAsia="Times New Roman" w:hAnsi="Verdana"/>
          <w:sz w:val="20"/>
          <w:lang w:val="en-US" w:eastAsia="en-US"/>
        </w:rPr>
        <w:t xml:space="preserve"> </w:t>
      </w:r>
      <w:r w:rsidRPr="006E3F07">
        <w:rPr>
          <w:rFonts w:ascii="Verdana" w:eastAsia="Times New Roman" w:hAnsi="Verdana"/>
          <w:sz w:val="20"/>
          <w:lang w:val="bg-BG" w:eastAsia="en-US"/>
        </w:rPr>
        <w:t>процентни пункта, а спрямо 20</w:t>
      </w:r>
      <w:r w:rsidRPr="006E3F07">
        <w:rPr>
          <w:rFonts w:ascii="Verdana" w:eastAsia="Times New Roman" w:hAnsi="Verdana"/>
          <w:sz w:val="20"/>
          <w:lang w:val="en-US" w:eastAsia="en-US"/>
        </w:rPr>
        <w:t>1</w:t>
      </w:r>
      <w:r w:rsidR="007B1B0D">
        <w:rPr>
          <w:rFonts w:ascii="Verdana" w:eastAsia="Times New Roman" w:hAnsi="Verdana"/>
          <w:sz w:val="20"/>
          <w:lang w:val="en-US" w:eastAsia="en-US"/>
        </w:rPr>
        <w:t>5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г. </w:t>
      </w:r>
      <w:r w:rsidRPr="00225D15">
        <w:rPr>
          <w:rFonts w:ascii="Verdana" w:eastAsia="Times New Roman" w:hAnsi="Verdana"/>
          <w:sz w:val="20"/>
          <w:lang w:val="bg-BG" w:eastAsia="en-US"/>
        </w:rPr>
        <w:t>намалява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с </w:t>
      </w:r>
      <w:r w:rsidR="007B1B0D">
        <w:rPr>
          <w:rFonts w:ascii="Verdana" w:eastAsia="Times New Roman" w:hAnsi="Verdana"/>
          <w:sz w:val="20"/>
          <w:lang w:val="en-US" w:eastAsia="en-US"/>
        </w:rPr>
        <w:t>2</w:t>
      </w:r>
      <w:r w:rsidRPr="006E3F07">
        <w:rPr>
          <w:rFonts w:ascii="Verdana" w:eastAsia="Times New Roman" w:hAnsi="Verdana"/>
          <w:sz w:val="20"/>
          <w:lang w:val="en-US" w:eastAsia="en-US"/>
        </w:rPr>
        <w:t>.</w:t>
      </w:r>
      <w:r w:rsidRPr="006E3F07">
        <w:rPr>
          <w:rFonts w:ascii="Verdana" w:eastAsia="Times New Roman" w:hAnsi="Verdana"/>
          <w:sz w:val="20"/>
          <w:lang w:val="bg-BG" w:eastAsia="en-US"/>
        </w:rPr>
        <w:t>3 процентни пункта (</w:t>
      </w:r>
      <w:r w:rsidR="0062013D">
        <w:rPr>
          <w:rFonts w:ascii="Verdana" w:eastAsia="Times New Roman" w:hAnsi="Verdana"/>
          <w:sz w:val="20"/>
          <w:lang w:val="bg-BG" w:eastAsia="en-US"/>
        </w:rPr>
        <w:t xml:space="preserve">виж </w:t>
      </w:r>
      <w:r w:rsidRPr="006E3F07">
        <w:rPr>
          <w:rFonts w:ascii="Verdana" w:eastAsia="Times New Roman" w:hAnsi="Verdana"/>
          <w:sz w:val="20"/>
          <w:lang w:val="bg-BG" w:eastAsia="en-US"/>
        </w:rPr>
        <w:t>фиг. 5).</w:t>
      </w:r>
    </w:p>
    <w:p w:rsidR="00783542" w:rsidRPr="006E3F07" w:rsidRDefault="00783542" w:rsidP="00995A22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Calibri" w:hAnsi="Verdana"/>
          <w:b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Фиг. </w:t>
      </w:r>
      <w:r w:rsidRPr="006E3F07">
        <w:rPr>
          <w:rFonts w:ascii="Verdana" w:eastAsia="Calibri" w:hAnsi="Verdana"/>
          <w:b/>
          <w:color w:val="000000"/>
          <w:sz w:val="20"/>
          <w:lang w:val="ru-RU" w:eastAsia="en-US"/>
        </w:rPr>
        <w:t>5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. Относителен дял на </w:t>
      </w:r>
      <w:r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разхода за жилището 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в общия разход</w:t>
      </w:r>
      <w:r w:rsidRPr="00995A22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 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на домакинствата</w:t>
      </w:r>
    </w:p>
    <w:p w:rsidR="00783542" w:rsidRDefault="00644454" w:rsidP="00083921">
      <w:pPr>
        <w:autoSpaceDE w:val="0"/>
        <w:autoSpaceDN w:val="0"/>
        <w:spacing w:line="360" w:lineRule="auto"/>
        <w:ind w:firstLine="567"/>
        <w:jc w:val="both"/>
        <w:rPr>
          <w:rFonts w:ascii="Verdana" w:eastAsia="Calibri" w:hAnsi="Verdana"/>
          <w:sz w:val="20"/>
          <w:lang w:val="bg-BG" w:eastAsia="en-US"/>
        </w:rPr>
      </w:pPr>
      <w:r>
        <w:rPr>
          <w:noProof/>
          <w:lang w:val="bg-BG"/>
        </w:rPr>
        <w:drawing>
          <wp:inline distT="0" distB="0" distL="0" distR="0" wp14:anchorId="63890CEB" wp14:editId="5C04C886">
            <wp:extent cx="5295569" cy="2051437"/>
            <wp:effectExtent l="0" t="0" r="635" b="635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E3F07" w:rsidRPr="006E3F07" w:rsidRDefault="006E3F07" w:rsidP="009E4921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Calibri" w:hAnsi="Verdana"/>
          <w:sz w:val="20"/>
          <w:lang w:val="bg-BG" w:eastAsia="en-US"/>
        </w:rPr>
      </w:pPr>
      <w:r w:rsidRPr="006E3F07">
        <w:rPr>
          <w:rFonts w:ascii="Verdana" w:eastAsia="Calibri" w:hAnsi="Verdana"/>
          <w:sz w:val="20"/>
          <w:lang w:val="bg-BG" w:eastAsia="en-US"/>
        </w:rPr>
        <w:lastRenderedPageBreak/>
        <w:t xml:space="preserve">Делът на разходите </w:t>
      </w:r>
      <w:r w:rsidRPr="006E3F07">
        <w:rPr>
          <w:rFonts w:ascii="Verdana" w:eastAsia="Calibri" w:hAnsi="Verdana"/>
          <w:color w:val="000000"/>
          <w:sz w:val="20"/>
          <w:lang w:val="bg-BG"/>
        </w:rPr>
        <w:t>за данъци и социални осигуровки е</w:t>
      </w:r>
      <w:r w:rsidRPr="006E3F07">
        <w:rPr>
          <w:rFonts w:ascii="Verdana" w:eastAsia="Calibri" w:hAnsi="Verdana"/>
          <w:color w:val="000000"/>
          <w:sz w:val="20"/>
          <w:lang w:val="en-US"/>
        </w:rPr>
        <w:t xml:space="preserve"> 1</w:t>
      </w:r>
      <w:r w:rsidR="007B1B0D">
        <w:rPr>
          <w:rFonts w:ascii="Verdana" w:eastAsia="Calibri" w:hAnsi="Verdana"/>
          <w:color w:val="000000"/>
          <w:sz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en-US"/>
        </w:rPr>
        <w:t>.</w:t>
      </w:r>
      <w:r w:rsidR="007B1B0D">
        <w:rPr>
          <w:rFonts w:ascii="Verdana" w:eastAsia="Calibri" w:hAnsi="Verdana"/>
          <w:color w:val="000000"/>
          <w:sz w:val="20"/>
          <w:lang w:val="en-US"/>
        </w:rPr>
        <w:t>0</w:t>
      </w:r>
      <w:r w:rsidRPr="006E3F07">
        <w:rPr>
          <w:rFonts w:ascii="Verdana" w:eastAsia="Calibri" w:hAnsi="Verdana"/>
          <w:color w:val="000000"/>
          <w:sz w:val="20"/>
          <w:lang w:val="bg-BG"/>
        </w:rPr>
        <w:t>% от общия разход през 202</w:t>
      </w:r>
      <w:r w:rsidR="007B1B0D">
        <w:rPr>
          <w:rFonts w:ascii="Verdana" w:eastAsia="Calibri" w:hAnsi="Verdana"/>
          <w:color w:val="000000"/>
          <w:sz w:val="20"/>
          <w:lang w:val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/>
        </w:rPr>
        <w:t xml:space="preserve"> г., което е с </w:t>
      </w:r>
      <w:r w:rsidR="007B1B0D">
        <w:rPr>
          <w:rFonts w:ascii="Verdana" w:eastAsia="Calibri" w:hAnsi="Verdana"/>
          <w:color w:val="000000"/>
          <w:sz w:val="20"/>
          <w:lang w:val="en-US"/>
        </w:rPr>
        <w:t>0</w:t>
      </w:r>
      <w:r w:rsidRPr="006E3F07">
        <w:rPr>
          <w:rFonts w:ascii="Verdana" w:eastAsia="Calibri" w:hAnsi="Verdana"/>
          <w:color w:val="000000"/>
          <w:sz w:val="20"/>
          <w:lang w:val="en-US"/>
        </w:rPr>
        <w:t>.</w:t>
      </w:r>
      <w:r w:rsidR="007B1B0D">
        <w:rPr>
          <w:rFonts w:ascii="Verdana" w:eastAsia="Calibri" w:hAnsi="Verdana"/>
          <w:color w:val="000000"/>
          <w:sz w:val="20"/>
          <w:lang w:val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en-US"/>
        </w:rPr>
        <w:t xml:space="preserve"> </w:t>
      </w:r>
      <w:r w:rsidRPr="006E3F07">
        <w:rPr>
          <w:rFonts w:ascii="Verdana" w:eastAsia="Calibri" w:hAnsi="Verdana"/>
          <w:sz w:val="20"/>
          <w:lang w:val="bg-BG" w:eastAsia="en-US"/>
        </w:rPr>
        <w:t>процентни пункта повече в сравнение с 202</w:t>
      </w:r>
      <w:r w:rsidR="007B1B0D">
        <w:rPr>
          <w:rFonts w:ascii="Verdana" w:eastAsia="Calibri" w:hAnsi="Verdana"/>
          <w:sz w:val="20"/>
          <w:lang w:val="en-US" w:eastAsia="en-US"/>
        </w:rPr>
        <w:t>3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и с 2.</w:t>
      </w:r>
      <w:r w:rsidR="007B1B0D">
        <w:rPr>
          <w:rFonts w:ascii="Verdana" w:eastAsia="Calibri" w:hAnsi="Verdana"/>
          <w:sz w:val="20"/>
          <w:lang w:val="en-US" w:eastAsia="en-US"/>
        </w:rPr>
        <w:t>6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процентни пункта повече спрямо 20</w:t>
      </w:r>
      <w:r w:rsidRPr="006E3F07">
        <w:rPr>
          <w:rFonts w:ascii="Verdana" w:eastAsia="Calibri" w:hAnsi="Verdana"/>
          <w:sz w:val="20"/>
          <w:lang w:val="en-US" w:eastAsia="en-US"/>
        </w:rPr>
        <w:t>1</w:t>
      </w:r>
      <w:r w:rsidR="007B1B0D">
        <w:rPr>
          <w:rFonts w:ascii="Verdana" w:eastAsia="Calibri" w:hAnsi="Verdana"/>
          <w:sz w:val="20"/>
          <w:lang w:val="en-US" w:eastAsia="en-US"/>
        </w:rPr>
        <w:t>5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година.</w:t>
      </w:r>
    </w:p>
    <w:p w:rsidR="006E3F07" w:rsidRPr="006E3F07" w:rsidRDefault="006E3F07" w:rsidP="00F85EC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Calibri" w:hAnsi="Verdana"/>
          <w:sz w:val="20"/>
          <w:lang w:val="bg-BG" w:eastAsia="en-US"/>
        </w:rPr>
      </w:pPr>
      <w:r w:rsidRPr="006E3F07">
        <w:rPr>
          <w:rFonts w:ascii="Verdana" w:eastAsia="Calibri" w:hAnsi="Verdana"/>
          <w:sz w:val="20"/>
          <w:lang w:val="bg-BG" w:eastAsia="en-US"/>
        </w:rPr>
        <w:t xml:space="preserve">Относителният дял на разходите за здравеопазване е 6.1%, </w:t>
      </w:r>
      <w:r w:rsidR="007B1B0D">
        <w:rPr>
          <w:rFonts w:ascii="Verdana" w:eastAsia="Calibri" w:hAnsi="Verdana"/>
          <w:sz w:val="20"/>
          <w:lang w:val="bg-BG" w:eastAsia="en-US"/>
        </w:rPr>
        <w:t xml:space="preserve">без промяна </w:t>
      </w:r>
      <w:r w:rsidRPr="006E3F07">
        <w:rPr>
          <w:rFonts w:ascii="Verdana" w:eastAsia="Calibri" w:hAnsi="Verdana"/>
          <w:sz w:val="20"/>
          <w:lang w:val="bg-BG" w:eastAsia="en-US"/>
        </w:rPr>
        <w:t>в сравнение с 202</w:t>
      </w:r>
      <w:r w:rsidR="007B1B0D">
        <w:rPr>
          <w:rFonts w:ascii="Verdana" w:eastAsia="Calibri" w:hAnsi="Verdana"/>
          <w:sz w:val="20"/>
          <w:lang w:val="bg-BG" w:eastAsia="en-US"/>
        </w:rPr>
        <w:t>3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и с 0.</w:t>
      </w:r>
      <w:r w:rsidR="007B1B0D">
        <w:rPr>
          <w:rFonts w:ascii="Verdana" w:eastAsia="Calibri" w:hAnsi="Verdana"/>
          <w:sz w:val="20"/>
          <w:lang w:val="bg-BG" w:eastAsia="en-US"/>
        </w:rPr>
        <w:t>8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процентни пункта повече в сравнение с 201</w:t>
      </w:r>
      <w:r w:rsidR="007B1B0D">
        <w:rPr>
          <w:rFonts w:ascii="Verdana" w:eastAsia="Calibri" w:hAnsi="Verdana"/>
          <w:sz w:val="20"/>
          <w:lang w:val="bg-BG" w:eastAsia="en-US"/>
        </w:rPr>
        <w:t>5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година.</w:t>
      </w:r>
    </w:p>
    <w:p w:rsidR="006E3F07" w:rsidRPr="006E3F07" w:rsidRDefault="006E3F07" w:rsidP="00F85EC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Calibri" w:hAnsi="Verdana"/>
          <w:b/>
          <w:sz w:val="20"/>
          <w:lang w:val="bg-BG" w:eastAsia="en-US"/>
        </w:rPr>
      </w:pPr>
      <w:r w:rsidRPr="006E3F07">
        <w:rPr>
          <w:rFonts w:ascii="Verdana" w:eastAsia="Calibri" w:hAnsi="Verdana"/>
          <w:sz w:val="20"/>
          <w:lang w:val="bg-BG" w:eastAsia="en-US"/>
        </w:rPr>
        <w:t>През периода 20</w:t>
      </w:r>
      <w:r w:rsidRPr="006E3F07">
        <w:rPr>
          <w:rFonts w:ascii="Verdana" w:eastAsia="Calibri" w:hAnsi="Verdana"/>
          <w:sz w:val="20"/>
          <w:lang w:val="en-US" w:eastAsia="en-US"/>
        </w:rPr>
        <w:t>1</w:t>
      </w:r>
      <w:r w:rsidR="007B1B0D">
        <w:rPr>
          <w:rFonts w:ascii="Verdana" w:eastAsia="Calibri" w:hAnsi="Verdana"/>
          <w:sz w:val="20"/>
          <w:lang w:val="bg-BG" w:eastAsia="en-US"/>
        </w:rPr>
        <w:t>5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- 202</w:t>
      </w:r>
      <w:r w:rsidR="007B1B0D">
        <w:rPr>
          <w:rFonts w:ascii="Verdana" w:eastAsia="Calibri" w:hAnsi="Verdana"/>
          <w:sz w:val="20"/>
          <w:lang w:val="bg-BG" w:eastAsia="en-US"/>
        </w:rPr>
        <w:t>4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г. делът на разходите за транспорт и съобщения в общия разход е в рамките на </w:t>
      </w:r>
      <w:r w:rsidRPr="006E3F07">
        <w:rPr>
          <w:rFonts w:ascii="Verdana" w:eastAsia="Calibri" w:hAnsi="Verdana"/>
          <w:sz w:val="20"/>
          <w:lang w:val="en-US" w:eastAsia="en-US"/>
        </w:rPr>
        <w:t>11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</w:t>
      </w:r>
      <w:r w:rsidRPr="006E3F07">
        <w:rPr>
          <w:rFonts w:ascii="Verdana" w:eastAsia="Calibri" w:hAnsi="Verdana"/>
          <w:sz w:val="20"/>
          <w:lang w:val="en-US" w:eastAsia="en-US"/>
        </w:rPr>
        <w:t>-</w:t>
      </w:r>
      <w:r w:rsidRPr="006E3F07">
        <w:rPr>
          <w:rFonts w:ascii="Verdana" w:eastAsia="Calibri" w:hAnsi="Verdana"/>
          <w:sz w:val="20"/>
          <w:lang w:val="bg-BG" w:eastAsia="en-US"/>
        </w:rPr>
        <w:t xml:space="preserve"> </w:t>
      </w:r>
      <w:r w:rsidRPr="006E3F07">
        <w:rPr>
          <w:rFonts w:ascii="Verdana" w:eastAsia="Calibri" w:hAnsi="Verdana"/>
          <w:sz w:val="20"/>
          <w:lang w:val="en-US" w:eastAsia="en-US"/>
        </w:rPr>
        <w:t>12</w:t>
      </w:r>
      <w:r w:rsidRPr="006E3F07">
        <w:rPr>
          <w:rFonts w:ascii="Verdana" w:eastAsia="Calibri" w:hAnsi="Verdana"/>
          <w:sz w:val="20"/>
          <w:lang w:val="bg-BG" w:eastAsia="en-US"/>
        </w:rPr>
        <w:t>%.</w:t>
      </w:r>
    </w:p>
    <w:p w:rsidR="006E3F07" w:rsidRPr="006E3F07" w:rsidRDefault="006E3F07" w:rsidP="00E2381B">
      <w:pPr>
        <w:autoSpaceDE w:val="0"/>
        <w:autoSpaceDN w:val="0"/>
        <w:adjustRightInd w:val="0"/>
        <w:spacing w:before="160" w:after="160" w:line="360" w:lineRule="auto"/>
        <w:ind w:firstLine="567"/>
        <w:jc w:val="both"/>
        <w:rPr>
          <w:rFonts w:ascii="Verdana" w:eastAsia="Calibri" w:hAnsi="Verdana"/>
          <w:b/>
          <w:bCs/>
          <w:color w:val="000000"/>
          <w:sz w:val="20"/>
          <w:lang w:val="ru-RU" w:eastAsia="en-US"/>
        </w:rPr>
      </w:pPr>
      <w:r w:rsidRPr="006E3F07">
        <w:rPr>
          <w:rFonts w:ascii="Verdana" w:eastAsia="Calibri" w:hAnsi="Verdana"/>
          <w:b/>
          <w:bCs/>
          <w:sz w:val="20"/>
          <w:lang w:val="bg-BG" w:eastAsia="en-US"/>
        </w:rPr>
        <w:t>Потребление на домакинствата</w:t>
      </w:r>
    </w:p>
    <w:p w:rsidR="003E6A24" w:rsidRPr="00995A22" w:rsidRDefault="006E3F07" w:rsidP="00995A2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Calibri" w:hAnsi="Verdana"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През 202</w:t>
      </w:r>
      <w:r w:rsidR="000B30B8">
        <w:rPr>
          <w:rFonts w:ascii="Verdana" w:eastAsia="Calibri" w:hAnsi="Verdana"/>
          <w:color w:val="000000"/>
          <w:sz w:val="20"/>
          <w:lang w:val="en-US" w:eastAsia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г. настъпват промени при потреблението на</w:t>
      </w:r>
      <w:r w:rsidRPr="006E3F07">
        <w:rPr>
          <w:rFonts w:ascii="Verdana" w:eastAsia="Calibri" w:hAnsi="Verdana"/>
          <w:color w:val="000000"/>
          <w:sz w:val="20"/>
          <w:lang w:val="ru-RU" w:eastAsia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основни хранителни продукти </w:t>
      </w:r>
      <w:r w:rsidRPr="006E3F07">
        <w:rPr>
          <w:rFonts w:ascii="Verdana" w:eastAsia="Calibri" w:hAnsi="Verdana"/>
          <w:i/>
          <w:color w:val="000000"/>
          <w:sz w:val="20"/>
          <w:lang w:val="bg-BG" w:eastAsia="en-US"/>
        </w:rPr>
        <w:t>средно на лице от домакинство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в сравнение с</w:t>
      </w:r>
      <w:r w:rsidRPr="006E3F07">
        <w:rPr>
          <w:rFonts w:ascii="Verdana" w:eastAsia="Calibri" w:hAnsi="Verdana"/>
          <w:color w:val="000000"/>
          <w:sz w:val="20"/>
          <w:lang w:val="ru-RU" w:eastAsia="en-US"/>
        </w:rPr>
        <w:t xml:space="preserve"> 202</w:t>
      </w:r>
      <w:r w:rsidR="000B30B8">
        <w:rPr>
          <w:rFonts w:ascii="Verdana" w:eastAsia="Calibri" w:hAnsi="Verdana"/>
          <w:color w:val="000000"/>
          <w:sz w:val="20"/>
          <w:lang w:val="en-US" w:eastAsia="en-US"/>
        </w:rPr>
        <w:t>3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година.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Намалява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потреблението на хляб и тестени изделия - с 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3.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4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 xml:space="preserve">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кг, и</w:t>
      </w:r>
      <w:r w:rsidR="003E6A24">
        <w:rPr>
          <w:rFonts w:ascii="Verdana" w:eastAsia="Calibri" w:hAnsi="Verdana"/>
          <w:color w:val="000000"/>
          <w:sz w:val="20"/>
          <w:lang w:val="bg-BG" w:eastAsia="en-US"/>
        </w:rPr>
        <w:t xml:space="preserve"> това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на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картофи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- с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0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.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3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килограма. 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Най-голямо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увеличение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има в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консумацията на 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безалкохолни напитки - с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11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>.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1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литра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, на плодове - с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5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>.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8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кг,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 xml:space="preserve">и 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на 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месо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- с 2</w:t>
      </w:r>
      <w:r w:rsidRPr="006E3F07">
        <w:rPr>
          <w:rFonts w:ascii="Verdana" w:eastAsia="Calibri" w:hAnsi="Verdana"/>
          <w:color w:val="000000"/>
          <w:sz w:val="20"/>
          <w:lang w:val="en-US" w:eastAsia="en-US"/>
        </w:rPr>
        <w:t>.</w:t>
      </w:r>
      <w:r w:rsidR="008B3DCA">
        <w:rPr>
          <w:rFonts w:ascii="Verdana" w:eastAsia="Calibri" w:hAnsi="Verdana"/>
          <w:color w:val="000000"/>
          <w:sz w:val="20"/>
          <w:lang w:val="bg-BG" w:eastAsia="en-US"/>
        </w:rPr>
        <w:t>3</w:t>
      </w:r>
      <w:r w:rsidRPr="006E3F07">
        <w:rPr>
          <w:rFonts w:ascii="Verdana" w:eastAsia="Calibri" w:hAnsi="Verdana"/>
          <w:color w:val="000000"/>
          <w:sz w:val="20"/>
          <w:lang w:val="bg-BG" w:eastAsia="en-US"/>
        </w:rPr>
        <w:t xml:space="preserve"> </w:t>
      </w:r>
      <w:r w:rsidR="008B3DCA" w:rsidRPr="006E3F07">
        <w:rPr>
          <w:rFonts w:ascii="Verdana" w:eastAsia="Calibri" w:hAnsi="Verdana"/>
          <w:color w:val="000000"/>
          <w:sz w:val="20"/>
          <w:lang w:val="bg-BG" w:eastAsia="en-US"/>
        </w:rPr>
        <w:t>килограма</w:t>
      </w:r>
      <w:r w:rsidR="00E2381B">
        <w:rPr>
          <w:rFonts w:ascii="Verdana" w:eastAsia="Calibri" w:hAnsi="Verdana"/>
          <w:color w:val="000000"/>
          <w:sz w:val="20"/>
          <w:lang w:val="bg-BG" w:eastAsia="en-US"/>
        </w:rPr>
        <w:t xml:space="preserve">. </w:t>
      </w:r>
    </w:p>
    <w:p w:rsidR="006E3F07" w:rsidRPr="00995A22" w:rsidRDefault="006E3F07" w:rsidP="00E2381B">
      <w:pPr>
        <w:autoSpaceDE w:val="0"/>
        <w:autoSpaceDN w:val="0"/>
        <w:adjustRightInd w:val="0"/>
        <w:spacing w:before="160" w:after="160" w:line="360" w:lineRule="auto"/>
        <w:ind w:firstLine="567"/>
        <w:jc w:val="center"/>
        <w:rPr>
          <w:rFonts w:ascii="Verdana" w:eastAsia="Calibri" w:hAnsi="Verdana"/>
          <w:b/>
          <w:color w:val="000000"/>
          <w:sz w:val="20"/>
          <w:lang w:val="bg-BG" w:eastAsia="en-US"/>
        </w:rPr>
      </w:pP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Фиг. </w:t>
      </w:r>
      <w:r w:rsidRPr="00995A22">
        <w:rPr>
          <w:rFonts w:ascii="Verdana" w:eastAsia="Calibri" w:hAnsi="Verdana"/>
          <w:b/>
          <w:color w:val="000000"/>
          <w:sz w:val="20"/>
          <w:lang w:val="bg-BG" w:eastAsia="en-US"/>
        </w:rPr>
        <w:t>6</w:t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. Потребление на основни хранителни продукти</w:t>
      </w:r>
      <w:r w:rsidRPr="00995A22">
        <w:rPr>
          <w:rFonts w:ascii="Verdana" w:eastAsia="Calibri" w:hAnsi="Verdana"/>
          <w:b/>
          <w:color w:val="000000"/>
          <w:sz w:val="20"/>
          <w:lang w:val="bg-BG" w:eastAsia="en-US"/>
        </w:rPr>
        <w:br/>
      </w:r>
      <w:r w:rsidRPr="006E3F07">
        <w:rPr>
          <w:rFonts w:ascii="Verdana" w:eastAsia="Calibri" w:hAnsi="Verdana"/>
          <w:b/>
          <w:color w:val="000000"/>
          <w:sz w:val="20"/>
          <w:lang w:val="bg-BG" w:eastAsia="en-US"/>
        </w:rPr>
        <w:t>средно на лице от домакинство</w:t>
      </w:r>
      <w:r w:rsidRPr="00995A22">
        <w:rPr>
          <w:rFonts w:ascii="Verdana" w:eastAsia="Calibri" w:hAnsi="Verdana"/>
          <w:b/>
          <w:color w:val="000000"/>
          <w:sz w:val="20"/>
          <w:lang w:val="bg-BG" w:eastAsia="en-US"/>
        </w:rPr>
        <w:t xml:space="preserve"> </w:t>
      </w:r>
    </w:p>
    <w:p w:rsidR="00E2381B" w:rsidRPr="00E2381B" w:rsidRDefault="00C21799" w:rsidP="00E2381B">
      <w:pPr>
        <w:autoSpaceDE w:val="0"/>
        <w:autoSpaceDN w:val="0"/>
        <w:adjustRightInd w:val="0"/>
        <w:jc w:val="center"/>
        <w:rPr>
          <w:rFonts w:ascii="Verdana" w:hAnsi="Verdana"/>
          <w:noProof/>
          <w:sz w:val="20"/>
          <w:lang w:val="bg-BG"/>
        </w:rPr>
      </w:pPr>
      <w:r>
        <w:rPr>
          <w:noProof/>
          <w:lang w:val="bg-BG"/>
        </w:rPr>
        <w:drawing>
          <wp:inline distT="0" distB="0" distL="0" distR="0" wp14:anchorId="6387FDD0" wp14:editId="0157766B">
            <wp:extent cx="5088834" cy="4810540"/>
            <wp:effectExtent l="0" t="0" r="1714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27F61" w:rsidRPr="006E3F07">
        <w:rPr>
          <w:rFonts w:ascii="Verdana" w:hAnsi="Verdana"/>
          <w:noProof/>
          <w:sz w:val="20"/>
          <w:lang w:val="bg-BG"/>
        </w:rPr>
        <w:t xml:space="preserve"> </w:t>
      </w:r>
    </w:p>
    <w:p w:rsidR="003E6A24" w:rsidRDefault="003E6A24" w:rsidP="00995A22">
      <w:pPr>
        <w:spacing w:after="160" w:line="360" w:lineRule="auto"/>
        <w:rPr>
          <w:rFonts w:ascii="Verdana" w:eastAsia="Calibri" w:hAnsi="Verdana"/>
          <w:b/>
          <w:sz w:val="20"/>
          <w:lang w:val="bg-BG" w:eastAsia="en-US"/>
        </w:rPr>
      </w:pPr>
    </w:p>
    <w:p w:rsidR="00232CB5" w:rsidRPr="006E3F07" w:rsidRDefault="006E3F07" w:rsidP="00214458">
      <w:pPr>
        <w:spacing w:after="160" w:line="360" w:lineRule="auto"/>
        <w:jc w:val="center"/>
        <w:rPr>
          <w:rFonts w:ascii="Verdana" w:eastAsia="Calibri" w:hAnsi="Verdana"/>
          <w:b/>
          <w:sz w:val="20"/>
          <w:lang w:val="bg-BG" w:eastAsia="en-US"/>
        </w:rPr>
      </w:pPr>
      <w:r w:rsidRPr="006E3F07">
        <w:rPr>
          <w:rFonts w:ascii="Verdana" w:eastAsia="Calibri" w:hAnsi="Verdana"/>
          <w:b/>
          <w:sz w:val="20"/>
          <w:lang w:val="bg-BG" w:eastAsia="en-US"/>
        </w:rPr>
        <w:lastRenderedPageBreak/>
        <w:t>Методологични бележки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/>
        </w:rPr>
      </w:pPr>
      <w:r w:rsidRPr="006E3F07">
        <w:rPr>
          <w:rFonts w:ascii="Verdana" w:eastAsia="Times New Roman" w:hAnsi="Verdana"/>
          <w:sz w:val="20"/>
          <w:lang w:val="bg-BG"/>
        </w:rPr>
        <w:t xml:space="preserve">Данните са получени от </w:t>
      </w:r>
      <w:r w:rsidRPr="006E3F07">
        <w:rPr>
          <w:rFonts w:ascii="Verdana" w:eastAsia="Times New Roman" w:hAnsi="Verdana"/>
          <w:b/>
          <w:sz w:val="20"/>
          <w:lang w:val="bg-BG"/>
        </w:rPr>
        <w:t>тримесечното</w:t>
      </w:r>
      <w:r w:rsidRPr="006E3F07">
        <w:rPr>
          <w:rFonts w:ascii="Verdana" w:eastAsia="Times New Roman" w:hAnsi="Verdana"/>
          <w:sz w:val="20"/>
          <w:lang w:val="bg-BG"/>
        </w:rPr>
        <w:t xml:space="preserve"> наблюдение на домакинските бюджети. Наблюдението е репрезентативно, като се използва случайна извадка от </w:t>
      </w:r>
      <w:r w:rsidR="00CB7574" w:rsidRPr="00064EF6">
        <w:rPr>
          <w:rFonts w:ascii="Verdana" w:hAnsi="Verdana"/>
          <w:sz w:val="20"/>
        </w:rPr>
        <w:t>3</w:t>
      </w:r>
      <w:r w:rsidR="00CB7574">
        <w:rPr>
          <w:rFonts w:ascii="Verdana" w:hAnsi="Verdana"/>
          <w:sz w:val="20"/>
          <w:lang w:val="en-US"/>
        </w:rPr>
        <w:t> </w:t>
      </w:r>
      <w:r w:rsidR="00CB7574" w:rsidRPr="00064EF6">
        <w:rPr>
          <w:rFonts w:ascii="Verdana" w:hAnsi="Verdana"/>
          <w:sz w:val="20"/>
        </w:rPr>
        <w:t xml:space="preserve">060 </w:t>
      </w:r>
      <w:r w:rsidR="00154997">
        <w:rPr>
          <w:rFonts w:ascii="Verdana" w:eastAsia="Times New Roman" w:hAnsi="Verdana"/>
          <w:sz w:val="20"/>
          <w:lang w:val="bg-BG"/>
        </w:rPr>
        <w:t>домакинства.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/>
        </w:rPr>
      </w:pPr>
      <w:r w:rsidRPr="006E3F07">
        <w:rPr>
          <w:rFonts w:ascii="Verdana" w:eastAsia="Times New Roman" w:hAnsi="Verdana"/>
          <w:b/>
          <w:sz w:val="20"/>
          <w:lang w:val="bg-BG"/>
        </w:rPr>
        <w:t>Обикновено домакинство</w:t>
      </w:r>
      <w:r w:rsidRPr="006E3F07">
        <w:rPr>
          <w:rFonts w:ascii="Verdana" w:eastAsia="Times New Roman" w:hAnsi="Verdana"/>
          <w:sz w:val="20"/>
          <w:lang w:val="bg-BG"/>
        </w:rPr>
        <w:t xml:space="preserve"> образуват две или повече лица, които живеят в едно жилище или в част от жилище,</w:t>
      </w:r>
      <w:r w:rsidRPr="006E3F07">
        <w:rPr>
          <w:rFonts w:ascii="Verdana" w:eastAsia="Times New Roman" w:hAnsi="Verdana"/>
          <w:sz w:val="20"/>
          <w:lang w:val="ru-RU"/>
        </w:rPr>
        <w:t xml:space="preserve"> </w:t>
      </w:r>
      <w:r w:rsidRPr="006E3F07">
        <w:rPr>
          <w:rFonts w:ascii="Verdana" w:eastAsia="Times New Roman" w:hAnsi="Verdana"/>
          <w:sz w:val="20"/>
          <w:lang w:val="bg-BG"/>
        </w:rPr>
        <w:t>хранят се заедно и имат общ бюджет, независимо от това дали имат роднински връзки помежду си. Домакинство е и едно лице, което живее самостоятелно, храни се отделно и има свой отделен</w:t>
      </w:r>
      <w:r w:rsidRPr="006E3F07">
        <w:rPr>
          <w:rFonts w:ascii="Verdana" w:eastAsia="Times New Roman" w:hAnsi="Verdana"/>
          <w:sz w:val="20"/>
          <w:lang w:val="ru-RU"/>
        </w:rPr>
        <w:t xml:space="preserve"> </w:t>
      </w:r>
      <w:r w:rsidRPr="006E3F07">
        <w:rPr>
          <w:rFonts w:ascii="Verdana" w:eastAsia="Times New Roman" w:hAnsi="Verdana"/>
          <w:sz w:val="20"/>
          <w:lang w:val="bg-BG"/>
        </w:rPr>
        <w:t xml:space="preserve">бюджет. 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/>
        </w:rPr>
      </w:pPr>
      <w:r w:rsidRPr="006E3F07">
        <w:rPr>
          <w:rFonts w:ascii="Verdana" w:eastAsia="Times New Roman" w:hAnsi="Verdana"/>
          <w:sz w:val="20"/>
          <w:lang w:val="bg-BG"/>
        </w:rPr>
        <w:t>Колективните домакинства не са обект на изучаване на домакинските бюджети.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/>
        </w:rPr>
      </w:pPr>
      <w:r w:rsidRPr="006E3F07">
        <w:rPr>
          <w:rFonts w:ascii="Verdana" w:eastAsia="Times New Roman" w:hAnsi="Verdana"/>
          <w:sz w:val="20"/>
          <w:lang w:val="bg-BG"/>
        </w:rPr>
        <w:t xml:space="preserve">Основните показатели за доходите, разходите и потреблението се оценяват </w:t>
      </w:r>
      <w:r w:rsidRPr="006E3F07">
        <w:rPr>
          <w:rFonts w:ascii="Verdana" w:eastAsia="Times New Roman" w:hAnsi="Verdana"/>
          <w:b/>
          <w:sz w:val="20"/>
          <w:lang w:val="bg-BG"/>
        </w:rPr>
        <w:t>тримесечно</w:t>
      </w:r>
      <w:r w:rsidRPr="006E3F07">
        <w:rPr>
          <w:rFonts w:ascii="Verdana" w:eastAsia="Times New Roman" w:hAnsi="Verdana"/>
          <w:sz w:val="20"/>
          <w:lang w:val="bg-BG"/>
        </w:rPr>
        <w:t xml:space="preserve"> и </w:t>
      </w:r>
      <w:r w:rsidRPr="006E3F07">
        <w:rPr>
          <w:rFonts w:ascii="Verdana" w:eastAsia="Times New Roman" w:hAnsi="Verdana"/>
          <w:b/>
          <w:sz w:val="20"/>
          <w:lang w:val="bg-BG"/>
        </w:rPr>
        <w:t>годишно</w:t>
      </w:r>
      <w:r w:rsidRPr="006E3F07">
        <w:rPr>
          <w:rFonts w:ascii="Verdana" w:eastAsia="Times New Roman" w:hAnsi="Verdana"/>
          <w:sz w:val="20"/>
          <w:lang w:val="bg-BG"/>
        </w:rPr>
        <w:t xml:space="preserve"> и се представят под формата на средни величини и относителни дялове.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b/>
          <w:sz w:val="20"/>
          <w:lang w:val="bg-BG" w:eastAsia="en-US"/>
        </w:rPr>
        <w:t>Доходите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 на домакинствата в пари и натура включват доходите на всички членове на домакинството от: работна заплата, пенсии, самостоятелна заетост, обезщетения за безработни, социални помощи и други. Включват се и други доходи, общи за домакинството, като регулярните или еднократните трансфери от други домакинства и продажбите на имущество. 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b/>
          <w:sz w:val="20"/>
          <w:lang w:val="bg-BG" w:eastAsia="en-US"/>
        </w:rPr>
        <w:t xml:space="preserve">Разходите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на домакинствата включват разходите за храна, напитки, тютюневи изделия, жилище (вода, електроенергия, отопление, обзавеждане и поддържане), транспорт, съобщения, здравеопазване, данъци, социални осигуровки и други. </w:t>
      </w:r>
    </w:p>
    <w:p w:rsidR="006E3F07" w:rsidRPr="006E3F07" w:rsidRDefault="006E3F07" w:rsidP="00CB7574">
      <w:pPr>
        <w:spacing w:line="360" w:lineRule="auto"/>
        <w:ind w:firstLine="567"/>
        <w:jc w:val="both"/>
        <w:rPr>
          <w:rFonts w:ascii="Verdana" w:hAnsi="Verdana"/>
          <w:sz w:val="20"/>
          <w:lang w:val="bg-BG"/>
        </w:rPr>
      </w:pPr>
      <w:r w:rsidRPr="006E3F07">
        <w:rPr>
          <w:rFonts w:ascii="Verdana" w:hAnsi="Verdana"/>
          <w:b/>
          <w:sz w:val="20"/>
          <w:lang w:val="bg-BG"/>
        </w:rPr>
        <w:t>Потребителският разход</w:t>
      </w:r>
      <w:r w:rsidRPr="006E3F07">
        <w:rPr>
          <w:rFonts w:ascii="Verdana" w:hAnsi="Verdana"/>
          <w:sz w:val="20"/>
          <w:lang w:val="bg-BG"/>
        </w:rPr>
        <w:t xml:space="preserve"> включва разходите на домакинствата за стоки и услуги съгласно международната Класификация на индивидуалното потребление по цели (COICOP).</w:t>
      </w:r>
    </w:p>
    <w:p w:rsidR="006E3F07" w:rsidRPr="006E3F07" w:rsidRDefault="006E3F07" w:rsidP="00CB7574">
      <w:pPr>
        <w:spacing w:line="360" w:lineRule="auto"/>
        <w:ind w:firstLine="567"/>
        <w:contextualSpacing/>
        <w:jc w:val="both"/>
        <w:rPr>
          <w:rFonts w:ascii="Verdana" w:eastAsia="Times New Roman" w:hAnsi="Verdana"/>
          <w:sz w:val="20"/>
          <w:lang w:val="bg-BG" w:eastAsia="en-US"/>
        </w:rPr>
      </w:pPr>
      <w:r w:rsidRPr="006E3F07">
        <w:rPr>
          <w:rFonts w:ascii="Verdana" w:eastAsia="Times New Roman" w:hAnsi="Verdana"/>
          <w:b/>
          <w:sz w:val="20"/>
          <w:lang w:val="bg-BG" w:eastAsia="en-US"/>
        </w:rPr>
        <w:t xml:space="preserve">Потреблението </w:t>
      </w:r>
      <w:r w:rsidRPr="006E3F07">
        <w:rPr>
          <w:rFonts w:ascii="Verdana" w:eastAsia="Times New Roman" w:hAnsi="Verdana"/>
          <w:sz w:val="20"/>
          <w:lang w:val="bg-BG" w:eastAsia="en-US"/>
        </w:rPr>
        <w:t xml:space="preserve">средно на лице от домакинство представлява количествата консумирани хранителни продукти и напитки при домашни условия и не включва консумацията в заведения за обществено хранене. </w:t>
      </w:r>
    </w:p>
    <w:p w:rsidR="00D83F28" w:rsidRPr="00995A22" w:rsidRDefault="00CB7574" w:rsidP="00995A22">
      <w:pPr>
        <w:spacing w:line="360" w:lineRule="auto"/>
        <w:ind w:firstLine="567"/>
        <w:jc w:val="both"/>
        <w:rPr>
          <w:rFonts w:ascii="Verdana" w:hAnsi="Verdana"/>
          <w:sz w:val="20"/>
          <w:lang w:val="en-US"/>
        </w:rPr>
      </w:pPr>
      <w:r w:rsidRPr="00CB7574">
        <w:rPr>
          <w:rFonts w:ascii="Verdana" w:hAnsi="Verdana"/>
          <w:sz w:val="20"/>
          <w:lang w:val="bg-BG"/>
        </w:rPr>
        <w:t>Подробна информация за Наблюдението на домакинските бюджети и резултатите от него са публикувани на сайта на НСИ (</w:t>
      </w:r>
      <w:hyperlink r:id="rId14" w:history="1">
        <w:r w:rsidRPr="00CB7574">
          <w:rPr>
            <w:rStyle w:val="Hyperlink"/>
            <w:rFonts w:ascii="Verdana" w:hAnsi="Verdana"/>
            <w:sz w:val="20"/>
            <w:lang w:val="bg-BG"/>
          </w:rPr>
          <w:t>http://www.nsi.bg</w:t>
        </w:r>
      </w:hyperlink>
      <w:r w:rsidRPr="00CB7574">
        <w:rPr>
          <w:rFonts w:ascii="Verdana" w:hAnsi="Verdana"/>
          <w:sz w:val="20"/>
          <w:lang w:val="bg-BG"/>
        </w:rPr>
        <w:t xml:space="preserve">) в рубрика „Доходи, разходи и потребление на домакинствата“ и в Информационна система ИНФОСТАТ. </w:t>
      </w:r>
      <w:r w:rsidRPr="00CB7574">
        <w:rPr>
          <w:rFonts w:ascii="Verdana" w:hAnsi="Verdana"/>
          <w:sz w:val="20"/>
          <w:lang w:val="en-US"/>
        </w:rPr>
        <w:t xml:space="preserve">   </w:t>
      </w:r>
      <w:bookmarkStart w:id="0" w:name="_GoBack"/>
      <w:bookmarkEnd w:id="0"/>
    </w:p>
    <w:sectPr w:rsidR="00D83F28" w:rsidRPr="00995A22" w:rsidSect="006A4C8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D3" w:rsidRDefault="00F872D3" w:rsidP="00D83F28">
      <w:r>
        <w:separator/>
      </w:r>
    </w:p>
  </w:endnote>
  <w:endnote w:type="continuationSeparator" w:id="0">
    <w:p w:rsidR="00F872D3" w:rsidRDefault="00F872D3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Μοντέρνα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4p">
    <w:altName w:val="Arial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97" w:rsidRDefault="00154997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997" w:rsidRPr="00DD11CB" w:rsidRDefault="00154997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95A2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154997" w:rsidRPr="00DD11CB" w:rsidRDefault="00154997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separate"/>
                    </w:r>
                    <w:r w:rsidR="00995A2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97" w:rsidRDefault="00154997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val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4997" w:rsidRPr="00DD11CB" w:rsidRDefault="00154997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</w:rPr>
                            <w:fldChar w:fldCharType="separate"/>
                          </w:r>
                          <w:r w:rsidR="00995A22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154997" w:rsidRPr="00DD11CB" w:rsidRDefault="00154997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</w:rPr>
                      <w:fldChar w:fldCharType="separate"/>
                    </w:r>
                    <w:r w:rsidR="00995A22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D3" w:rsidRDefault="00F872D3" w:rsidP="00D83F28">
      <w:r>
        <w:separator/>
      </w:r>
    </w:p>
  </w:footnote>
  <w:footnote w:type="continuationSeparator" w:id="0">
    <w:p w:rsidR="00F872D3" w:rsidRDefault="00F872D3" w:rsidP="00D83F28">
      <w:r>
        <w:continuationSeparator/>
      </w:r>
    </w:p>
  </w:footnote>
  <w:footnote w:id="1">
    <w:p w:rsidR="00154997" w:rsidRPr="006E3F07" w:rsidRDefault="00154997" w:rsidP="009504B1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6E3F07">
        <w:rPr>
          <w:rStyle w:val="FootnoteReference"/>
          <w:rFonts w:ascii="Verdana" w:eastAsia="Μοντέρνα" w:hAnsi="Verdana"/>
          <w:sz w:val="16"/>
          <w:szCs w:val="16"/>
        </w:rPr>
        <w:footnoteRef/>
      </w:r>
      <w:r w:rsidRPr="006E3F07">
        <w:rPr>
          <w:rFonts w:ascii="Verdana" w:hAnsi="Verdana"/>
          <w:sz w:val="16"/>
          <w:szCs w:val="16"/>
          <w:lang w:val="ru-RU"/>
        </w:rPr>
        <w:t xml:space="preserve"> </w:t>
      </w:r>
      <w:r w:rsidRPr="006E3F07">
        <w:rPr>
          <w:rFonts w:ascii="Verdana" w:hAnsi="Verdana"/>
          <w:sz w:val="16"/>
          <w:szCs w:val="16"/>
          <w:lang w:val="bg-BG"/>
        </w:rPr>
        <w:t xml:space="preserve">Реалните доходи се изчисляват, като номиналните доходи се </w:t>
      </w:r>
      <w:proofErr w:type="spellStart"/>
      <w:r w:rsidRPr="006E3F07">
        <w:rPr>
          <w:rFonts w:ascii="Verdana" w:hAnsi="Verdana"/>
          <w:sz w:val="16"/>
          <w:szCs w:val="16"/>
          <w:lang w:val="bg-BG"/>
        </w:rPr>
        <w:t>дефлират</w:t>
      </w:r>
      <w:proofErr w:type="spellEnd"/>
      <w:r w:rsidRPr="006E3F07">
        <w:rPr>
          <w:rFonts w:ascii="Verdana" w:hAnsi="Verdana"/>
          <w:sz w:val="16"/>
          <w:szCs w:val="16"/>
          <w:lang w:val="bg-BG"/>
        </w:rPr>
        <w:t xml:space="preserve"> със средногодишните индекси на потребителските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97" w:rsidRDefault="00154997" w:rsidP="00BC5D31">
    <w:pPr>
      <w:spacing w:line="360" w:lineRule="auto"/>
      <w:ind w:firstLine="567"/>
      <w:jc w:val="center"/>
      <w:rPr>
        <w:rFonts w:ascii="Verdana" w:eastAsia="Calibri" w:hAnsi="Verdana"/>
        <w:b/>
        <w:bCs/>
        <w:color w:val="000000"/>
        <w:sz w:val="20"/>
        <w:lang w:val="bg-BG" w:eastAsia="en-US"/>
      </w:rPr>
    </w:pPr>
    <w:r w:rsidRPr="006E3F07">
      <w:rPr>
        <w:rFonts w:ascii="Verdana" w:eastAsia="Calibri" w:hAnsi="Verdana"/>
        <w:b/>
        <w:bCs/>
        <w:color w:val="000000"/>
        <w:sz w:val="20"/>
        <w:lang w:val="bg-BG" w:eastAsia="en-US"/>
      </w:rPr>
      <w:t>ДОХОДИ, РАЗХОДИ И ПОТРЕБЛЕНИЕ НА</w:t>
    </w:r>
    <w:r w:rsidRPr="006E3F07">
      <w:rPr>
        <w:rFonts w:ascii="Verdana" w:eastAsia="Calibri" w:hAnsi="Verdana"/>
        <w:b/>
        <w:bCs/>
        <w:color w:val="000000"/>
        <w:sz w:val="20"/>
        <w:lang w:val="ru-RU" w:eastAsia="en-US"/>
      </w:rPr>
      <w:t xml:space="preserve"> </w:t>
    </w:r>
    <w:r w:rsidRPr="006E3F07">
      <w:rPr>
        <w:rFonts w:ascii="Verdana" w:eastAsia="Calibri" w:hAnsi="Verdana"/>
        <w:b/>
        <w:bCs/>
        <w:color w:val="000000"/>
        <w:sz w:val="20"/>
        <w:lang w:val="bg-BG" w:eastAsia="en-US"/>
      </w:rPr>
      <w:t>ДОМАКИНСТВАТА</w:t>
    </w:r>
  </w:p>
  <w:p w:rsidR="00154997" w:rsidRPr="00F76D42" w:rsidRDefault="00154997" w:rsidP="009E4921">
    <w:pPr>
      <w:spacing w:after="240" w:line="360" w:lineRule="auto"/>
      <w:jc w:val="center"/>
      <w:rPr>
        <w:lang w:val="bg-BG"/>
      </w:rPr>
    </w:pPr>
    <w:r w:rsidRPr="00DD11CB">
      <w:rPr>
        <w:rFonts w:ascii="Verdana" w:hAnsi="Verdana"/>
        <w:noProof/>
        <w:sz w:val="20"/>
        <w:lang w:val="bg-BG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0970A492" wp14:editId="41662538">
              <wp:simplePos x="0" y="0"/>
              <wp:positionH relativeFrom="margin">
                <wp:posOffset>-87409</wp:posOffset>
              </wp:positionH>
              <wp:positionV relativeFrom="paragraph">
                <wp:posOffset>187518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843527" id="Graphic 7" o:spid="_x0000_s1026" style="position:absolute;margin-left:-6.9pt;margin-top:14.75pt;width:477.7pt;height:.1pt;z-index:-25164288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E3F07">
      <w:rPr>
        <w:rFonts w:ascii="Verdana" w:eastAsia="Calibri" w:hAnsi="Verdana"/>
        <w:b/>
        <w:bCs/>
        <w:color w:val="000000"/>
        <w:sz w:val="20"/>
        <w:lang w:val="bg-BG" w:eastAsia="en-US"/>
      </w:rPr>
      <w:t>ПРЕЗ 202</w:t>
    </w:r>
    <w:r>
      <w:rPr>
        <w:rFonts w:ascii="Verdana" w:eastAsia="Calibri" w:hAnsi="Verdana"/>
        <w:b/>
        <w:bCs/>
        <w:color w:val="000000"/>
        <w:sz w:val="20"/>
        <w:lang w:val="en-US" w:eastAsia="en-US"/>
      </w:rPr>
      <w:t>4</w:t>
    </w:r>
    <w:r w:rsidRPr="006E3F07">
      <w:rPr>
        <w:rFonts w:ascii="Verdana" w:eastAsia="Calibri" w:hAnsi="Verdana"/>
        <w:b/>
        <w:bCs/>
        <w:color w:val="000000"/>
        <w:sz w:val="20"/>
        <w:lang w:val="bg-BG" w:eastAsia="en-US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997" w:rsidRPr="00D83F28" w:rsidRDefault="00154997" w:rsidP="00D83F28">
    <w:pPr>
      <w:pStyle w:val="BodyText"/>
      <w:spacing w:before="188"/>
      <w:rPr>
        <w:rFonts w:ascii="Viol" w:hAnsi="Viol"/>
        <w:sz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997" w:rsidRDefault="00154997" w:rsidP="00D60CD2">
                          <w:pPr>
                            <w:rPr>
                              <w:rFonts w:ascii="Helen Bg Cond" w:eastAsia="Calibri" w:hAnsi="Helen Bg Cond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154997" w:rsidRPr="00D83F28" w:rsidRDefault="00154997" w:rsidP="00D83F28">
                          <w:pPr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</w:pPr>
                          <w:r w:rsidRPr="00D83F28">
                            <w:rPr>
                              <w:rFonts w:ascii="Helen Bg Cond" w:eastAsia="Calibri" w:hAnsi="Helen Bg Cond"/>
                              <w:b/>
                              <w:sz w:val="26"/>
                              <w:szCs w:val="26"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  <w:p w:rsidR="00154997" w:rsidRPr="00FD731D" w:rsidRDefault="00154997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154997" w:rsidRDefault="00154997" w:rsidP="00D60CD2">
                    <w:pPr>
                      <w:rPr>
                        <w:rFonts w:ascii="Helen Bg Cond" w:eastAsia="Calibri" w:hAnsi="Helen Bg Cond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154997" w:rsidRPr="00D83F28" w:rsidRDefault="00154997" w:rsidP="00D83F28">
                    <w:pPr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</w:pPr>
                    <w:r w:rsidRPr="00D83F28">
                      <w:rPr>
                        <w:rFonts w:ascii="Helen Bg Cond" w:eastAsia="Calibri" w:hAnsi="Helen Bg Cond"/>
                        <w:b/>
                        <w:sz w:val="26"/>
                        <w:szCs w:val="26"/>
                        <w:lang w:val="bg-BG"/>
                      </w:rPr>
                      <w:t>Национален статистически институт</w:t>
                    </w:r>
                  </w:p>
                  <w:p w:rsidR="00154997" w:rsidRPr="00FD731D" w:rsidRDefault="00154997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04F6"/>
    <w:multiLevelType w:val="hybridMultilevel"/>
    <w:tmpl w:val="2EE8FE96"/>
    <w:lvl w:ilvl="0" w:tplc="9DDA396C">
      <w:start w:val="1"/>
      <w:numFmt w:val="bullet"/>
      <w:suff w:val="space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094D08C7"/>
    <w:multiLevelType w:val="hybridMultilevel"/>
    <w:tmpl w:val="AE22C4B2"/>
    <w:lvl w:ilvl="0" w:tplc="2E8CF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062201"/>
    <w:multiLevelType w:val="hybridMultilevel"/>
    <w:tmpl w:val="B0149B88"/>
    <w:lvl w:ilvl="0" w:tplc="2E442BB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07F0007"/>
    <w:multiLevelType w:val="singleLevel"/>
    <w:tmpl w:val="369439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" w15:restartNumberingAfterBreak="0">
    <w:nsid w:val="42F5647B"/>
    <w:multiLevelType w:val="hybridMultilevel"/>
    <w:tmpl w:val="E382A43A"/>
    <w:lvl w:ilvl="0" w:tplc="0402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5" w15:restartNumberingAfterBreak="0">
    <w:nsid w:val="4407710F"/>
    <w:multiLevelType w:val="hybridMultilevel"/>
    <w:tmpl w:val="1E6C55FA"/>
    <w:lvl w:ilvl="0" w:tplc="347E3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942960"/>
    <w:multiLevelType w:val="hybridMultilevel"/>
    <w:tmpl w:val="793C57F8"/>
    <w:lvl w:ilvl="0" w:tplc="A2369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CE2536"/>
    <w:multiLevelType w:val="hybridMultilevel"/>
    <w:tmpl w:val="F8DA85C2"/>
    <w:lvl w:ilvl="0" w:tplc="06B6AD9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BB6CC0"/>
    <w:multiLevelType w:val="multilevel"/>
    <w:tmpl w:val="9956F9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03A526C"/>
    <w:multiLevelType w:val="multilevel"/>
    <w:tmpl w:val="521EC7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6E2256DA"/>
    <w:multiLevelType w:val="hybridMultilevel"/>
    <w:tmpl w:val="19C853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97A6C"/>
    <w:multiLevelType w:val="hybridMultilevel"/>
    <w:tmpl w:val="F7DA1888"/>
    <w:lvl w:ilvl="0" w:tplc="0402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23EDC"/>
    <w:rsid w:val="0004146A"/>
    <w:rsid w:val="00083921"/>
    <w:rsid w:val="00086522"/>
    <w:rsid w:val="000903FB"/>
    <w:rsid w:val="000955F1"/>
    <w:rsid w:val="000A4F40"/>
    <w:rsid w:val="000A65F7"/>
    <w:rsid w:val="000B18E1"/>
    <w:rsid w:val="000B30B8"/>
    <w:rsid w:val="000B697E"/>
    <w:rsid w:val="00146DAB"/>
    <w:rsid w:val="00154997"/>
    <w:rsid w:val="00177079"/>
    <w:rsid w:val="00177DBC"/>
    <w:rsid w:val="001810D5"/>
    <w:rsid w:val="001942AD"/>
    <w:rsid w:val="00197917"/>
    <w:rsid w:val="001A2DD0"/>
    <w:rsid w:val="001B1247"/>
    <w:rsid w:val="001C3079"/>
    <w:rsid w:val="001C5A26"/>
    <w:rsid w:val="001E3B0F"/>
    <w:rsid w:val="001F3F1B"/>
    <w:rsid w:val="0020528C"/>
    <w:rsid w:val="00214458"/>
    <w:rsid w:val="00221A1F"/>
    <w:rsid w:val="00225D15"/>
    <w:rsid w:val="00232CB5"/>
    <w:rsid w:val="00266E6D"/>
    <w:rsid w:val="002B2547"/>
    <w:rsid w:val="002E20A2"/>
    <w:rsid w:val="002F2327"/>
    <w:rsid w:val="003127A3"/>
    <w:rsid w:val="00314EFC"/>
    <w:rsid w:val="00320059"/>
    <w:rsid w:val="003349ED"/>
    <w:rsid w:val="003700F5"/>
    <w:rsid w:val="003C5EE5"/>
    <w:rsid w:val="003E4705"/>
    <w:rsid w:val="003E6A24"/>
    <w:rsid w:val="003E75E1"/>
    <w:rsid w:val="003F0CA6"/>
    <w:rsid w:val="0040488C"/>
    <w:rsid w:val="00453464"/>
    <w:rsid w:val="00454ACB"/>
    <w:rsid w:val="00472D09"/>
    <w:rsid w:val="00474D06"/>
    <w:rsid w:val="0049570C"/>
    <w:rsid w:val="004967AC"/>
    <w:rsid w:val="004F2A81"/>
    <w:rsid w:val="00500232"/>
    <w:rsid w:val="005044B9"/>
    <w:rsid w:val="00504890"/>
    <w:rsid w:val="00543692"/>
    <w:rsid w:val="00545D1C"/>
    <w:rsid w:val="00561733"/>
    <w:rsid w:val="00576088"/>
    <w:rsid w:val="0058467C"/>
    <w:rsid w:val="005908E0"/>
    <w:rsid w:val="005929AD"/>
    <w:rsid w:val="00592FAD"/>
    <w:rsid w:val="005944F3"/>
    <w:rsid w:val="005A6A36"/>
    <w:rsid w:val="005A6C63"/>
    <w:rsid w:val="005C1592"/>
    <w:rsid w:val="005D323B"/>
    <w:rsid w:val="005D55C4"/>
    <w:rsid w:val="005D6A34"/>
    <w:rsid w:val="005E098B"/>
    <w:rsid w:val="005F7144"/>
    <w:rsid w:val="00616874"/>
    <w:rsid w:val="0062013D"/>
    <w:rsid w:val="00635448"/>
    <w:rsid w:val="00643044"/>
    <w:rsid w:val="00644454"/>
    <w:rsid w:val="00692DAD"/>
    <w:rsid w:val="006932ED"/>
    <w:rsid w:val="00696AD9"/>
    <w:rsid w:val="006A14B6"/>
    <w:rsid w:val="006A4C8F"/>
    <w:rsid w:val="006A56BD"/>
    <w:rsid w:val="006C26BF"/>
    <w:rsid w:val="006C27EF"/>
    <w:rsid w:val="006E3F07"/>
    <w:rsid w:val="006E7684"/>
    <w:rsid w:val="006F661A"/>
    <w:rsid w:val="00744FF7"/>
    <w:rsid w:val="0077430A"/>
    <w:rsid w:val="00783542"/>
    <w:rsid w:val="00792E32"/>
    <w:rsid w:val="007B1B0D"/>
    <w:rsid w:val="007B2B59"/>
    <w:rsid w:val="007E3869"/>
    <w:rsid w:val="007E4814"/>
    <w:rsid w:val="007F141D"/>
    <w:rsid w:val="008146D2"/>
    <w:rsid w:val="008318E2"/>
    <w:rsid w:val="00850195"/>
    <w:rsid w:val="008576B1"/>
    <w:rsid w:val="00871AD9"/>
    <w:rsid w:val="008B18D3"/>
    <w:rsid w:val="008B3DCA"/>
    <w:rsid w:val="008C67EE"/>
    <w:rsid w:val="008D209A"/>
    <w:rsid w:val="008E6CB5"/>
    <w:rsid w:val="00900A1A"/>
    <w:rsid w:val="00902357"/>
    <w:rsid w:val="00920190"/>
    <w:rsid w:val="009277F9"/>
    <w:rsid w:val="00930CA3"/>
    <w:rsid w:val="009504B1"/>
    <w:rsid w:val="0097023D"/>
    <w:rsid w:val="009757F5"/>
    <w:rsid w:val="00995A22"/>
    <w:rsid w:val="00995EE9"/>
    <w:rsid w:val="009D09CB"/>
    <w:rsid w:val="009E4921"/>
    <w:rsid w:val="009E4EEA"/>
    <w:rsid w:val="00A217F9"/>
    <w:rsid w:val="00A61D87"/>
    <w:rsid w:val="00A648A0"/>
    <w:rsid w:val="00A71288"/>
    <w:rsid w:val="00A76150"/>
    <w:rsid w:val="00A768A7"/>
    <w:rsid w:val="00A85203"/>
    <w:rsid w:val="00A901BD"/>
    <w:rsid w:val="00A95083"/>
    <w:rsid w:val="00AA52DD"/>
    <w:rsid w:val="00AB159D"/>
    <w:rsid w:val="00B06152"/>
    <w:rsid w:val="00B26D65"/>
    <w:rsid w:val="00B462B6"/>
    <w:rsid w:val="00B900CC"/>
    <w:rsid w:val="00B941DD"/>
    <w:rsid w:val="00BC1395"/>
    <w:rsid w:val="00BC5D31"/>
    <w:rsid w:val="00C1462E"/>
    <w:rsid w:val="00C21799"/>
    <w:rsid w:val="00C27F61"/>
    <w:rsid w:val="00C31881"/>
    <w:rsid w:val="00C84D06"/>
    <w:rsid w:val="00CA2348"/>
    <w:rsid w:val="00CA4C51"/>
    <w:rsid w:val="00CB7574"/>
    <w:rsid w:val="00CC62BC"/>
    <w:rsid w:val="00CC7A06"/>
    <w:rsid w:val="00CD687F"/>
    <w:rsid w:val="00D46012"/>
    <w:rsid w:val="00D534B6"/>
    <w:rsid w:val="00D60CD2"/>
    <w:rsid w:val="00D83F28"/>
    <w:rsid w:val="00D9242C"/>
    <w:rsid w:val="00DB17E4"/>
    <w:rsid w:val="00DD109D"/>
    <w:rsid w:val="00DD507F"/>
    <w:rsid w:val="00DE5C2F"/>
    <w:rsid w:val="00DF653D"/>
    <w:rsid w:val="00E2381B"/>
    <w:rsid w:val="00E37F81"/>
    <w:rsid w:val="00EF2CBB"/>
    <w:rsid w:val="00EF4FC0"/>
    <w:rsid w:val="00F03946"/>
    <w:rsid w:val="00F07202"/>
    <w:rsid w:val="00F74E09"/>
    <w:rsid w:val="00F76D42"/>
    <w:rsid w:val="00F844F6"/>
    <w:rsid w:val="00F85ECA"/>
    <w:rsid w:val="00F872D3"/>
    <w:rsid w:val="00F92293"/>
    <w:rsid w:val="00FA1BE0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E57BE2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0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6E3F07"/>
    <w:pPr>
      <w:keepNext/>
      <w:autoSpaceDE w:val="0"/>
      <w:autoSpaceDN w:val="0"/>
      <w:jc w:val="both"/>
      <w:outlineLvl w:val="0"/>
    </w:pPr>
    <w:rPr>
      <w:rFonts w:ascii="Hebar" w:eastAsia="Times New Roman" w:hAnsi="Hebar"/>
      <w:b/>
      <w:bCs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E3F07"/>
    <w:pPr>
      <w:keepNext/>
      <w:autoSpaceDE w:val="0"/>
      <w:autoSpaceDN w:val="0"/>
      <w:ind w:left="-108"/>
      <w:jc w:val="both"/>
      <w:outlineLvl w:val="1"/>
    </w:pPr>
    <w:rPr>
      <w:rFonts w:ascii="Hebar" w:eastAsia="Times New Roman" w:hAnsi="Hebar"/>
      <w:b/>
      <w:bCs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E3F07"/>
    <w:pPr>
      <w:keepNext/>
      <w:autoSpaceDE w:val="0"/>
      <w:autoSpaceDN w:val="0"/>
      <w:jc w:val="both"/>
      <w:outlineLvl w:val="2"/>
    </w:pPr>
    <w:rPr>
      <w:rFonts w:ascii="Times New Roman" w:eastAsia="Times New Roman" w:hAnsi="Times New Roman"/>
      <w:b/>
      <w:bCs/>
      <w:sz w:val="20"/>
      <w:lang w:val="bg-BG" w:eastAsia="en-US"/>
    </w:rPr>
  </w:style>
  <w:style w:type="paragraph" w:styleId="Heading4">
    <w:name w:val="heading 4"/>
    <w:basedOn w:val="Normal"/>
    <w:next w:val="Normal"/>
    <w:link w:val="Heading4Char"/>
    <w:qFormat/>
    <w:rsid w:val="006E3F07"/>
    <w:pPr>
      <w:keepNext/>
      <w:ind w:firstLine="112"/>
      <w:outlineLvl w:val="3"/>
    </w:pPr>
    <w:rPr>
      <w:rFonts w:ascii="Times New Roman" w:eastAsia="Times New Roman" w:hAnsi="Times New Roman"/>
      <w:b/>
      <w:bCs/>
      <w:color w:val="000000"/>
      <w:sz w:val="20"/>
      <w:lang w:val="bg-BG" w:eastAsia="en-US"/>
    </w:rPr>
  </w:style>
  <w:style w:type="paragraph" w:styleId="Heading5">
    <w:name w:val="heading 5"/>
    <w:basedOn w:val="Normal"/>
    <w:next w:val="Normal"/>
    <w:link w:val="Heading5Char"/>
    <w:qFormat/>
    <w:rsid w:val="006E3F07"/>
    <w:pPr>
      <w:keepNext/>
      <w:ind w:firstLine="112"/>
      <w:outlineLvl w:val="4"/>
    </w:pPr>
    <w:rPr>
      <w:rFonts w:ascii="Times New Roman" w:eastAsia="Times New Roman" w:hAnsi="Times New Roman"/>
      <w:color w:val="000000"/>
      <w:sz w:val="20"/>
      <w:lang w:val="bg-BG" w:eastAsia="en-US"/>
    </w:rPr>
  </w:style>
  <w:style w:type="paragraph" w:styleId="Heading6">
    <w:name w:val="heading 6"/>
    <w:basedOn w:val="Normal"/>
    <w:next w:val="Normal"/>
    <w:link w:val="Heading6Char"/>
    <w:qFormat/>
    <w:rsid w:val="006E3F07"/>
    <w:pPr>
      <w:keepNext/>
      <w:autoSpaceDE w:val="0"/>
      <w:autoSpaceDN w:val="0"/>
      <w:outlineLvl w:val="5"/>
    </w:pPr>
    <w:rPr>
      <w:rFonts w:ascii="Times New Roman" w:eastAsia="Times New Roman" w:hAnsi="Times New Roman"/>
      <w:i/>
      <w:szCs w:val="24"/>
      <w:lang w:val="bg-BG" w:eastAsia="en-US"/>
    </w:rPr>
  </w:style>
  <w:style w:type="paragraph" w:styleId="Heading7">
    <w:name w:val="heading 7"/>
    <w:basedOn w:val="Normal"/>
    <w:next w:val="Normal"/>
    <w:link w:val="Heading7Char"/>
    <w:qFormat/>
    <w:rsid w:val="006E3F07"/>
    <w:pPr>
      <w:keepNext/>
      <w:autoSpaceDE w:val="0"/>
      <w:autoSpaceDN w:val="0"/>
      <w:ind w:firstLine="720"/>
      <w:jc w:val="both"/>
      <w:outlineLvl w:val="6"/>
    </w:pPr>
    <w:rPr>
      <w:rFonts w:ascii="Times New Roman" w:eastAsia="Times New Roman" w:hAnsi="Times New Roman"/>
      <w:i/>
      <w:szCs w:val="24"/>
      <w:lang w:val="bg-BG" w:eastAsia="en-US"/>
    </w:rPr>
  </w:style>
  <w:style w:type="paragraph" w:styleId="Heading8">
    <w:name w:val="heading 8"/>
    <w:basedOn w:val="Normal"/>
    <w:next w:val="Normal"/>
    <w:link w:val="Heading8Char"/>
    <w:qFormat/>
    <w:rsid w:val="006E3F07"/>
    <w:pPr>
      <w:keepNext/>
      <w:autoSpaceDE w:val="0"/>
      <w:autoSpaceDN w:val="0"/>
      <w:jc w:val="center"/>
      <w:outlineLvl w:val="7"/>
    </w:pPr>
    <w:rPr>
      <w:rFonts w:ascii="Times New Roman" w:eastAsia="Times New Roman" w:hAnsi="Times New Roman"/>
      <w:i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6E3F07"/>
    <w:pPr>
      <w:keepNext/>
      <w:tabs>
        <w:tab w:val="left" w:pos="1122"/>
      </w:tabs>
      <w:autoSpaceDE w:val="0"/>
      <w:autoSpaceDN w:val="0"/>
      <w:ind w:left="1122" w:hanging="187"/>
      <w:jc w:val="both"/>
      <w:outlineLvl w:val="8"/>
    </w:pPr>
    <w:rPr>
      <w:rFonts w:ascii="Times New Roman" w:eastAsia="Times New Roman" w:hAnsi="Times New Roman"/>
      <w:b/>
      <w:sz w:val="28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qFormat/>
    <w:rsid w:val="00D83F28"/>
    <w:pPr>
      <w:widowControl w:val="0"/>
      <w:autoSpaceDE w:val="0"/>
      <w:autoSpaceDN w:val="0"/>
    </w:pPr>
    <w:rPr>
      <w:rFonts w:ascii="Times New Roman" w:eastAsia="Times New Roman" w:hAnsi="Times New Roman"/>
      <w:sz w:val="20"/>
      <w:lang w:val="bg-BG"/>
    </w:rPr>
  </w:style>
  <w:style w:type="character" w:customStyle="1" w:styleId="BodyTextChar">
    <w:name w:val="Body Text Char"/>
    <w:basedOn w:val="DefaultParagraphFont"/>
    <w:link w:val="BodyText"/>
    <w:rsid w:val="00D83F28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E3F07"/>
    <w:rPr>
      <w:rFonts w:ascii="Hebar" w:eastAsia="Times New Roman" w:hAnsi="Hebar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E3F07"/>
    <w:rPr>
      <w:rFonts w:ascii="Hebar" w:eastAsia="Times New Roman" w:hAnsi="Hebar" w:cs="Times New Roman"/>
      <w:b/>
      <w:bCs/>
      <w:lang w:val="en-US"/>
    </w:rPr>
  </w:style>
  <w:style w:type="character" w:customStyle="1" w:styleId="Heading3Char">
    <w:name w:val="Heading 3 Char"/>
    <w:basedOn w:val="DefaultParagraphFont"/>
    <w:link w:val="Heading3"/>
    <w:rsid w:val="006E3F0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E3F0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E3F0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E3F07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6E3F07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E3F07"/>
    <w:rPr>
      <w:rFonts w:ascii="Times New Roman" w:eastAsia="Times New Roman" w:hAnsi="Times New Roman" w:cs="Times New Roman"/>
      <w:i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6E3F07"/>
    <w:rPr>
      <w:rFonts w:ascii="Times New Roman" w:eastAsia="Times New Roman" w:hAnsi="Times New Roman" w:cs="Times New Roman"/>
      <w:b/>
      <w:sz w:val="28"/>
      <w:szCs w:val="24"/>
    </w:rPr>
  </w:style>
  <w:style w:type="character" w:styleId="Hyperlink">
    <w:name w:val="Hyperlink"/>
    <w:uiPriority w:val="99"/>
    <w:unhideWhenUsed/>
    <w:rsid w:val="006E3F07"/>
    <w:rPr>
      <w:color w:val="0563C1"/>
      <w:u w:val="single"/>
    </w:rPr>
  </w:style>
  <w:style w:type="paragraph" w:styleId="BodyText2">
    <w:name w:val="Body Text 2"/>
    <w:basedOn w:val="Normal"/>
    <w:link w:val="BodyText2Char"/>
    <w:rsid w:val="006E3F07"/>
    <w:pPr>
      <w:autoSpaceDE w:val="0"/>
      <w:autoSpaceDN w:val="0"/>
      <w:adjustRightInd w:val="0"/>
    </w:pPr>
    <w:rPr>
      <w:rFonts w:ascii="TimesNewRomanPS-ItalicMT" w:hAnsi="TimesNewRomanPS-ItalicMT"/>
      <w:b/>
      <w:iCs/>
      <w:color w:val="FF0000"/>
    </w:rPr>
  </w:style>
  <w:style w:type="character" w:customStyle="1" w:styleId="BodyText2Char">
    <w:name w:val="Body Text 2 Char"/>
    <w:basedOn w:val="DefaultParagraphFont"/>
    <w:link w:val="BodyText2"/>
    <w:rsid w:val="006E3F07"/>
    <w:rPr>
      <w:rFonts w:ascii="TimesNewRomanPS-ItalicMT" w:eastAsia="Μοντέρνα" w:hAnsi="TimesNewRomanPS-ItalicMT" w:cs="Times New Roman"/>
      <w:b/>
      <w:iCs/>
      <w:color w:val="FF0000"/>
      <w:sz w:val="24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6E3F07"/>
    <w:pPr>
      <w:autoSpaceDE w:val="0"/>
      <w:autoSpaceDN w:val="0"/>
      <w:adjustRightInd w:val="0"/>
      <w:ind w:firstLine="480"/>
      <w:outlineLvl w:val="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6E3F07"/>
    <w:rPr>
      <w:rFonts w:ascii="Times New Roman" w:eastAsia="Μοντέρνα" w:hAnsi="Times New Roman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qFormat/>
    <w:rsid w:val="006E3F0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rsid w:val="006E3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3F07"/>
    <w:rPr>
      <w:rFonts w:ascii="Tahoma" w:eastAsia="Μοντέρνα" w:hAnsi="Tahoma" w:cs="Tahoma"/>
      <w:sz w:val="16"/>
      <w:szCs w:val="16"/>
      <w:lang w:val="en-GB" w:eastAsia="bg-BG"/>
    </w:rPr>
  </w:style>
  <w:style w:type="paragraph" w:styleId="BodyTextIndent2">
    <w:name w:val="Body Text Indent 2"/>
    <w:basedOn w:val="Normal"/>
    <w:link w:val="BodyTextIndent2Char"/>
    <w:unhideWhenUsed/>
    <w:rsid w:val="006E3F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E3F07"/>
    <w:rPr>
      <w:rFonts w:ascii="Μοντέρνα" w:eastAsia="Μοντέρνα" w:hAnsi="Μοντέρνα" w:cs="Times New Roman"/>
      <w:sz w:val="24"/>
      <w:szCs w:val="20"/>
      <w:lang w:val="en-GB" w:eastAsia="bg-BG"/>
    </w:rPr>
  </w:style>
  <w:style w:type="numbering" w:customStyle="1" w:styleId="NoList1">
    <w:name w:val="No List1"/>
    <w:next w:val="NoList"/>
    <w:semiHidden/>
    <w:rsid w:val="006E3F07"/>
  </w:style>
  <w:style w:type="character" w:styleId="FootnoteReference">
    <w:name w:val="footnote reference"/>
    <w:semiHidden/>
    <w:rsid w:val="006E3F0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3F07"/>
    <w:pPr>
      <w:autoSpaceDE w:val="0"/>
      <w:autoSpaceDN w:val="0"/>
    </w:pPr>
    <w:rPr>
      <w:rFonts w:ascii="Hebar" w:eastAsia="Times New Roman" w:hAnsi="Hebar"/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E3F07"/>
    <w:rPr>
      <w:rFonts w:ascii="Hebar" w:eastAsia="Times New Roman" w:hAnsi="Hebar" w:cs="Times New Roman"/>
      <w:sz w:val="20"/>
      <w:szCs w:val="20"/>
      <w:lang w:val="en-US"/>
    </w:rPr>
  </w:style>
  <w:style w:type="character" w:styleId="PageNumber">
    <w:name w:val="page number"/>
    <w:rsid w:val="006E3F07"/>
  </w:style>
  <w:style w:type="paragraph" w:styleId="BodyTextIndent3">
    <w:name w:val="Body Text Indent 3"/>
    <w:basedOn w:val="Normal"/>
    <w:link w:val="BodyTextIndent3Char"/>
    <w:rsid w:val="006E3F07"/>
    <w:pPr>
      <w:autoSpaceDE w:val="0"/>
      <w:autoSpaceDN w:val="0"/>
      <w:ind w:firstLine="720"/>
      <w:jc w:val="both"/>
    </w:pPr>
    <w:rPr>
      <w:rFonts w:ascii="Hebar" w:eastAsia="Times New Roman" w:hAnsi="Hebar"/>
      <w:sz w:val="20"/>
      <w:lang w:val="bg-BG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E3F07"/>
    <w:rPr>
      <w:rFonts w:ascii="Hebar" w:eastAsia="Times New Roman" w:hAnsi="Hebar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6E3F07"/>
    <w:pPr>
      <w:autoSpaceDE w:val="0"/>
      <w:autoSpaceDN w:val="0"/>
      <w:ind w:firstLine="720"/>
      <w:jc w:val="both"/>
    </w:pPr>
    <w:rPr>
      <w:rFonts w:ascii="Times New Roman" w:eastAsia="Times New Roman" w:hAnsi="Times New Roman"/>
      <w:i/>
      <w:iCs/>
      <w:sz w:val="20"/>
      <w:lang w:val="bg-BG" w:eastAsia="en-US"/>
    </w:rPr>
  </w:style>
  <w:style w:type="paragraph" w:styleId="BodyText3">
    <w:name w:val="Body Text 3"/>
    <w:basedOn w:val="Normal"/>
    <w:link w:val="BodyText3Char"/>
    <w:rsid w:val="006E3F07"/>
    <w:pPr>
      <w:tabs>
        <w:tab w:val="left" w:pos="851"/>
      </w:tabs>
    </w:pPr>
    <w:rPr>
      <w:rFonts w:ascii="A4p" w:eastAsia="Times New Roman" w:hAnsi="A4p"/>
      <w:b/>
      <w:bCs/>
      <w:sz w:val="28"/>
      <w:lang w:val="bg-BG" w:eastAsia="en-US"/>
    </w:rPr>
  </w:style>
  <w:style w:type="character" w:customStyle="1" w:styleId="BodyText3Char">
    <w:name w:val="Body Text 3 Char"/>
    <w:basedOn w:val="DefaultParagraphFont"/>
    <w:link w:val="BodyText3"/>
    <w:rsid w:val="006E3F07"/>
    <w:rPr>
      <w:rFonts w:ascii="A4p" w:eastAsia="Times New Roman" w:hAnsi="A4p" w:cs="Times New Roman"/>
      <w:b/>
      <w:bCs/>
      <w:sz w:val="28"/>
      <w:szCs w:val="20"/>
    </w:rPr>
  </w:style>
  <w:style w:type="character" w:styleId="Strong">
    <w:name w:val="Strong"/>
    <w:qFormat/>
    <w:rsid w:val="006E3F07"/>
    <w:rPr>
      <w:b/>
      <w:bCs/>
    </w:rPr>
  </w:style>
  <w:style w:type="paragraph" w:customStyle="1" w:styleId="xl29">
    <w:name w:val="xl29"/>
    <w:basedOn w:val="Normal"/>
    <w:rsid w:val="006E3F0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US"/>
    </w:rPr>
  </w:style>
  <w:style w:type="paragraph" w:styleId="DocumentMap">
    <w:name w:val="Document Map"/>
    <w:basedOn w:val="Normal"/>
    <w:link w:val="DocumentMapChar"/>
    <w:semiHidden/>
    <w:rsid w:val="006E3F07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E3F07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table" w:styleId="TableGrid">
    <w:name w:val="Table Grid"/>
    <w:basedOn w:val="TableNormal"/>
    <w:uiPriority w:val="59"/>
    <w:rsid w:val="006E3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E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F07"/>
    <w:pPr>
      <w:autoSpaceDE w:val="0"/>
      <w:autoSpaceDN w:val="0"/>
    </w:pPr>
    <w:rPr>
      <w:rFonts w:ascii="Hebar" w:eastAsia="Times New Roman" w:hAnsi="Hebar"/>
      <w:sz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F07"/>
    <w:rPr>
      <w:rFonts w:ascii="Hebar" w:eastAsia="Times New Roman" w:hAnsi="Heba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F07"/>
    <w:rPr>
      <w:rFonts w:ascii="Hebar" w:eastAsia="Times New Roman" w:hAnsi="Hebar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E3F07"/>
    <w:pPr>
      <w:spacing w:after="0" w:line="240" w:lineRule="auto"/>
    </w:pPr>
    <w:rPr>
      <w:rFonts w:ascii="Μοντέρνα" w:eastAsia="Μοντέρνα" w:hAnsi="Μοντέρνα" w:cs="Times New Roman"/>
      <w:sz w:val="24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nsi.b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&#1043;&#1086;&#1076;&#1080;&#1096;&#1085;&#1086;%202024\PRESS_2024\graf_202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&#1043;&#1086;&#1076;&#1080;&#1096;&#1085;&#1086;%202024\PRESS_2024\graf_2024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&#1043;&#1086;&#1076;&#1080;&#1096;&#1085;&#1086;%202024\PRESS_2024\graf_2024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&#1043;&#1086;&#1076;&#1080;&#1096;&#1085;&#1086;%202024\PRESS_2024\graf_2024.xls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lexandraMyDocuments\HBS\Pressreleases\&#1043;&#1086;&#1076;&#1080;&#1096;&#1085;&#1086;%202024\PRESS_2024\graf_2024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lexandraMyDocuments\HBS\Pressreleases\&#1043;&#1086;&#1076;&#1080;&#1096;&#1085;&#1086;%202024\PRESS_2024\graf_202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627296587926511E-2"/>
          <c:y val="0.14351851851851852"/>
          <c:w val="0.91581714785651791"/>
          <c:h val="0.74050160396617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'2024'!$A$5</c:f>
              <c:strCache>
                <c:ptCount val="1"/>
                <c:pt idx="0">
                  <c:v>Работна заплата
 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</c:spPr>
          <c:invertIfNegative val="0"/>
          <c:dLbls>
            <c:numFmt formatCode="#,##0.0" sourceLinked="0"/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'2024'!$B$4:$K$4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'2024'!$B$5:$K$5</c:f>
              <c:numCache>
                <c:formatCode>0.0</c:formatCode>
                <c:ptCount val="10"/>
                <c:pt idx="0">
                  <c:v>55</c:v>
                </c:pt>
                <c:pt idx="1">
                  <c:v>54.3</c:v>
                </c:pt>
                <c:pt idx="2">
                  <c:v>54.4</c:v>
                </c:pt>
                <c:pt idx="3">
                  <c:v>55.5</c:v>
                </c:pt>
                <c:pt idx="4">
                  <c:v>56.6</c:v>
                </c:pt>
                <c:pt idx="5">
                  <c:v>56.1</c:v>
                </c:pt>
                <c:pt idx="6">
                  <c:v>56.8</c:v>
                </c:pt>
                <c:pt idx="7">
                  <c:v>53.9</c:v>
                </c:pt>
                <c:pt idx="8">
                  <c:v>54.8</c:v>
                </c:pt>
                <c:pt idx="9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3C-4F03-8861-45B89BAB42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4216256"/>
        <c:axId val="1"/>
      </c:barChart>
      <c:catAx>
        <c:axId val="564216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7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4.4983350961726801E-2"/>
              <c:y val="4.8016914552347627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5642162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r>
              <a:rPr lang="bg-BG" sz="800"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6.2192637684995257E-2"/>
          <c:y val="4.88989010063581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883028721545474E-2"/>
          <c:y val="0.10173160173160173"/>
          <c:w val="0.89189346124271751"/>
          <c:h val="0.661255411255411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'2024'!$A$33</c:f>
              <c:strCache>
                <c:ptCount val="1"/>
                <c:pt idx="0">
                  <c:v> Пенсии 
</c:v>
                </c:pt>
              </c:strCache>
            </c:strRef>
          </c:tx>
          <c:spPr>
            <a:solidFill>
              <a:srgbClr val="0070C0"/>
            </a:solidFill>
            <a:ln w="25400">
              <a:solidFill>
                <a:srgbClr val="0070C0"/>
              </a:solidFill>
            </a:ln>
          </c:spPr>
          <c:invertIfNegative val="0"/>
          <c:dLbls>
            <c:dLbl>
              <c:idx val="0"/>
              <c:layout>
                <c:manualLayout>
                  <c:x val="5.4571477452440859E-3"/>
                  <c:y val="-3.1184990765043257E-4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82F-42A8-B26E-3606BC8F51D6}"/>
                </c:ext>
              </c:extLst>
            </c:dLbl>
            <c:dLbl>
              <c:idx val="5"/>
              <c:layout>
                <c:manualLayout>
                  <c:x val="2.5688680806791042E-3"/>
                  <c:y val="-2.7421016817342275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2F-42A8-B26E-3606BC8F51D6}"/>
                </c:ext>
              </c:extLst>
            </c:dLbl>
            <c:dLbl>
              <c:idx val="6"/>
              <c:layout>
                <c:manualLayout>
                  <c:x val="3.0421491431218157E-3"/>
                  <c:y val="3.965921372127949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82F-42A8-B26E-3606BC8F51D6}"/>
                </c:ext>
              </c:extLst>
            </c:dLbl>
            <c:dLbl>
              <c:idx val="7"/>
              <c:layout>
                <c:manualLayout>
                  <c:x val="-1.9355418410536521E-3"/>
                  <c:y val="2.1300670749489648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82F-42A8-B26E-3606BC8F51D6}"/>
                </c:ext>
              </c:extLst>
            </c:dLbl>
            <c:dLbl>
              <c:idx val="8"/>
              <c:layout>
                <c:manualLayout>
                  <c:x val="-1.1848518935133109E-3"/>
                  <c:y val="8.2712254551068811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82F-42A8-B26E-3606BC8F51D6}"/>
                </c:ext>
              </c:extLst>
            </c:dLbl>
            <c:dLbl>
              <c:idx val="9"/>
              <c:layout>
                <c:manualLayout>
                  <c:x val="0"/>
                  <c:y val="1.06951871657754E-2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82F-42A8-B26E-3606BC8F51D6}"/>
                </c:ext>
              </c:extLst>
            </c:dLbl>
            <c:dLbl>
              <c:idx val="10"/>
              <c:layout>
                <c:manualLayout>
                  <c:x val="2.1184649216145278E-3"/>
                  <c:y val="-9.8246978386960893E-5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82F-42A8-B26E-3606BC8F51D6}"/>
                </c:ext>
              </c:extLst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'2024'!$B$32:$K$32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'2024'!$B$33:$K$33</c:f>
              <c:numCache>
                <c:formatCode>0.0</c:formatCode>
                <c:ptCount val="10"/>
                <c:pt idx="0">
                  <c:v>26</c:v>
                </c:pt>
                <c:pt idx="1">
                  <c:v>27.7</c:v>
                </c:pt>
                <c:pt idx="2">
                  <c:v>26.5</c:v>
                </c:pt>
                <c:pt idx="3">
                  <c:v>27.3</c:v>
                </c:pt>
                <c:pt idx="4">
                  <c:v>27.3</c:v>
                </c:pt>
                <c:pt idx="5">
                  <c:v>28.8</c:v>
                </c:pt>
                <c:pt idx="6">
                  <c:v>30</c:v>
                </c:pt>
                <c:pt idx="7">
                  <c:v>33.700000000000003</c:v>
                </c:pt>
                <c:pt idx="8">
                  <c:v>31.8</c:v>
                </c:pt>
                <c:pt idx="9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82F-42A8-B26E-3606BC8F51D6}"/>
            </c:ext>
          </c:extLst>
        </c:ser>
        <c:ser>
          <c:idx val="1"/>
          <c:order val="1"/>
          <c:tx>
            <c:strRef>
              <c:f>'2024'!$A$34</c:f>
              <c:strCache>
                <c:ptCount val="1"/>
                <c:pt idx="0">
                  <c:v> Други социални помощи 
 и обезщетения
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4.4521493636824807E-3"/>
                  <c:y val="-3.8379159824273304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82F-42A8-B26E-3606BC8F51D6}"/>
                </c:ext>
              </c:extLst>
            </c:dLbl>
            <c:dLbl>
              <c:idx val="1"/>
              <c:layout>
                <c:manualLayout>
                  <c:x val="6.6334991708126038E-3"/>
                  <c:y val="0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82F-42A8-B26E-3606BC8F51D6}"/>
                </c:ext>
              </c:extLst>
            </c:dLbl>
            <c:dLbl>
              <c:idx val="2"/>
              <c:layout>
                <c:manualLayout>
                  <c:x val="4.8046935309556896E-3"/>
                  <c:y val="3.2921810699588477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82F-42A8-B26E-3606BC8F51D6}"/>
                </c:ext>
              </c:extLst>
            </c:dLbl>
            <c:dLbl>
              <c:idx val="3"/>
              <c:layout>
                <c:manualLayout>
                  <c:x val="7.2070402964335345E-3"/>
                  <c:y val="0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82F-42A8-B26E-3606BC8F51D6}"/>
                </c:ext>
              </c:extLst>
            </c:dLbl>
            <c:dLbl>
              <c:idx val="4"/>
              <c:layout>
                <c:manualLayout>
                  <c:x val="7.2072072072072073E-3"/>
                  <c:y val="6.5843621399176953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82F-42A8-B26E-3606BC8F51D6}"/>
                </c:ext>
              </c:extLst>
            </c:dLbl>
            <c:dLbl>
              <c:idx val="5"/>
              <c:layout>
                <c:manualLayout>
                  <c:x val="4.8048048048048046E-3"/>
                  <c:y val="3.2921810699588477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82F-42A8-B26E-3606BC8F51D6}"/>
                </c:ext>
              </c:extLst>
            </c:dLbl>
            <c:dLbl>
              <c:idx val="6"/>
              <c:layout>
                <c:manualLayout>
                  <c:x val="4.8048048048048046E-3"/>
                  <c:y val="3.2921810699588477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D82F-42A8-B26E-3606BC8F51D6}"/>
                </c:ext>
              </c:extLst>
            </c:dLbl>
            <c:dLbl>
              <c:idx val="7"/>
              <c:layout>
                <c:manualLayout>
                  <c:x val="4.643243124021262E-3"/>
                  <c:y val="2.7285359383552994E-4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82F-42A8-B26E-3606BC8F51D6}"/>
                </c:ext>
              </c:extLst>
            </c:dLbl>
            <c:dLbl>
              <c:idx val="8"/>
              <c:layout>
                <c:manualLayout>
                  <c:x val="6.8841394825645153E-3"/>
                  <c:y val="0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82F-42A8-B26E-3606BC8F51D6}"/>
                </c:ext>
              </c:extLst>
            </c:dLbl>
            <c:dLbl>
              <c:idx val="9"/>
              <c:layout>
                <c:manualLayout>
                  <c:x val="4.2395336512983575E-3"/>
                  <c:y val="0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82F-42A8-B26E-3606BC8F51D6}"/>
                </c:ext>
              </c:extLst>
            </c:dLbl>
            <c:dLbl>
              <c:idx val="10"/>
              <c:layout>
                <c:manualLayout>
                  <c:x val="4.8048048048048046E-3"/>
                  <c:y val="9.876543209876543E-3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82F-42A8-B26E-3606BC8F51D6}"/>
                </c:ext>
              </c:extLst>
            </c:dLbl>
            <c:dLbl>
              <c:idx val="11"/>
              <c:layout>
                <c:manualLayout>
                  <c:x val="7.2072072072072073E-3"/>
                  <c:y val="0"/>
                </c:manualLayout>
              </c:layout>
              <c:numFmt formatCode="#,##0.0" sourceLinked="0"/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82F-42A8-B26E-3606BC8F51D6}"/>
                </c:ext>
              </c:extLst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'2024'!$B$32:$K$32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'2024'!$B$34:$K$34</c:f>
              <c:numCache>
                <c:formatCode>0.0</c:formatCode>
                <c:ptCount val="10"/>
                <c:pt idx="0">
                  <c:v>3.4</c:v>
                </c:pt>
                <c:pt idx="1">
                  <c:v>3.5</c:v>
                </c:pt>
                <c:pt idx="2">
                  <c:v>3.4</c:v>
                </c:pt>
                <c:pt idx="3">
                  <c:v>2.5</c:v>
                </c:pt>
                <c:pt idx="4">
                  <c:v>2.9</c:v>
                </c:pt>
                <c:pt idx="5">
                  <c:v>3</c:v>
                </c:pt>
                <c:pt idx="6">
                  <c:v>2.5</c:v>
                </c:pt>
                <c:pt idx="7">
                  <c:v>2.1</c:v>
                </c:pt>
                <c:pt idx="8">
                  <c:v>2.1</c:v>
                </c:pt>
                <c:pt idx="9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82F-42A8-B26E-3606BC8F5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axId val="684138528"/>
        <c:axId val="1"/>
      </c:barChart>
      <c:catAx>
        <c:axId val="68413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3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68413852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8.0674739187013386E-2"/>
          <c:y val="0.87168470251379004"/>
          <c:w val="0.83531987913275552"/>
          <c:h val="0.1016073659241792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195554669590349E-2"/>
          <c:y val="0.13605701726308603"/>
          <c:w val="0.91123904448652782"/>
          <c:h val="0.72816166271898941"/>
        </c:manualLayout>
      </c:layout>
      <c:lineChart>
        <c:grouping val="standard"/>
        <c:varyColors val="0"/>
        <c:ser>
          <c:idx val="0"/>
          <c:order val="0"/>
          <c:tx>
            <c:strRef>
              <c:f>'2024'!$A$67</c:f>
              <c:strCache>
                <c:ptCount val="1"/>
                <c:pt idx="0">
                  <c:v>Самостоятелна заетост</c:v>
                </c:pt>
              </c:strCache>
            </c:strRef>
          </c:tx>
          <c:marker>
            <c:spPr>
              <a:solidFill>
                <a:srgbClr val="0070C0"/>
              </a:solidFill>
            </c:spPr>
          </c:marker>
          <c:dLbls>
            <c:dLbl>
              <c:idx val="0"/>
              <c:layout>
                <c:manualLayout>
                  <c:x val="-3.90200589717574E-2"/>
                  <c:y val="-5.2387946698970324E-2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77C-440C-9BA3-EE966593F5AB}"/>
                </c:ext>
              </c:extLst>
            </c:dLbl>
            <c:dLbl>
              <c:idx val="1"/>
              <c:layout>
                <c:manualLayout>
                  <c:x val="-2.9347958561852551E-2"/>
                  <c:y val="-9.3917975892823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77C-440C-9BA3-EE966593F5AB}"/>
                </c:ext>
              </c:extLst>
            </c:dLbl>
            <c:dLbl>
              <c:idx val="4"/>
              <c:layout>
                <c:manualLayout>
                  <c:x val="-2.9305349628371408E-2"/>
                  <c:y val="-6.5208294460822727E-2"/>
                </c:manualLayout>
              </c:layout>
              <c:spPr>
                <a:solidFill>
                  <a:schemeClr val="bg1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77C-440C-9BA3-EE966593F5AB}"/>
                </c:ext>
              </c:extLst>
            </c:dLbl>
            <c:dLbl>
              <c:idx val="6"/>
              <c:layout>
                <c:manualLayout>
                  <c:x val="-2.9347958561852617E-2"/>
                  <c:y val="-7.4960629921259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77C-440C-9BA3-EE966593F5AB}"/>
                </c:ext>
              </c:extLst>
            </c:dLbl>
            <c:dLbl>
              <c:idx val="7"/>
              <c:layout>
                <c:manualLayout>
                  <c:x val="-4.1535648994515631E-2"/>
                  <c:y val="-8.75988605689691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7C-440C-9BA3-EE966593F5AB}"/>
                </c:ext>
              </c:extLst>
            </c:dLbl>
            <c:dLbl>
              <c:idx val="8"/>
              <c:layout>
                <c:manualLayout>
                  <c:x val="-5.6160877513711155E-2"/>
                  <c:y val="-7.4960629921259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77C-440C-9BA3-EE966593F5AB}"/>
                </c:ext>
              </c:extLst>
            </c:dLbl>
            <c:spPr>
              <a:solidFill>
                <a:schemeClr val="bg1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'2024'!$B$66:$K$66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'2024'!$B$67:$K$67</c:f>
              <c:numCache>
                <c:formatCode>General</c:formatCode>
                <c:ptCount val="10"/>
                <c:pt idx="0">
                  <c:v>7.2</c:v>
                </c:pt>
                <c:pt idx="1">
                  <c:v>6.2</c:v>
                </c:pt>
                <c:pt idx="2">
                  <c:v>6.7</c:v>
                </c:pt>
                <c:pt idx="3" formatCode="0.0">
                  <c:v>7</c:v>
                </c:pt>
                <c:pt idx="4">
                  <c:v>6.4</c:v>
                </c:pt>
                <c:pt idx="5">
                  <c:v>6.2</c:v>
                </c:pt>
                <c:pt idx="6">
                  <c:v>5.2</c:v>
                </c:pt>
                <c:pt idx="7">
                  <c:v>4.7</c:v>
                </c:pt>
                <c:pt idx="8">
                  <c:v>5.7</c:v>
                </c:pt>
                <c:pt idx="9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77C-440C-9BA3-EE966593F5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140192"/>
        <c:axId val="1"/>
      </c:lineChart>
      <c:catAx>
        <c:axId val="684140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5.2508984822966585E-2"/>
              <c:y val="3.074772051597815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684140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4003636191611063E-2"/>
          <c:y val="0.15788203557888597"/>
          <c:w val="0.91404027943478716"/>
          <c:h val="0.726138086905803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'2024'!$A$91</c:f>
              <c:strCache>
                <c:ptCount val="1"/>
                <c:pt idx="0">
                  <c:v>Храна и безалкохолни напитки 
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</c:spPr>
          <c:invertIfNegative val="0"/>
          <c:dLbls>
            <c:spPr>
              <a:solidFill>
                <a:schemeClr val="bg1"/>
              </a:solidFill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'2024'!$B$90:$K$90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'2024'!$B$91:$K$91</c:f>
              <c:numCache>
                <c:formatCode>0.0</c:formatCode>
                <c:ptCount val="10"/>
                <c:pt idx="0">
                  <c:v>31.4</c:v>
                </c:pt>
                <c:pt idx="1">
                  <c:v>30.8</c:v>
                </c:pt>
                <c:pt idx="2">
                  <c:v>30.1</c:v>
                </c:pt>
                <c:pt idx="3">
                  <c:v>29.7</c:v>
                </c:pt>
                <c:pt idx="4">
                  <c:v>29.5</c:v>
                </c:pt>
                <c:pt idx="5">
                  <c:v>30.1</c:v>
                </c:pt>
                <c:pt idx="6">
                  <c:v>29.2</c:v>
                </c:pt>
                <c:pt idx="7">
                  <c:v>30.1</c:v>
                </c:pt>
                <c:pt idx="8">
                  <c:v>29.7</c:v>
                </c:pt>
                <c:pt idx="9">
                  <c:v>28.7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F-4A15-A3AD-0B751F240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3545760"/>
        <c:axId val="1"/>
      </c:barChart>
      <c:catAx>
        <c:axId val="523545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4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 algn="ctr"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r>
                  <a:rPr lang="bg-BG" sz="800">
                    <a:latin typeface="Verdana" panose="020B0604030504040204" pitchFamily="34" charset="0"/>
                    <a:ea typeface="Verdana" panose="020B0604030504040204" pitchFamily="34" charset="0"/>
                  </a:rPr>
                  <a:t>%</a:t>
                </a:r>
              </a:p>
            </c:rich>
          </c:tx>
          <c:layout>
            <c:manualLayout>
              <c:xMode val="edge"/>
              <c:yMode val="edge"/>
              <c:x val="5.1896099194497239E-2"/>
              <c:y val="5.7513650209782177E-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523545760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80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</a:rPr>
              <a:t>%</a:t>
            </a:r>
          </a:p>
        </c:rich>
      </c:tx>
      <c:layout>
        <c:manualLayout>
          <c:xMode val="edge"/>
          <c:yMode val="edge"/>
          <c:x val="5.3864128556241175E-2"/>
          <c:y val="4.1666666666666664E-2"/>
        </c:manualLayout>
      </c:layout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6.8603377927032791E-2"/>
          <c:y val="0.1376159230096238"/>
          <c:w val="0.90796744602358914"/>
          <c:h val="0.73928988043161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'2024'!$A$115</c:f>
              <c:strCache>
                <c:ptCount val="1"/>
                <c:pt idx="0">
                  <c:v>За жилището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'2024'!$B$114:$K$114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'2024'!$B$115:$K$115</c:f>
              <c:numCache>
                <c:formatCode>0.0</c:formatCode>
                <c:ptCount val="10"/>
                <c:pt idx="0">
                  <c:v>18</c:v>
                </c:pt>
                <c:pt idx="1">
                  <c:v>18</c:v>
                </c:pt>
                <c:pt idx="2">
                  <c:v>19</c:v>
                </c:pt>
                <c:pt idx="3">
                  <c:v>17.600000000000001</c:v>
                </c:pt>
                <c:pt idx="4">
                  <c:v>17.2</c:v>
                </c:pt>
                <c:pt idx="5">
                  <c:v>18</c:v>
                </c:pt>
                <c:pt idx="6">
                  <c:v>18.5</c:v>
                </c:pt>
                <c:pt idx="7">
                  <c:v>18.600000000000001</c:v>
                </c:pt>
                <c:pt idx="8">
                  <c:v>16.8</c:v>
                </c:pt>
                <c:pt idx="9">
                  <c:v>15.700000000000001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52-4A56-9262-CF54C46C9E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6070863"/>
        <c:axId val="986072527"/>
      </c:barChart>
      <c:catAx>
        <c:axId val="986070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986072527"/>
        <c:crosses val="autoZero"/>
        <c:auto val="1"/>
        <c:lblAlgn val="ctr"/>
        <c:lblOffset val="100"/>
        <c:noMultiLvlLbl val="0"/>
      </c:catAx>
      <c:valAx>
        <c:axId val="9860725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+mn-cs"/>
              </a:defRPr>
            </a:pPr>
            <a:endParaRPr lang="bg-BG"/>
          </a:p>
        </c:txPr>
        <c:crossAx val="986070863"/>
        <c:crosses val="autoZero"/>
        <c:crossBetween val="between"/>
        <c:min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6703959831108068"/>
          <c:y val="2.0990040915544239E-2"/>
          <c:w val="0.54774301038457152"/>
          <c:h val="0.8631680454500149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'2024'!$B$202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7.4074074074074077E-3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B2-4987-9B51-5796810130EC}"/>
                </c:ext>
              </c:extLst>
            </c:dLbl>
            <c:dLbl>
              <c:idx val="1"/>
              <c:layout>
                <c:manualLayout>
                  <c:x val="0"/>
                  <c:y val="1.2345679012345588E-2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B2-4987-9B51-5796810130EC}"/>
                </c:ext>
              </c:extLst>
            </c:dLbl>
            <c:dLbl>
              <c:idx val="3"/>
              <c:layout>
                <c:manualLayout>
                  <c:x val="-8.5023172394429168E-17"/>
                  <c:y val="1.2345679012345678E-2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B2-4987-9B51-5796810130EC}"/>
                </c:ext>
              </c:extLst>
            </c:dLbl>
            <c:dLbl>
              <c:idx val="4"/>
              <c:layout>
                <c:manualLayout>
                  <c:x val="0"/>
                  <c:y val="9.876543209876543E-3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B2-4987-9B51-5796810130EC}"/>
                </c:ext>
              </c:extLst>
            </c:dLbl>
            <c:dLbl>
              <c:idx val="5"/>
              <c:layout>
                <c:manualLayout>
                  <c:x val="-8.5023172394429168E-17"/>
                  <c:y val="9.876543209876543E-3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B2-4987-9B51-5796810130EC}"/>
                </c:ext>
              </c:extLst>
            </c:dLbl>
            <c:dLbl>
              <c:idx val="6"/>
              <c:layout>
                <c:manualLayout>
                  <c:x val="-2.3188405797101449E-3"/>
                  <c:y val="7.4074074074074077E-3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B2-4987-9B51-5796810130EC}"/>
                </c:ext>
              </c:extLst>
            </c:dLbl>
            <c:dLbl>
              <c:idx val="8"/>
              <c:layout>
                <c:manualLayout>
                  <c:x val="-8.5023172394429168E-17"/>
                  <c:y val="1.2345679012345656E-2"/>
                </c:manualLayout>
              </c:layout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B2-4987-9B51-5796810130EC}"/>
                </c:ext>
              </c:extLst>
            </c:dLbl>
            <c:dLbl>
              <c:idx val="9"/>
              <c:layout>
                <c:manualLayout>
                  <c:x val="0"/>
                  <c:y val="1.0153572788424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1B2-4987-9B51-5796810130EC}"/>
                </c:ext>
              </c:extLst>
            </c:dLbl>
            <c:spPr>
              <a:solidFill>
                <a:sysClr val="window" lastClr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'2024'!$A$203:$A$212</c:f>
              <c:strCache>
                <c:ptCount val="10"/>
                <c:pt idx="0">
                  <c:v>Mесни произведения  - кг 
</c:v>
                </c:pt>
                <c:pt idx="1">
                  <c:v>Прясно мляко - л 
</c:v>
                </c:pt>
                <c:pt idx="2">
                  <c:v>Kартофи - кг 
</c:v>
                </c:pt>
                <c:pt idx="3">
                  <c:v>Kисело мляко - кг 
</c:v>
                </c:pt>
                <c:pt idx="4">
                  <c:v>Алкохолни напитки - л 
</c:v>
                </c:pt>
                <c:pt idx="5">
                  <c:v>Mесо - кг 
</c:v>
                </c:pt>
                <c:pt idx="6">
                  <c:v>Плодове - кг  
</c:v>
                </c:pt>
                <c:pt idx="7">
                  <c:v>Хляб и тестени изделия - кг
</c:v>
                </c:pt>
                <c:pt idx="8">
                  <c:v>Зеленчуци - кг  
</c:v>
                </c:pt>
                <c:pt idx="9">
                  <c:v>Безалкохолни напитки - л 
</c:v>
                </c:pt>
              </c:strCache>
            </c:strRef>
          </c:cat>
          <c:val>
            <c:numRef>
              <c:f>'2024'!$B$203:$B$212</c:f>
              <c:numCache>
                <c:formatCode>0.0</c:formatCode>
                <c:ptCount val="10"/>
                <c:pt idx="0">
                  <c:v>16.2</c:v>
                </c:pt>
                <c:pt idx="1">
                  <c:v>18.7</c:v>
                </c:pt>
                <c:pt idx="2">
                  <c:v>27.2</c:v>
                </c:pt>
                <c:pt idx="3">
                  <c:v>27.3</c:v>
                </c:pt>
                <c:pt idx="4">
                  <c:v>34.9</c:v>
                </c:pt>
                <c:pt idx="5">
                  <c:v>38.1</c:v>
                </c:pt>
                <c:pt idx="6">
                  <c:v>54.2</c:v>
                </c:pt>
                <c:pt idx="7">
                  <c:v>72.5</c:v>
                </c:pt>
                <c:pt idx="8">
                  <c:v>75</c:v>
                </c:pt>
                <c:pt idx="9">
                  <c:v>88.4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1B2-4987-9B51-5796810130EC}"/>
            </c:ext>
          </c:extLst>
        </c:ser>
        <c:ser>
          <c:idx val="1"/>
          <c:order val="1"/>
          <c:tx>
            <c:strRef>
              <c:f>'2024'!$C$202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4"/>
              <c:layout>
                <c:manualLayout>
                  <c:x val="-8.5023172394429168E-17"/>
                  <c:y val="4.9382716049382715E-3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B2-4987-9B51-5796810130EC}"/>
                </c:ext>
              </c:extLst>
            </c:dLbl>
            <c:dLbl>
              <c:idx val="7"/>
              <c:layout>
                <c:manualLayout>
                  <c:x val="2.4660912453759883E-3"/>
                  <c:y val="-1.015357278842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1B2-4987-9B51-5796810130EC}"/>
                </c:ext>
              </c:extLst>
            </c:dLbl>
            <c:dLbl>
              <c:idx val="9"/>
              <c:layout>
                <c:manualLayout>
                  <c:x val="0"/>
                  <c:y val="-7.4074074074074103E-3"/>
                </c:manualLayout>
              </c:layout>
              <c:numFmt formatCode="#,##0.0" sourceLinked="0"/>
              <c:spPr>
                <a:solidFill>
                  <a:sysClr val="window" lastClr="FFFFFF"/>
                </a:solidFill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Verdana" panose="020B0604030504040204" pitchFamily="34" charset="0"/>
                      <a:ea typeface="Verdana" panose="020B0604030504040204" pitchFamily="34" charset="0"/>
                      <a:cs typeface="Times New Roman"/>
                    </a:defRPr>
                  </a:pPr>
                  <a:endParaRPr lang="bg-BG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B2-4987-9B51-5796810130EC}"/>
                </c:ext>
              </c:extLst>
            </c:dLbl>
            <c:numFmt formatCode="#,##0.0" sourceLinked="0"/>
            <c:spPr>
              <a:solidFill>
                <a:sysClr val="window" lastClr="FFFFFF"/>
              </a:solidFill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Times New Roman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'2024'!$A$203:$A$212</c:f>
              <c:strCache>
                <c:ptCount val="10"/>
                <c:pt idx="0">
                  <c:v>Mесни произведения  - кг 
</c:v>
                </c:pt>
                <c:pt idx="1">
                  <c:v>Прясно мляко - л 
</c:v>
                </c:pt>
                <c:pt idx="2">
                  <c:v>Kартофи - кг 
</c:v>
                </c:pt>
                <c:pt idx="3">
                  <c:v>Kисело мляко - кг 
</c:v>
                </c:pt>
                <c:pt idx="4">
                  <c:v>Алкохолни напитки - л 
</c:v>
                </c:pt>
                <c:pt idx="5">
                  <c:v>Mесо - кг 
</c:v>
                </c:pt>
                <c:pt idx="6">
                  <c:v>Плодове - кг  
</c:v>
                </c:pt>
                <c:pt idx="7">
                  <c:v>Хляб и тестени изделия - кг
</c:v>
                </c:pt>
                <c:pt idx="8">
                  <c:v>Зеленчуци - кг  
</c:v>
                </c:pt>
                <c:pt idx="9">
                  <c:v>Безалкохолни напитки - л 
</c:v>
                </c:pt>
              </c:strCache>
            </c:strRef>
          </c:cat>
          <c:val>
            <c:numRef>
              <c:f>'2024'!$C$203:$C$212</c:f>
              <c:numCache>
                <c:formatCode>0.0</c:formatCode>
                <c:ptCount val="10"/>
                <c:pt idx="0">
                  <c:v>17.100000000000001</c:v>
                </c:pt>
                <c:pt idx="1">
                  <c:v>19.600000000000001</c:v>
                </c:pt>
                <c:pt idx="2">
                  <c:v>26.9</c:v>
                </c:pt>
                <c:pt idx="3">
                  <c:v>28.2</c:v>
                </c:pt>
                <c:pt idx="4">
                  <c:v>36.299999999999997</c:v>
                </c:pt>
                <c:pt idx="5">
                  <c:v>40.4</c:v>
                </c:pt>
                <c:pt idx="6">
                  <c:v>60</c:v>
                </c:pt>
                <c:pt idx="7">
                  <c:v>69.099999999999994</c:v>
                </c:pt>
                <c:pt idx="8">
                  <c:v>76.2</c:v>
                </c:pt>
                <c:pt idx="9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1B2-4987-9B51-579681013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1"/>
        <c:overlap val="3"/>
        <c:axId val="806427103"/>
        <c:axId val="1"/>
      </c:barChart>
      <c:catAx>
        <c:axId val="80642710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#,##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Times New Roman"/>
              </a:defRPr>
            </a:pPr>
            <a:endParaRPr lang="bg-BG"/>
          </a:p>
        </c:txPr>
        <c:crossAx val="806427103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37218614629693025"/>
          <c:y val="0.93701833947971691"/>
          <c:w val="0.49450589980600251"/>
          <c:h val="4.6297551413668231E-2"/>
        </c:manualLayout>
      </c:layout>
      <c:overlay val="0"/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 panose="020B0604030504040204" pitchFamily="34" charset="0"/>
              <a:ea typeface="Verdana" panose="020B0604030504040204" pitchFamily="34" charset="0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ysClr val="window" lastClr="FFFFFF"/>
    </a:solidFill>
    <a:ln>
      <a:solidFill>
        <a:schemeClr val="bg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bg-BG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A6E57-EA35-4BDA-8005-355C9A51C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7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Alexandra Andreeva</cp:lastModifiedBy>
  <cp:revision>136</cp:revision>
  <dcterms:created xsi:type="dcterms:W3CDTF">2024-12-23T09:14:00Z</dcterms:created>
  <dcterms:modified xsi:type="dcterms:W3CDTF">2025-04-09T12:30:00Z</dcterms:modified>
</cp:coreProperties>
</file>