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E1DE2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7D7FEFEA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AF345D0" w14:textId="77777777" w:rsidR="000B14AA" w:rsidRDefault="000B14AA" w:rsidP="000E0A2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1964953" w14:textId="77777777" w:rsidR="000B14AA" w:rsidRPr="000B14AA" w:rsidRDefault="000B14AA" w:rsidP="000B14AA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  <w:r w:rsidRPr="000B14A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ПРОИЗВОДИТЕЛНОСТ НА ТРУДА, ЗАЕТИ ЛИЦА И ОТРАБОТЕНО ВРЕМЕ </w:t>
      </w:r>
      <w:r w:rsidRPr="000B14AA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 xml:space="preserve">                  </w:t>
      </w:r>
      <w:r w:rsidRPr="000B14A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ПРЕЗ</w:t>
      </w:r>
      <w:r w:rsidRPr="000B14AA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 xml:space="preserve"> </w:t>
      </w:r>
      <w:r w:rsidRPr="000B14A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2024 ГОДИНА</w:t>
      </w:r>
      <w:r w:rsidRPr="000B14AA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 </w:t>
      </w:r>
    </w:p>
    <w:p w14:paraId="6D87C10D" w14:textId="77777777" w:rsidR="000B14AA" w:rsidRPr="000B14AA" w:rsidRDefault="000B14AA" w:rsidP="000E0A21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lang w:eastAsia="bg-BG"/>
        </w:rPr>
      </w:pPr>
      <w:r w:rsidRPr="000B14AA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 xml:space="preserve"> </w:t>
      </w:r>
      <w:r w:rsidRPr="000B14AA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(</w:t>
      </w:r>
      <w:r w:rsidRPr="000B14A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ПРЕДВАРИТЕЛНИ ДАННИ)</w:t>
      </w:r>
    </w:p>
    <w:p w14:paraId="0C061001" w14:textId="77777777" w:rsidR="000B14AA" w:rsidRPr="000B14AA" w:rsidRDefault="000B14AA" w:rsidP="000B14AA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предварителни данни през 2024 г. брутният вътрешен продукт (БВП) на един зает се увеличава реално с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1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7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% в сравнение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 предходната година. </w:t>
      </w:r>
    </w:p>
    <w:p w14:paraId="5FA0A8A3" w14:textId="2072F732" w:rsidR="000B14AA" w:rsidRPr="000B14AA" w:rsidRDefault="000B14AA" w:rsidP="000B14AA">
      <w:pPr>
        <w:spacing w:after="12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Заетите лица в икономиката са 3 518.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7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хил., а общият брой отработени часове е 5 718.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8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милиона. Структурата на заетостта по икономически сектори през 2024 г. спрямо 2023 г. показва увеличение на относителния дял в сектора на услугите и намаление на относителния дял в аграрния и </w:t>
      </w:r>
      <w:r w:rsidR="00FA130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индустриалния сектор.</w:t>
      </w:r>
    </w:p>
    <w:p w14:paraId="317270D9" w14:textId="7581F76D" w:rsidR="000B14AA" w:rsidRPr="000B14AA" w:rsidRDefault="000B14AA" w:rsidP="000B14AA">
      <w:pPr>
        <w:spacing w:line="360" w:lineRule="auto"/>
        <w:jc w:val="center"/>
        <w:rPr>
          <w:noProof/>
          <w:lang w:eastAsia="bg-BG"/>
        </w:rPr>
      </w:pPr>
      <w:r w:rsidRPr="000B14A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Структура на заетите лица по икономически дейности </w:t>
      </w:r>
      <w:r w:rsidR="005F1488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                     </w:t>
      </w:r>
      <w:r w:rsidRPr="000B14AA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2023 и 2024 година</w:t>
      </w:r>
    </w:p>
    <w:p w14:paraId="0E60036F" w14:textId="77777777" w:rsidR="000B14AA" w:rsidRPr="000B14AA" w:rsidRDefault="000B14AA" w:rsidP="000B14AA">
      <w:pPr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B14AA">
        <w:rPr>
          <w:noProof/>
          <w:lang w:eastAsia="bg-BG"/>
        </w:rPr>
        <w:drawing>
          <wp:inline distT="0" distB="0" distL="0" distR="0" wp14:anchorId="700CA645" wp14:editId="30539FE0">
            <wp:extent cx="5760085" cy="288099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70818F" w14:textId="77777777" w:rsidR="000B14AA" w:rsidRPr="000B14AA" w:rsidRDefault="000B14AA" w:rsidP="000B14AA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B270252" w14:textId="379A7306" w:rsidR="000B14AA" w:rsidRPr="000B14AA" w:rsidRDefault="000B14AA" w:rsidP="000B14AA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а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едно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заето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лице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се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падат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264E2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57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652.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8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лв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от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текущия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обем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на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брутния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вътрешен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продукт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(БВП),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като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всеки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зает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създава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средно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35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5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лв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БВП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един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отработен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час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</w:p>
    <w:p w14:paraId="6290E68B" w14:textId="77777777" w:rsidR="000B14AA" w:rsidRPr="000B14AA" w:rsidRDefault="000B14AA" w:rsidP="000B14AA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Брутната добавена стойност (БДС) средно на един зает през 2024 г. нараства с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2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9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% в сравнение с 2023 г., а БДС за един отработен човекочас се увеличава реално с 5.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1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%.</w:t>
      </w:r>
    </w:p>
    <w:p w14:paraId="0F35C7AF" w14:textId="4E83FE0B" w:rsidR="00264E2B" w:rsidRDefault="000B14AA" w:rsidP="000E0A21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По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предварителни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данни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през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 </w:t>
      </w:r>
      <w:r w:rsidRPr="000B14AA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г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 равнището на производителността на труда в сектора на услугите e 54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371.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4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БДС средно на един зает и 3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2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8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за един отработен човекочас. В индустриалния сектор всеки зает произвежда средно 53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296.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5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БДС, за един отработен човекочас се създават средно 3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1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8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от текущия обем на</w:t>
      </w:r>
      <w:r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 xml:space="preserve">показателя. Най-ниска е производителността на труда в аграрния сектор  </w:t>
      </w:r>
      <w:r w:rsidR="00444B7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570.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0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БДС на един зает и 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6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1</w:t>
      </w:r>
      <w:r w:rsidRPr="000B14AA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за един отработен човекочас.</w:t>
      </w:r>
    </w:p>
    <w:p w14:paraId="6D6907BB" w14:textId="763CA293" w:rsidR="002E15CC" w:rsidRPr="002E15CC" w:rsidRDefault="002E15CC" w:rsidP="000E0A21">
      <w:pPr>
        <w:spacing w:before="320" w:after="160" w:line="360" w:lineRule="auto"/>
        <w:ind w:firstLine="567"/>
        <w:jc w:val="center"/>
        <w:rPr>
          <w:rFonts w:ascii="Verdana" w:eastAsia="Μοντέρνα" w:hAnsi="Verdana" w:cs="Times New Roman"/>
          <w:b/>
          <w:i/>
          <w:color w:val="000000"/>
          <w:sz w:val="20"/>
          <w:szCs w:val="20"/>
          <w:lang w:val="ru-RU" w:eastAsia="bg-BG"/>
        </w:rPr>
      </w:pPr>
      <w:r w:rsidRPr="002E15CC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Методологични бележки</w:t>
      </w:r>
    </w:p>
    <w:p w14:paraId="715A89A4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1. Производителността на труда е съставен икономически показател, който съпоставя постигнатия резултат (новосъздаден продукт) с вложения трудов фактор при осъществяването на определена икономическа активност на определена икономическа територия за определен период.</w:t>
      </w:r>
    </w:p>
    <w:p w14:paraId="395F4A65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2. Основните съставни елементи на производителността на труда са показатели, измерващи резултата от осъществяваната производствена активност (числител) и показателите за вложения труд в производствения процес (знаменател).</w:t>
      </w:r>
    </w:p>
    <w:p w14:paraId="17B5DB3D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3. На национално ниво резултатът от производствената дейност се измерва с брутния вътрешен продукт и брутната добавена стойност, създадени от всички производствени сектори в националната икономика. БВП е основен показател в Системата от национални икономически сметки, който представя крайния резултат от производствената дейност на всички резидентни производствени единици (ЕСС</w:t>
      </w:r>
      <w:r w:rsidRPr="002E15CC">
        <w:rPr>
          <w:rFonts w:ascii="Verdana" w:eastAsia="Μοντέρνα" w:hAnsi="Verdana" w:cs="Times New Roman"/>
          <w:color w:val="000000"/>
          <w:sz w:val="20"/>
          <w:szCs w:val="20"/>
          <w:vertAlign w:val="superscript"/>
          <w:lang w:eastAsia="bg-BG"/>
        </w:rPr>
        <w:footnoteReference w:id="1"/>
      </w: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2010). Връзката между БВП и БДС се определя от начина на остойностяване на произведения краен продукт. БВП е остойностен по пазарни цени, включително данъците върху продуктите и вноса, нето от субсидиите върху продуктите. БДС измерва резултата от производствената дейност по базисни цени преди начисляването на данъци, включително субсидиите върху продуктите и услугите. </w:t>
      </w:r>
    </w:p>
    <w:p w14:paraId="36A85EC5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4. За целите на международни сравнения на производителността на труда на национални икономики е възприето използването на БВП - сайт на Евростат: </w:t>
      </w:r>
      <w:hyperlink r:id="rId8" w:history="1">
        <w:r w:rsidRPr="002E15CC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http://epp.eurostat.ec.europa</w:t>
        </w:r>
      </w:hyperlink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- General Economic Background. Labour productivity per person employed.</w:t>
      </w:r>
    </w:p>
    <w:p w14:paraId="74487A77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5. БДС е показател, който е приложим за изчисляване на производителността на труда както на национално ниво, така и на ниво производствени дейности. </w:t>
      </w:r>
    </w:p>
    <w:p w14:paraId="027BCCA4" w14:textId="56A41D5B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6. Използването на този показател в националната практика е съобразено със специфичния методологичен обхват на сектора „Даване под наем и експлоатация на собствени недвижими имоти“ - вид дейност 68.2 от КИД</w:t>
      </w:r>
      <w:r w:rsidRPr="002E15CC">
        <w:rPr>
          <w:rFonts w:ascii="Verdana" w:eastAsia="Μοντέρνα" w:hAnsi="Verdana" w:cs="Times New Roman"/>
          <w:color w:val="000000"/>
          <w:sz w:val="20"/>
          <w:szCs w:val="20"/>
          <w:vertAlign w:val="superscript"/>
          <w:lang w:eastAsia="bg-BG"/>
        </w:rPr>
        <w:footnoteReference w:id="2"/>
      </w: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- 2008 - в състава на БДС се включва и оценка на условния наем на жилищата, наети от техните собственици, който за България е доминиращ - близо 90% от населението живее в собствени жилища. Добавената стойност от условния наем на собствени жилища се класифицира изцяло като опериращ излишък в състава на сметка „Формиране на дохода“ и не е </w:t>
      </w: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свързан директно с трудовата заетост. Поради тази причина добавената стойност в резултат на условния жилищен наем се изключва при изчисляването на производителността на труда както за сектора на услугите, така и за икономиката като цяло.</w:t>
      </w:r>
    </w:p>
    <w:p w14:paraId="62666620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7. Трудовият производствен фактор в състава на показателя за производителността на труда се измерва с броя на заетите лица в резидентните производствени единици на националната икономика и отработеното от тях време - отработени човекочасове. </w:t>
      </w:r>
    </w:p>
    <w:p w14:paraId="0D68BC76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8. Измерването на броя заети лица и отработените от тях човекочасове е подчинено на дефинициите и концепциите на ЕСС 2010, така както тези концепции и дефиниции се прилагат при оценката на показателите за резултата от осъществяваната икономическа дейност.</w:t>
      </w:r>
    </w:p>
    <w:p w14:paraId="0612B564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9. При сравняване на данните с резултатите от изследването на работната сила е необходимо да се имат предвид различията в прилаганите дефиниции и методологичните особености. Основните концептуални различия са следните: </w:t>
      </w:r>
    </w:p>
    <w:p w14:paraId="16C56B7D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Обект на изследването на работната сила е постоянното население на страната, включително и временно работещите в чужбина, докато данните за заетостта в ЕСС 2010 се определят по отношение на резидентните производствени единици, които могат да наемат работна сила както от страната, така и от чужбина.</w:t>
      </w:r>
    </w:p>
    <w:p w14:paraId="2EB949B1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Лицата на срочна военна служба са част от заетите лица съгласно ЕСС 2010, но не се отчитат с изследването на работната сила.</w:t>
      </w:r>
    </w:p>
    <w:p w14:paraId="154CD662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10. Предпочитаният показател за трудовия фактор в състава на производителността на труда е отработеното време, измервано в човекочасове - показател, който представя по-точно фактически вложения труд в процеса на производство - сайт на Евростат.</w:t>
      </w:r>
    </w:p>
    <w:p w14:paraId="3FC9213A" w14:textId="77777777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11. Съпоставянето на показателите за производителността на труда във времето налага елиминирането на влиянието на цените в стойността на показателите за резултата от упражняваната икономическа активност. За целта БВП и БДС от текущия период се представят по цени от базисния период.</w:t>
      </w:r>
    </w:p>
    <w:p w14:paraId="220C8DAE" w14:textId="4CD5A181" w:rsidR="002E15CC" w:rsidRPr="002E15CC" w:rsidRDefault="002E15CC" w:rsidP="002E15C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12. Данни за производителността на труда, за икономиката и по икономически сектори</w:t>
      </w:r>
      <w:r w:rsidR="007672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,</w:t>
      </w:r>
      <w:r w:rsidRPr="002E15C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са публикувани на сайта на НСИ и в ИС ИНФОСТАТ в динамични редове по тримесечия и години.</w:t>
      </w:r>
    </w:p>
    <w:p w14:paraId="50BA59A1" w14:textId="24DAD193" w:rsidR="000B14AA" w:rsidRDefault="000B14AA" w:rsidP="002E15CC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79A6C553" w14:textId="0634170F" w:rsidR="002E15CC" w:rsidRDefault="002E15CC" w:rsidP="002E15CC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1765526C" w14:textId="3C2EDBD4" w:rsidR="002E15CC" w:rsidRDefault="002E15CC" w:rsidP="002E15CC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0960170" w14:textId="15CA9B81" w:rsidR="002E15CC" w:rsidRDefault="002E15CC" w:rsidP="002E15CC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18BC53D2" w14:textId="77777777" w:rsidR="002E15CC" w:rsidRDefault="002E15CC" w:rsidP="002E15CC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120D633" w14:textId="77777777" w:rsidR="002E15CC" w:rsidRPr="002E15CC" w:rsidRDefault="002E15CC" w:rsidP="002E15CC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2E15CC">
        <w:rPr>
          <w:rFonts w:ascii="Verdana" w:hAnsi="Verdana"/>
          <w:b/>
          <w:color w:val="000000"/>
          <w:sz w:val="20"/>
          <w:szCs w:val="20"/>
        </w:rPr>
        <w:lastRenderedPageBreak/>
        <w:t>Приложение</w:t>
      </w:r>
    </w:p>
    <w:p w14:paraId="53C62E21" w14:textId="77777777" w:rsidR="002E15CC" w:rsidRPr="002E15CC" w:rsidRDefault="002E15CC" w:rsidP="002E15CC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74E48C64" w14:textId="77777777" w:rsidR="002E15CC" w:rsidRPr="002E15CC" w:rsidRDefault="002E15CC" w:rsidP="000E0A21">
      <w:pPr>
        <w:spacing w:after="160" w:line="360" w:lineRule="auto"/>
        <w:ind w:left="7201"/>
        <w:rPr>
          <w:rFonts w:ascii="Verdana" w:hAnsi="Verdana"/>
          <w:b/>
          <w:color w:val="000000"/>
          <w:sz w:val="20"/>
          <w:szCs w:val="20"/>
        </w:rPr>
      </w:pPr>
      <w:r w:rsidRPr="002E15CC">
        <w:rPr>
          <w:rFonts w:ascii="Verdana" w:hAnsi="Verdana"/>
          <w:b/>
          <w:color w:val="000000"/>
          <w:sz w:val="20"/>
          <w:szCs w:val="20"/>
        </w:rPr>
        <w:t xml:space="preserve">  Таблица 1</w:t>
      </w:r>
    </w:p>
    <w:p w14:paraId="7EEAC173" w14:textId="77777777" w:rsidR="002E15CC" w:rsidRPr="000E0A21" w:rsidRDefault="002E15CC" w:rsidP="002E15CC">
      <w:pPr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0E0A21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Производителност на труда</w:t>
      </w:r>
      <w:r w:rsidRPr="000E0A21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ab/>
      </w:r>
    </w:p>
    <w:p w14:paraId="0F0C52FD" w14:textId="77777777" w:rsidR="002E15CC" w:rsidRPr="000E0A21" w:rsidRDefault="002E15CC" w:rsidP="002E15CC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776"/>
        <w:gridCol w:w="776"/>
        <w:gridCol w:w="776"/>
        <w:gridCol w:w="776"/>
        <w:gridCol w:w="776"/>
        <w:gridCol w:w="776"/>
      </w:tblGrid>
      <w:tr w:rsidR="002E15CC" w:rsidRPr="000E0A21" w14:paraId="4076A923" w14:textId="77777777" w:rsidTr="004E4DF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146" w14:textId="77777777" w:rsidR="002E15CC" w:rsidRPr="000E0A21" w:rsidRDefault="002E15CC" w:rsidP="002E15CC">
            <w:pP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Година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192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6A2C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F34C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983A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DF62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8540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2024*</w:t>
            </w:r>
          </w:p>
        </w:tc>
      </w:tr>
      <w:tr w:rsidR="002E15CC" w:rsidRPr="000E0A21" w14:paraId="45472995" w14:textId="77777777" w:rsidTr="004E4D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918" w14:textId="77777777" w:rsidR="002E15CC" w:rsidRPr="000E0A21" w:rsidRDefault="002E15CC" w:rsidP="002E15CC">
            <w:pP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БВП на един зает-текущи цени, 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2E57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34578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AA88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35550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DEAC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40958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6053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48879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22F2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53206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931A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57653</w:t>
            </w:r>
          </w:p>
        </w:tc>
      </w:tr>
      <w:tr w:rsidR="002E15CC" w:rsidRPr="000E0A21" w14:paraId="5E6FEF70" w14:textId="77777777" w:rsidTr="004E4DF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A80" w14:textId="77777777" w:rsidR="002E15CC" w:rsidRPr="000E0A21" w:rsidRDefault="002E15CC" w:rsidP="002E15CC">
            <w:pP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БВП на един отработен човекочас - текущи цени, 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461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20,99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BF2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388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25,27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278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C2B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32,06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103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35,47</w:t>
            </w:r>
          </w:p>
        </w:tc>
      </w:tr>
      <w:tr w:rsidR="002E15CC" w:rsidRPr="000E0A21" w14:paraId="6EB913D7" w14:textId="77777777" w:rsidTr="004E4DF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33E" w14:textId="77777777" w:rsidR="002E15CC" w:rsidRPr="000E0A21" w:rsidRDefault="002E15CC" w:rsidP="002E15CC">
            <w:pP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БВП на един зает - Индекс на физически обем изчислен по цени на 2020** /  предходна година = 100,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60C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0DE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458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771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1DF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06FE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101,7</w:t>
            </w:r>
          </w:p>
        </w:tc>
      </w:tr>
      <w:tr w:rsidR="002E15CC" w:rsidRPr="000E0A21" w14:paraId="3048DC36" w14:textId="77777777" w:rsidTr="004E4DF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994" w14:textId="77777777" w:rsidR="002E15CC" w:rsidRPr="000E0A21" w:rsidRDefault="002E15CC" w:rsidP="002E15CC">
            <w:pP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БВП на един отработен човекочас - Индекс на физически обем изчислен по цени на 2020** /  предходна година = 100,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0F3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07B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1F3B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E63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1A5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D26" w14:textId="77777777" w:rsidR="002E15CC" w:rsidRPr="000E0A21" w:rsidRDefault="002E15CC" w:rsidP="002E15CC">
            <w:pPr>
              <w:jc w:val="right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</w:pPr>
            <w:r w:rsidRPr="000E0A2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bg-BG"/>
              </w:rPr>
              <w:t>103,8</w:t>
            </w:r>
          </w:p>
        </w:tc>
      </w:tr>
    </w:tbl>
    <w:p w14:paraId="7634E28C" w14:textId="77777777" w:rsidR="002E15CC" w:rsidRPr="002E15CC" w:rsidRDefault="002E15CC" w:rsidP="002E15CC">
      <w:pPr>
        <w:rPr>
          <w:b/>
          <w:color w:val="000000"/>
        </w:rPr>
      </w:pPr>
      <w:bookmarkStart w:id="0" w:name="_GoBack"/>
      <w:bookmarkEnd w:id="0"/>
    </w:p>
    <w:p w14:paraId="65E41A61" w14:textId="77777777" w:rsidR="002E15CC" w:rsidRPr="002E15CC" w:rsidRDefault="002E15CC" w:rsidP="002E15CC">
      <w:pPr>
        <w:rPr>
          <w:b/>
          <w:color w:val="000000"/>
        </w:rPr>
      </w:pPr>
    </w:p>
    <w:p w14:paraId="7AD4EF73" w14:textId="77777777" w:rsidR="002E15CC" w:rsidRPr="002E15CC" w:rsidRDefault="002E15CC" w:rsidP="002E15CC">
      <w:pPr>
        <w:rPr>
          <w:b/>
          <w:color w:val="000000"/>
          <w:lang w:val="en-US"/>
        </w:rPr>
      </w:pPr>
      <w:r w:rsidRPr="002E15CC">
        <w:rPr>
          <w:b/>
          <w:color w:val="000000"/>
        </w:rPr>
        <w:t>_________</w:t>
      </w:r>
    </w:p>
    <w:p w14:paraId="55F3046A" w14:textId="77777777" w:rsidR="002E15CC" w:rsidRPr="002E15CC" w:rsidRDefault="002E15CC" w:rsidP="002E15CC">
      <w:pPr>
        <w:jc w:val="both"/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</w:pPr>
      <w:r w:rsidRPr="002E15CC">
        <w:rPr>
          <w:rFonts w:ascii="Verdana" w:eastAsia="Times New Roman" w:hAnsi="Verdana"/>
          <w:color w:val="000000"/>
          <w:sz w:val="16"/>
          <w:szCs w:val="16"/>
          <w:vertAlign w:val="superscript"/>
        </w:rPr>
        <w:t>*</w:t>
      </w:r>
      <w:r w:rsidRPr="002E15CC">
        <w:rPr>
          <w:rFonts w:ascii="Verdana" w:hAnsi="Verdana"/>
          <w:color w:val="000000"/>
          <w:sz w:val="16"/>
          <w:szCs w:val="16"/>
        </w:rPr>
        <w:t xml:space="preserve"> Данните са предварителни.</w:t>
      </w:r>
    </w:p>
    <w:p w14:paraId="66FD373D" w14:textId="164242B6" w:rsidR="002E15CC" w:rsidRPr="002E15CC" w:rsidRDefault="002E15CC" w:rsidP="002E15CC">
      <w:pPr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2E15CC">
        <w:rPr>
          <w:rFonts w:ascii="Verdana" w:eastAsia="Times New Roman" w:hAnsi="Verdana"/>
          <w:bCs/>
          <w:color w:val="000000"/>
          <w:sz w:val="16"/>
          <w:szCs w:val="16"/>
          <w:vertAlign w:val="superscript"/>
          <w:lang w:val="en-US"/>
        </w:rPr>
        <w:t>**</w:t>
      </w:r>
      <w:r w:rsidRPr="002E15CC"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  <w:t xml:space="preserve"> </w:t>
      </w:r>
      <w:r w:rsidRPr="002E15CC">
        <w:rPr>
          <w:rFonts w:ascii="Verdana" w:hAnsi="Verdana"/>
          <w:color w:val="000000"/>
          <w:sz w:val="16"/>
          <w:szCs w:val="16"/>
        </w:rPr>
        <w:t>Индексите са изчислени въз основа на стойностите на съответния показател по съпоставими цени на 2020 година.</w:t>
      </w:r>
    </w:p>
    <w:p w14:paraId="6F35F142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6D56E39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2A9D825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981258D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6A476ABF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80D0585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C6459FE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61A9703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1102065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05517EF0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9267FCB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99A10AC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AC7DCBC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629B34D0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00D617D4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76D7EE6" w14:textId="77777777" w:rsidR="000B14AA" w:rsidRDefault="000B14AA" w:rsidP="00F76D42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755657BF" w14:textId="3238F278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DBAA61B" w14:textId="18E7D3F5" w:rsidR="00D23CF3" w:rsidRDefault="00D23CF3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0BB2DCE" w14:textId="13194905" w:rsidR="00D23CF3" w:rsidRDefault="00D23CF3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C12F91E" w14:textId="0FB10AF8" w:rsidR="00D23CF3" w:rsidRDefault="00D23CF3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5FE7828" w14:textId="18C3E7CA" w:rsidR="00D23CF3" w:rsidRDefault="00D23CF3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E9FE4D6" w14:textId="592D0FAA" w:rsidR="00D23CF3" w:rsidRDefault="00D23CF3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0BEC1E1" w14:textId="00E42668" w:rsidR="00D23CF3" w:rsidRDefault="00D23CF3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8A1CBA6" w14:textId="77777777" w:rsidR="00D83F28" w:rsidRPr="00F76D42" w:rsidRDefault="00D83F28" w:rsidP="000E0A21">
      <w:pPr>
        <w:spacing w:line="360" w:lineRule="auto"/>
        <w:jc w:val="both"/>
        <w:rPr>
          <w:rFonts w:ascii="Verdana" w:hAnsi="Verdana"/>
          <w:sz w:val="20"/>
        </w:rPr>
      </w:pPr>
      <w:bookmarkStart w:id="1" w:name="RANGE!A1%3AH46"/>
      <w:bookmarkStart w:id="2" w:name="RANGE!A1%3AG46"/>
      <w:bookmarkEnd w:id="1"/>
      <w:bookmarkEnd w:id="2"/>
    </w:p>
    <w:sectPr w:rsidR="00D83F28" w:rsidRPr="00F76D42" w:rsidSect="001A406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0FFEA" w14:textId="77777777" w:rsidR="00D05CAF" w:rsidRDefault="00D05CAF" w:rsidP="00D83F28">
      <w:r>
        <w:separator/>
      </w:r>
    </w:p>
  </w:endnote>
  <w:endnote w:type="continuationSeparator" w:id="0">
    <w:p w14:paraId="0DA24AFF" w14:textId="77777777" w:rsidR="00D05CAF" w:rsidRDefault="00D05CAF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A25E" w14:textId="77777777" w:rsidR="00AF44D1" w:rsidRDefault="00AF44D1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57148E" wp14:editId="7CBC74E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70FD1" w14:textId="36FA745C" w:rsidR="00AF44D1" w:rsidRPr="00DD11CB" w:rsidRDefault="00AF44D1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0A2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5714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E370FD1" w14:textId="36FA745C" w:rsidR="00AF44D1" w:rsidRPr="00DD11CB" w:rsidRDefault="00AF44D1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E0A2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DEDD7F" wp14:editId="54E447E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A71892" wp14:editId="296686F6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7D6D" w14:textId="77777777" w:rsidR="00AF44D1" w:rsidRDefault="00AF44D1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786EF4" wp14:editId="1B454881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B494B" w14:textId="19F6AE56" w:rsidR="00AF44D1" w:rsidRPr="00DD11CB" w:rsidRDefault="00AF44D1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0A2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786EF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452B494B" w14:textId="19F6AE56" w:rsidR="00AF44D1" w:rsidRPr="00DD11CB" w:rsidRDefault="00AF44D1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E0A2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BFB49BD" wp14:editId="0248BF71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A0A6B" w14:textId="77777777" w:rsidR="00D05CAF" w:rsidRDefault="00D05CAF" w:rsidP="00D83F28">
      <w:r>
        <w:separator/>
      </w:r>
    </w:p>
  </w:footnote>
  <w:footnote w:type="continuationSeparator" w:id="0">
    <w:p w14:paraId="10E80DDD" w14:textId="77777777" w:rsidR="00D05CAF" w:rsidRDefault="00D05CAF" w:rsidP="00D83F28">
      <w:r>
        <w:continuationSeparator/>
      </w:r>
    </w:p>
  </w:footnote>
  <w:footnote w:id="1">
    <w:p w14:paraId="59B2AF7E" w14:textId="77777777" w:rsidR="002E15CC" w:rsidRPr="005C5C5B" w:rsidRDefault="002E15CC" w:rsidP="002E15CC">
      <w:pPr>
        <w:pStyle w:val="FootnoteText"/>
        <w:jc w:val="both"/>
        <w:rPr>
          <w:rFonts w:ascii="Verdana" w:hAnsi="Verdana"/>
          <w:sz w:val="16"/>
          <w:szCs w:val="16"/>
          <w:lang w:val="ru-RU"/>
        </w:rPr>
      </w:pPr>
      <w:r w:rsidRPr="005C5C5B">
        <w:rPr>
          <w:rFonts w:ascii="Verdana" w:hAnsi="Verdana"/>
          <w:sz w:val="16"/>
          <w:szCs w:val="16"/>
          <w:vertAlign w:val="superscript"/>
        </w:rPr>
        <w:footnoteRef/>
      </w:r>
      <w:r w:rsidRPr="005C5C5B">
        <w:rPr>
          <w:rFonts w:ascii="Verdana" w:hAnsi="Verdana"/>
          <w:sz w:val="16"/>
          <w:szCs w:val="16"/>
          <w:lang w:val="ru-RU"/>
        </w:rPr>
        <w:t xml:space="preserve"> ЕСС 2010 - Европейска система за национални и регионални сметки 2010.</w:t>
      </w:r>
    </w:p>
  </w:footnote>
  <w:footnote w:id="2">
    <w:p w14:paraId="37035907" w14:textId="77777777" w:rsidR="002E15CC" w:rsidRPr="00124D87" w:rsidRDefault="002E15CC" w:rsidP="002E15CC">
      <w:pPr>
        <w:pStyle w:val="FootnoteText"/>
        <w:jc w:val="both"/>
        <w:rPr>
          <w:rFonts w:ascii="Times New Roman" w:hAnsi="Times New Roman"/>
          <w:lang w:val="ru-RU"/>
        </w:rPr>
      </w:pPr>
      <w:r w:rsidRPr="005C5C5B">
        <w:rPr>
          <w:rFonts w:ascii="Verdana" w:hAnsi="Verdana"/>
          <w:sz w:val="16"/>
          <w:szCs w:val="16"/>
          <w:vertAlign w:val="superscript"/>
        </w:rPr>
        <w:footnoteRef/>
      </w:r>
      <w:r w:rsidRPr="005C5C5B">
        <w:rPr>
          <w:rFonts w:ascii="Verdana" w:hAnsi="Verdana"/>
          <w:sz w:val="16"/>
          <w:szCs w:val="16"/>
          <w:lang w:val="ru-RU"/>
        </w:rPr>
        <w:t xml:space="preserve"> КИД - 2008 - Класификация на икономическите дейности.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997B" w14:textId="77777777" w:rsidR="005F1488" w:rsidRPr="000B14AA" w:rsidRDefault="005F1488" w:rsidP="005F1488">
    <w:pPr>
      <w:spacing w:line="360" w:lineRule="auto"/>
      <w:jc w:val="center"/>
      <w:outlineLvl w:val="0"/>
      <w:rPr>
        <w:rFonts w:ascii="Verdana" w:eastAsia="Μοντέρνα" w:hAnsi="Verdana" w:cs="Times New Roman"/>
        <w:b/>
        <w:caps/>
        <w:color w:val="000000"/>
        <w:sz w:val="20"/>
        <w:szCs w:val="20"/>
        <w:lang w:eastAsia="bg-BG"/>
      </w:rPr>
    </w:pPr>
    <w:r w:rsidRPr="000B14AA">
      <w:rPr>
        <w:rFonts w:ascii="Verdana" w:eastAsia="Μοντέρνα" w:hAnsi="Verdana" w:cs="Times New Roman"/>
        <w:b/>
        <w:color w:val="000000"/>
        <w:sz w:val="20"/>
        <w:szCs w:val="20"/>
        <w:lang w:eastAsia="bg-BG"/>
      </w:rPr>
      <w:t xml:space="preserve">ПРОИЗВОДИТЕЛНОСТ НА ТРУДА, ЗАЕТИ ЛИЦА И ОТРАБОТЕНО ВРЕМЕ </w:t>
    </w:r>
    <w:r w:rsidRPr="000B14AA">
      <w:rPr>
        <w:rFonts w:ascii="Verdana" w:eastAsia="Μοντέρνα" w:hAnsi="Verdana" w:cs="Times New Roman"/>
        <w:b/>
        <w:color w:val="000000"/>
        <w:sz w:val="20"/>
        <w:szCs w:val="20"/>
        <w:lang w:val="en-US" w:eastAsia="bg-BG"/>
      </w:rPr>
      <w:t xml:space="preserve">                  </w:t>
    </w:r>
    <w:r w:rsidRPr="000B14AA">
      <w:rPr>
        <w:rFonts w:ascii="Verdana" w:eastAsia="Μοντέρνα" w:hAnsi="Verdana" w:cs="Times New Roman"/>
        <w:b/>
        <w:color w:val="000000"/>
        <w:sz w:val="20"/>
        <w:szCs w:val="20"/>
        <w:lang w:eastAsia="bg-BG"/>
      </w:rPr>
      <w:t>ПРЕЗ</w:t>
    </w:r>
    <w:r w:rsidRPr="000B14AA">
      <w:rPr>
        <w:rFonts w:ascii="Verdana" w:eastAsia="Μοντέρνα" w:hAnsi="Verdana" w:cs="Times New Roman"/>
        <w:b/>
        <w:color w:val="000000"/>
        <w:sz w:val="20"/>
        <w:szCs w:val="20"/>
        <w:lang w:val="en-US" w:eastAsia="bg-BG"/>
      </w:rPr>
      <w:t xml:space="preserve"> </w:t>
    </w:r>
    <w:r w:rsidRPr="000B14AA">
      <w:rPr>
        <w:rFonts w:ascii="Verdana" w:eastAsia="Μοντέρνα" w:hAnsi="Verdana" w:cs="Times New Roman"/>
        <w:b/>
        <w:color w:val="000000"/>
        <w:sz w:val="20"/>
        <w:szCs w:val="20"/>
        <w:lang w:eastAsia="bg-BG"/>
      </w:rPr>
      <w:t>2024 ГОДИНА</w:t>
    </w:r>
    <w:r w:rsidRPr="000B14AA">
      <w:rPr>
        <w:rFonts w:ascii="Verdana" w:eastAsia="Μοντέρνα" w:hAnsi="Verdana" w:cs="Times New Roman"/>
        <w:b/>
        <w:caps/>
        <w:color w:val="000000"/>
        <w:sz w:val="20"/>
        <w:szCs w:val="20"/>
        <w:lang w:eastAsia="bg-BG"/>
      </w:rPr>
      <w:t xml:space="preserve"> </w:t>
    </w:r>
  </w:p>
  <w:p w14:paraId="59BEC4CC" w14:textId="21E68271" w:rsidR="005F1488" w:rsidRPr="000B14AA" w:rsidRDefault="005F1488" w:rsidP="005F1488">
    <w:pPr>
      <w:spacing w:after="160" w:line="360" w:lineRule="auto"/>
      <w:jc w:val="center"/>
      <w:outlineLvl w:val="0"/>
      <w:rPr>
        <w:rFonts w:ascii="Verdana" w:eastAsia="Μοντέρνα" w:hAnsi="Verdana" w:cs="Times New Roman"/>
        <w:b/>
        <w:caps/>
        <w:color w:val="000000"/>
        <w:lang w:eastAsia="bg-BG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4389270" wp14:editId="6A930910">
              <wp:simplePos x="0" y="0"/>
              <wp:positionH relativeFrom="margin">
                <wp:posOffset>0</wp:posOffset>
              </wp:positionH>
              <wp:positionV relativeFrom="paragraph">
                <wp:posOffset>285115</wp:posOffset>
              </wp:positionV>
              <wp:extent cx="6066790" cy="1270"/>
              <wp:effectExtent l="0" t="0" r="10160" b="17780"/>
              <wp:wrapTopAndBottom/>
              <wp:docPr id="2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5EA6B2" id="Graphic 7" o:spid="_x0000_s1026" style="position:absolute;margin-left:0;margin-top:22.45pt;width:477.7pt;height:.1pt;z-index:-2516398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hJw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B14AA">
      <w:rPr>
        <w:rFonts w:ascii="Verdana" w:eastAsia="Μοντέρνα" w:hAnsi="Verdana" w:cs="Times New Roman"/>
        <w:b/>
        <w:color w:val="000000"/>
        <w:sz w:val="20"/>
        <w:szCs w:val="20"/>
        <w:lang w:val="en-US" w:eastAsia="bg-BG"/>
      </w:rPr>
      <w:t xml:space="preserve"> </w:t>
    </w:r>
    <w:r w:rsidRPr="000B14AA">
      <w:rPr>
        <w:rFonts w:ascii="Verdana" w:eastAsia="Μοντέρνα" w:hAnsi="Verdana" w:cs="Times New Roman"/>
        <w:b/>
        <w:caps/>
        <w:color w:val="000000"/>
        <w:sz w:val="20"/>
        <w:szCs w:val="20"/>
        <w:lang w:eastAsia="bg-BG"/>
      </w:rPr>
      <w:t>(</w:t>
    </w:r>
    <w:r w:rsidRPr="000B14AA">
      <w:rPr>
        <w:rFonts w:ascii="Verdana" w:eastAsia="Μοντέρνα" w:hAnsi="Verdana" w:cs="Times New Roman"/>
        <w:b/>
        <w:color w:val="000000"/>
        <w:sz w:val="20"/>
        <w:szCs w:val="20"/>
        <w:lang w:eastAsia="bg-BG"/>
      </w:rPr>
      <w:t>ПРЕДВАРИТЕЛНИ ДАННИ)</w:t>
    </w:r>
  </w:p>
  <w:p w14:paraId="225CCC2F" w14:textId="4EF4D6F0" w:rsidR="00AF44D1" w:rsidRPr="00E40DFB" w:rsidRDefault="00AF44D1" w:rsidP="007C7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4E7E" w14:textId="77777777" w:rsidR="00AF44D1" w:rsidRPr="00D83F28" w:rsidRDefault="00AF44D1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D5450C0" wp14:editId="06AAB73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443856" wp14:editId="7A321647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FE189" w14:textId="77777777" w:rsidR="00AF44D1" w:rsidRDefault="00AF44D1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E3C28BA" w14:textId="77777777" w:rsidR="00AF44D1" w:rsidRPr="00D83F28" w:rsidRDefault="00AF44D1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34F3325A" w14:textId="77777777" w:rsidR="00AF44D1" w:rsidRPr="00FD731D" w:rsidRDefault="00AF44D1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43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5ABFE189" w14:textId="77777777" w:rsidR="00AF44D1" w:rsidRDefault="00AF44D1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E3C28BA" w14:textId="77777777" w:rsidR="00AF44D1" w:rsidRPr="00D83F28" w:rsidRDefault="00AF44D1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34F3325A" w14:textId="77777777" w:rsidR="00AF44D1" w:rsidRPr="00FD731D" w:rsidRDefault="00AF44D1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8D963B" wp14:editId="48C939C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B9D012" wp14:editId="75702165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9BE1E3E" wp14:editId="3D9B28C9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3672"/>
    <w:rsid w:val="000A09F6"/>
    <w:rsid w:val="000B14AA"/>
    <w:rsid w:val="000E0A21"/>
    <w:rsid w:val="00160C7F"/>
    <w:rsid w:val="00174E0B"/>
    <w:rsid w:val="00190C4A"/>
    <w:rsid w:val="00195AAF"/>
    <w:rsid w:val="001A4063"/>
    <w:rsid w:val="002217D8"/>
    <w:rsid w:val="00225D6B"/>
    <w:rsid w:val="0024716A"/>
    <w:rsid w:val="002514D7"/>
    <w:rsid w:val="00254E00"/>
    <w:rsid w:val="00264E2B"/>
    <w:rsid w:val="00266E6D"/>
    <w:rsid w:val="002E15CC"/>
    <w:rsid w:val="00310D5C"/>
    <w:rsid w:val="003175F1"/>
    <w:rsid w:val="003179AD"/>
    <w:rsid w:val="003329C6"/>
    <w:rsid w:val="00337CA4"/>
    <w:rsid w:val="0036758C"/>
    <w:rsid w:val="003A7989"/>
    <w:rsid w:val="003E75E1"/>
    <w:rsid w:val="00444B73"/>
    <w:rsid w:val="004649B9"/>
    <w:rsid w:val="0049589E"/>
    <w:rsid w:val="004C1869"/>
    <w:rsid w:val="004C5B06"/>
    <w:rsid w:val="004C7D3B"/>
    <w:rsid w:val="005044B9"/>
    <w:rsid w:val="00520B13"/>
    <w:rsid w:val="00523DBF"/>
    <w:rsid w:val="005A1580"/>
    <w:rsid w:val="005B2532"/>
    <w:rsid w:val="005F1488"/>
    <w:rsid w:val="00630066"/>
    <w:rsid w:val="00643044"/>
    <w:rsid w:val="006A0B1D"/>
    <w:rsid w:val="006A4C8F"/>
    <w:rsid w:val="006D7EAE"/>
    <w:rsid w:val="006F58AB"/>
    <w:rsid w:val="006F6D10"/>
    <w:rsid w:val="007248BA"/>
    <w:rsid w:val="00767283"/>
    <w:rsid w:val="00770793"/>
    <w:rsid w:val="007A251F"/>
    <w:rsid w:val="007A4BF0"/>
    <w:rsid w:val="007B421D"/>
    <w:rsid w:val="007C7D80"/>
    <w:rsid w:val="00807ADA"/>
    <w:rsid w:val="0081439D"/>
    <w:rsid w:val="0085206C"/>
    <w:rsid w:val="008723EB"/>
    <w:rsid w:val="008E6CB5"/>
    <w:rsid w:val="0093683F"/>
    <w:rsid w:val="00947ACF"/>
    <w:rsid w:val="009756C2"/>
    <w:rsid w:val="009757F5"/>
    <w:rsid w:val="009830C3"/>
    <w:rsid w:val="009A2CB4"/>
    <w:rsid w:val="009A5684"/>
    <w:rsid w:val="009D5893"/>
    <w:rsid w:val="00A156A0"/>
    <w:rsid w:val="00A46BFE"/>
    <w:rsid w:val="00A47A52"/>
    <w:rsid w:val="00A56BFF"/>
    <w:rsid w:val="00AA0E88"/>
    <w:rsid w:val="00AB56FA"/>
    <w:rsid w:val="00AF44D1"/>
    <w:rsid w:val="00B321C5"/>
    <w:rsid w:val="00B57C34"/>
    <w:rsid w:val="00B64D78"/>
    <w:rsid w:val="00BF67BB"/>
    <w:rsid w:val="00C00EF8"/>
    <w:rsid w:val="00C22BE8"/>
    <w:rsid w:val="00CB25EC"/>
    <w:rsid w:val="00CD7B4F"/>
    <w:rsid w:val="00CE5F71"/>
    <w:rsid w:val="00D03C2D"/>
    <w:rsid w:val="00D05CAF"/>
    <w:rsid w:val="00D23CF3"/>
    <w:rsid w:val="00D2479D"/>
    <w:rsid w:val="00D25B1C"/>
    <w:rsid w:val="00D26E81"/>
    <w:rsid w:val="00D5433F"/>
    <w:rsid w:val="00D60CD2"/>
    <w:rsid w:val="00D824E2"/>
    <w:rsid w:val="00D83F28"/>
    <w:rsid w:val="00DA38A9"/>
    <w:rsid w:val="00DB031B"/>
    <w:rsid w:val="00E111AF"/>
    <w:rsid w:val="00E23458"/>
    <w:rsid w:val="00E40DFB"/>
    <w:rsid w:val="00E62A2B"/>
    <w:rsid w:val="00E637F6"/>
    <w:rsid w:val="00EC2BBC"/>
    <w:rsid w:val="00EF4FC0"/>
    <w:rsid w:val="00F01C3E"/>
    <w:rsid w:val="00F2566C"/>
    <w:rsid w:val="00F76D42"/>
    <w:rsid w:val="00F874FA"/>
    <w:rsid w:val="00FA130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DC7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8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4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45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45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ggergov\AppData\Local\Microsoft\Windows\INetCache\Content.Outlook\IMR3YREQ\Lab%201_Q2_2024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77909082734968E-2"/>
          <c:y val="9.9411881608793676E-2"/>
          <c:w val="0.92303642680503084"/>
          <c:h val="0.71986787552339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'[Lab 1_Q2_2024.xls]заети-BG'!$B$7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9D9-4CB9-ABD8-03D8B5CF87EB}"/>
                </c:ext>
              </c:extLst>
            </c:dLbl>
            <c:dLbl>
              <c:idx val="1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9D9-4CB9-ABD8-03D8B5CF87EB}"/>
                </c:ext>
              </c:extLst>
            </c:dLbl>
            <c:dLbl>
              <c:idx val="2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09D9-4CB9-ABD8-03D8B5CF87EB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Arial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'[Lab 1_Q2_2024.xls]заети-BG'!$B$8:$B$10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'[Lab 1_Q2_2024.xls]заети-BG'!$C$8:$C$10</c:f>
              <c:numCache>
                <c:formatCode>0.0</c:formatCode>
                <c:ptCount val="3"/>
                <c:pt idx="0">
                  <c:v>14.9</c:v>
                </c:pt>
                <c:pt idx="1">
                  <c:v>24.6</c:v>
                </c:pt>
                <c:pt idx="2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D9-4CB9-ABD8-03D8B5CF87EB}"/>
            </c:ext>
          </c:extLst>
        </c:ser>
        <c:ser>
          <c:idx val="1"/>
          <c:order val="1"/>
          <c:tx>
            <c:strRef>
              <c:f>'[Lab 1_Q2_2024.xls]заети-BG'!$D$7</c:f>
              <c:strCache>
                <c:ptCount val="1"/>
                <c:pt idx="0">
                  <c:v> 2024 г.</c:v>
                </c:pt>
              </c:strCache>
            </c:strRef>
          </c:tx>
          <c:spPr>
            <a:solidFill>
              <a:srgbClr val="00B0F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09D9-4CB9-ABD8-03D8B5CF87EB}"/>
                </c:ext>
              </c:extLst>
            </c:dLbl>
            <c:dLbl>
              <c:idx val="1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09D9-4CB9-ABD8-03D8B5CF87EB}"/>
                </c:ext>
              </c:extLst>
            </c:dLbl>
            <c:dLbl>
              <c:idx val="2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09D9-4CB9-ABD8-03D8B5CF87EB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Arial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'[Lab 1_Q2_2024.xls]заети-BG'!$B$8:$B$10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'[Lab 1_Q2_2024.xls]заети-BG'!$D$8:$D$10</c:f>
              <c:numCache>
                <c:formatCode>0.0</c:formatCode>
                <c:ptCount val="3"/>
                <c:pt idx="0">
                  <c:v>13.9</c:v>
                </c:pt>
                <c:pt idx="1">
                  <c:v>24.3</c:v>
                </c:pt>
                <c:pt idx="2">
                  <c:v>61.8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9D9-4CB9-ABD8-03D8B5CF87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0112863"/>
        <c:axId val="1"/>
      </c:barChart>
      <c:catAx>
        <c:axId val="6701128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Arial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r>
                  <a:rPr lang="en-US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4.0462481715477269E-2"/>
              <c:y val="1.7926814380760544E-2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Arial"/>
              </a:defRPr>
            </a:pPr>
            <a:endParaRPr lang="bg-BG"/>
          </a:p>
        </c:txPr>
        <c:crossAx val="670112863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263639934675421"/>
          <c:y val="0.92404278613512336"/>
          <c:w val="0.55660735380032611"/>
          <c:h val="5.471305970536914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3C4F-5FC9-4110-B391-F40F8BE3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Marin Gergov</cp:lastModifiedBy>
  <cp:revision>2</cp:revision>
  <cp:lastPrinted>2025-01-20T06:59:00Z</cp:lastPrinted>
  <dcterms:created xsi:type="dcterms:W3CDTF">2025-03-07T07:31:00Z</dcterms:created>
  <dcterms:modified xsi:type="dcterms:W3CDTF">2025-03-07T07:31:00Z</dcterms:modified>
</cp:coreProperties>
</file>