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22C" w:rsidRPr="00890520" w:rsidRDefault="00890520" w:rsidP="00890520">
      <w:pPr>
        <w:spacing w:after="0"/>
        <w:rPr>
          <w:b/>
          <w:sz w:val="28"/>
          <w:lang w:val="bg-BG"/>
        </w:rPr>
      </w:pPr>
      <w:r w:rsidRPr="00890520">
        <w:rPr>
          <w:b/>
          <w:sz w:val="28"/>
          <w:lang w:val="bg-BG"/>
        </w:rPr>
        <w:t>СЪОБЩЕНИЕ ДО МЕДИИТЕ</w:t>
      </w:r>
      <w:bookmarkStart w:id="0" w:name="_GoBack"/>
      <w:bookmarkEnd w:id="0"/>
    </w:p>
    <w:p w:rsidR="00890520" w:rsidRPr="0018131A" w:rsidRDefault="00890520" w:rsidP="00890520">
      <w:pPr>
        <w:spacing w:after="0"/>
        <w:rPr>
          <w:i/>
          <w:lang w:val="bg-BG"/>
        </w:rPr>
      </w:pPr>
      <w:r w:rsidRPr="0018131A">
        <w:rPr>
          <w:i/>
          <w:lang w:val="bg-BG"/>
        </w:rPr>
        <w:t>Дата:</w:t>
      </w:r>
      <w:r w:rsidR="006D6C2D" w:rsidRPr="0018131A">
        <w:rPr>
          <w:i/>
          <w:lang w:val="bg-BG"/>
        </w:rPr>
        <w:t xml:space="preserve"> </w:t>
      </w:r>
      <w:r w:rsidR="0018131A" w:rsidRPr="0018131A">
        <w:rPr>
          <w:i/>
          <w:lang w:val="bg-BG"/>
        </w:rPr>
        <w:t>4.03.2025 г.</w:t>
      </w:r>
    </w:p>
    <w:p w:rsidR="001C371A" w:rsidRPr="0018131A" w:rsidRDefault="0018131A" w:rsidP="00346DED">
      <w:pPr>
        <w:spacing w:before="120" w:after="0" w:line="240" w:lineRule="auto"/>
        <w:rPr>
          <w:rFonts w:ascii="Calibri" w:eastAsia="Calibri" w:hAnsi="Calibri" w:cs="Times New Roman"/>
          <w:b/>
          <w:i/>
          <w:sz w:val="28"/>
          <w:lang w:val="bg-BG"/>
        </w:rPr>
      </w:pPr>
      <w:r w:rsidRPr="0018131A">
        <w:rPr>
          <w:rFonts w:ascii="Calibri" w:eastAsia="Calibri" w:hAnsi="Calibri" w:cs="Times New Roman"/>
          <w:b/>
          <w:sz w:val="32"/>
          <w:lang w:val="bg-BG"/>
        </w:rPr>
        <w:t>Челопеч, Козлодуй и София с най-високи заплати</w:t>
      </w:r>
    </w:p>
    <w:p w:rsidR="00346DED" w:rsidRPr="0018131A" w:rsidRDefault="0018131A" w:rsidP="001C371A">
      <w:pPr>
        <w:spacing w:before="120" w:after="0" w:line="240" w:lineRule="auto"/>
        <w:jc w:val="both"/>
        <w:rPr>
          <w:rStyle w:val="Hyperlink"/>
          <w:rFonts w:ascii="Calibri" w:eastAsia="Calibri" w:hAnsi="Calibri" w:cs="Times New Roman"/>
          <w:i/>
          <w:color w:val="auto"/>
          <w:sz w:val="28"/>
          <w:u w:val="none"/>
          <w:lang w:val="bg-BG"/>
        </w:rPr>
      </w:pPr>
      <w:r w:rsidRPr="0018131A">
        <w:rPr>
          <w:rStyle w:val="Hyperlink"/>
          <w:rFonts w:ascii="Calibri" w:eastAsia="Calibri" w:hAnsi="Calibri" w:cs="Times New Roman"/>
          <w:i/>
          <w:color w:val="auto"/>
          <w:sz w:val="28"/>
          <w:u w:val="none"/>
          <w:lang w:val="bg-BG"/>
        </w:rPr>
        <w:t>ИПИ отбелязва шеста поредна година на инициативата „265 истории за икономика“</w:t>
      </w:r>
    </w:p>
    <w:p w:rsidR="0018131A" w:rsidRDefault="0018131A" w:rsidP="0018131A">
      <w:pPr>
        <w:jc w:val="both"/>
        <w:rPr>
          <w:rStyle w:val="Hyperlink"/>
          <w:rFonts w:ascii="Calibri" w:eastAsia="Calibri" w:hAnsi="Calibri" w:cs="Times New Roman"/>
          <w:i/>
          <w:sz w:val="24"/>
          <w:lang w:val="bg-BG"/>
        </w:rPr>
      </w:pPr>
    </w:p>
    <w:p w:rsidR="0018131A" w:rsidRPr="0018131A" w:rsidRDefault="0018131A" w:rsidP="0018131A">
      <w:pPr>
        <w:jc w:val="both"/>
        <w:rPr>
          <w:rFonts w:ascii="Calibri" w:eastAsia="Calibri" w:hAnsi="Calibri" w:cs="Times New Roman"/>
          <w:kern w:val="2"/>
          <w:lang w:val="bg-BG"/>
          <w14:ligatures w14:val="standardContextual"/>
        </w:rPr>
      </w:pPr>
    </w:p>
    <w:p w:rsidR="0018131A" w:rsidRPr="0018131A" w:rsidRDefault="0018131A" w:rsidP="0018131A">
      <w:pPr>
        <w:jc w:val="both"/>
        <w:rPr>
          <w:rFonts w:ascii="Calibri" w:eastAsia="Calibri" w:hAnsi="Calibri" w:cs="Times New Roman"/>
          <w:kern w:val="2"/>
          <w:lang w:val="bg-BG"/>
          <w14:ligatures w14:val="standardContextual"/>
        </w:rPr>
      </w:pPr>
      <w:r w:rsidRPr="0018131A">
        <w:rPr>
          <w:rFonts w:ascii="Calibri" w:eastAsia="Calibri" w:hAnsi="Calibri" w:cs="Times New Roman"/>
          <w:kern w:val="2"/>
          <w:lang w:val="bg-BG"/>
          <w14:ligatures w14:val="standardContextual"/>
        </w:rPr>
        <w:t>Инициативата „265 истории за икономика“ (</w:t>
      </w:r>
      <w:hyperlink r:id="rId8" w:history="1">
        <w:r w:rsidRPr="0018131A">
          <w:rPr>
            <w:rFonts w:ascii="Calibri" w:eastAsia="Calibri" w:hAnsi="Calibri" w:cs="Times New Roman"/>
            <w:color w:val="0563C1"/>
            <w:kern w:val="2"/>
            <w:u w:val="single"/>
            <w:lang w:val="bg-BG"/>
            <w14:ligatures w14:val="standardContextual"/>
          </w:rPr>
          <w:t>www.265obshtini.bg</w:t>
        </w:r>
      </w:hyperlink>
      <w:r w:rsidRPr="0018131A">
        <w:rPr>
          <w:rFonts w:ascii="Calibri" w:eastAsia="Calibri" w:hAnsi="Calibri" w:cs="Times New Roman"/>
          <w:kern w:val="2"/>
          <w:lang w:val="bg-BG"/>
          <w14:ligatures w14:val="standardContextual"/>
        </w:rPr>
        <w:t>) за разпространение, визуализация и анализ на общински данни на Института за пазарна икономика (ИПИ) навлиза в своята шеста година. Тя се осъществява с подкрепата</w:t>
      </w:r>
      <w:r w:rsidRPr="0018131A">
        <w:rPr>
          <w:rFonts w:ascii="Calibri" w:eastAsia="Calibri" w:hAnsi="Calibri" w:cs="Times New Roman"/>
          <w:kern w:val="2"/>
          <w:vertAlign w:val="superscript"/>
          <w:lang w:val="bg-BG"/>
          <w14:ligatures w14:val="standardContextual"/>
        </w:rPr>
        <w:footnoteReference w:id="1"/>
      </w:r>
      <w:r w:rsidRPr="0018131A">
        <w:rPr>
          <w:rFonts w:ascii="Calibri" w:eastAsia="Calibri" w:hAnsi="Calibri" w:cs="Times New Roman"/>
          <w:kern w:val="2"/>
          <w:lang w:val="bg-BG"/>
          <w14:ligatures w14:val="standardContextual"/>
        </w:rPr>
        <w:t xml:space="preserve"> на няколко водещи български компании, а целта ѝ е да информира обществеността за икономическото развитие на 265-те общини в страната чрез представяне на данни под формата на интерактивни карти. През годините „265 истории за икономика“ се превърна във водещия редовен и актуален източник на данни и анализи по темата общинско развитие, който се радва на значителен обществен интерес. </w:t>
      </w:r>
    </w:p>
    <w:p w:rsidR="0018131A" w:rsidRPr="0018131A" w:rsidRDefault="0018131A" w:rsidP="0018131A">
      <w:pPr>
        <w:jc w:val="both"/>
        <w:rPr>
          <w:rFonts w:ascii="Calibri" w:eastAsia="Calibri" w:hAnsi="Calibri" w:cs="Times New Roman"/>
          <w:b/>
          <w:bCs/>
          <w:kern w:val="2"/>
          <w:lang w:val="bg-BG"/>
          <w14:ligatures w14:val="standardContextual"/>
        </w:rPr>
      </w:pPr>
      <w:r w:rsidRPr="0018131A">
        <w:rPr>
          <w:rFonts w:ascii="Calibri" w:eastAsia="Calibri" w:hAnsi="Calibri" w:cs="Times New Roman"/>
          <w:b/>
          <w:bCs/>
          <w:kern w:val="2"/>
          <w:lang w:val="bg-BG"/>
          <w14:ligatures w14:val="standardContextual"/>
        </w:rPr>
        <w:t>В повечето общини заплатите растат по-бързо през 2023 г. отколкото през 2022 г.</w:t>
      </w:r>
    </w:p>
    <w:p w:rsidR="0018131A" w:rsidRPr="0018131A" w:rsidRDefault="0018131A" w:rsidP="0018131A">
      <w:pPr>
        <w:jc w:val="both"/>
        <w:rPr>
          <w:rFonts w:ascii="Calibri" w:eastAsia="Calibri" w:hAnsi="Calibri" w:cs="Times New Roman"/>
          <w:kern w:val="2"/>
          <w:lang w:val="bg-BG"/>
          <w14:ligatures w14:val="standardContextual"/>
        </w:rPr>
      </w:pPr>
      <w:r w:rsidRPr="0018131A">
        <w:rPr>
          <w:rFonts w:ascii="Calibri" w:eastAsia="Calibri" w:hAnsi="Calibri" w:cs="Times New Roman"/>
          <w:kern w:val="2"/>
          <w:lang w:val="bg-BG"/>
          <w14:ligatures w14:val="standardContextual"/>
        </w:rPr>
        <w:t xml:space="preserve">Данните са обновени за 2023 г. и представят средните заплати на наетите по трудово и служебно правоотношение по общини, като показваме и отделна разбивка възнагражденията </w:t>
      </w:r>
      <w:hyperlink r:id="rId9" w:history="1">
        <w:r w:rsidRPr="0018131A">
          <w:rPr>
            <w:rFonts w:ascii="Calibri" w:eastAsia="Calibri" w:hAnsi="Calibri" w:cs="Times New Roman"/>
            <w:color w:val="0563C1"/>
            <w:kern w:val="2"/>
            <w:u w:val="single"/>
            <w:lang w:val="bg-BG"/>
            <w14:ligatures w14:val="standardContextual"/>
          </w:rPr>
          <w:t>за обществения и частния сектор</w:t>
        </w:r>
      </w:hyperlink>
      <w:r w:rsidRPr="0018131A">
        <w:rPr>
          <w:rFonts w:ascii="Calibri" w:eastAsia="Calibri" w:hAnsi="Calibri" w:cs="Times New Roman"/>
          <w:kern w:val="2"/>
          <w:lang w:val="bg-BG"/>
          <w14:ligatures w14:val="standardContextual"/>
        </w:rPr>
        <w:t>. Това са най-новите налични данни на ниво община, предоставени от НСИ и обработени и визуализирани от ИПИ.</w:t>
      </w:r>
    </w:p>
    <w:p w:rsidR="0018131A" w:rsidRPr="0018131A" w:rsidRDefault="0018131A" w:rsidP="0018131A">
      <w:pPr>
        <w:jc w:val="both"/>
        <w:rPr>
          <w:rFonts w:ascii="Calibri" w:eastAsia="Calibri" w:hAnsi="Calibri" w:cs="Times New Roman"/>
          <w:kern w:val="2"/>
          <w:lang w:val="bg-BG"/>
          <w14:ligatures w14:val="standardContextual"/>
        </w:rPr>
      </w:pPr>
      <w:r w:rsidRPr="0018131A">
        <w:rPr>
          <w:rFonts w:ascii="Calibri" w:eastAsia="Calibri" w:hAnsi="Calibri" w:cs="Times New Roman"/>
          <w:noProof/>
          <w:kern w:val="2"/>
          <w14:ligatures w14:val="standardContextual"/>
        </w:rPr>
        <w:drawing>
          <wp:inline distT="0" distB="0" distL="0" distR="0" wp14:anchorId="57BA5BDF" wp14:editId="23636C94">
            <wp:extent cx="5760720" cy="2555032"/>
            <wp:effectExtent l="0" t="0" r="0" b="0"/>
            <wp:docPr id="2" name="Picture 1" descr="A map of the count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997162" name="Picture 1" descr="A map of the country&#10;&#10;AI-generated content may be incorrect."/>
                    <pic:cNvPicPr/>
                  </pic:nvPicPr>
                  <pic:blipFill rotWithShape="1">
                    <a:blip r:embed="rId10"/>
                    <a:srcRect l="-1" t="709" r="628" b="1"/>
                    <a:stretch/>
                  </pic:blipFill>
                  <pic:spPr bwMode="auto">
                    <a:xfrm>
                      <a:off x="0" y="0"/>
                      <a:ext cx="5760720" cy="255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31A" w:rsidRPr="0018131A" w:rsidRDefault="0018131A" w:rsidP="0018131A">
      <w:pPr>
        <w:jc w:val="both"/>
        <w:rPr>
          <w:rFonts w:ascii="Calibri" w:eastAsia="Calibri" w:hAnsi="Calibri" w:cs="Times New Roman"/>
          <w:kern w:val="2"/>
          <w:lang w:val="bg-BG"/>
          <w14:ligatures w14:val="standardContextual"/>
        </w:rPr>
      </w:pPr>
      <w:r w:rsidRPr="0018131A">
        <w:rPr>
          <w:rFonts w:ascii="Calibri" w:eastAsia="Calibri" w:hAnsi="Calibri" w:cs="Times New Roman"/>
          <w:kern w:val="2"/>
          <w:lang w:val="bg-BG"/>
          <w14:ligatures w14:val="standardContextual"/>
        </w:rPr>
        <w:lastRenderedPageBreak/>
        <w:t>На челните позиции по средни брутни месечни заплати за поредна година се нареждат предимно малки общини, в които дейност развиват големи компании, формиращи значителна част от трудовите доходи в района. Това включва общини от Средногорието</w:t>
      </w:r>
      <w:r w:rsidRPr="0018131A">
        <w:rPr>
          <w:rFonts w:ascii="Calibri" w:eastAsia="Calibri" w:hAnsi="Calibri" w:cs="Times New Roman"/>
          <w:kern w:val="2"/>
          <w:vertAlign w:val="superscript"/>
          <w:lang w:val="bg-BG"/>
          <w14:ligatures w14:val="standardContextual"/>
        </w:rPr>
        <w:footnoteReference w:id="2"/>
      </w:r>
      <w:r w:rsidRPr="0018131A">
        <w:rPr>
          <w:rFonts w:ascii="Calibri" w:eastAsia="Calibri" w:hAnsi="Calibri" w:cs="Times New Roman"/>
          <w:kern w:val="2"/>
          <w:lang w:val="bg-BG"/>
          <w14:ligatures w14:val="standardContextual"/>
        </w:rPr>
        <w:t xml:space="preserve"> със силно развита </w:t>
      </w:r>
      <w:proofErr w:type="spellStart"/>
      <w:r w:rsidRPr="0018131A">
        <w:rPr>
          <w:rFonts w:ascii="Calibri" w:eastAsia="Calibri" w:hAnsi="Calibri" w:cs="Times New Roman"/>
          <w:kern w:val="2"/>
          <w:lang w:val="bg-BG"/>
          <w14:ligatures w14:val="standardContextual"/>
        </w:rPr>
        <w:t>добивна</w:t>
      </w:r>
      <w:proofErr w:type="spellEnd"/>
      <w:r w:rsidRPr="0018131A">
        <w:rPr>
          <w:rFonts w:ascii="Calibri" w:eastAsia="Calibri" w:hAnsi="Calibri" w:cs="Times New Roman"/>
          <w:kern w:val="2"/>
          <w:lang w:val="bg-BG"/>
          <w14:ligatures w14:val="standardContextual"/>
        </w:rPr>
        <w:t xml:space="preserve"> и свързана с нея преработваща промишленост като Челопеч (първо място с 3751 лв.), Пирдоп (пето място с 2799 лв.) и Панагюрище (осмо място 2436 лв.), както и силните в енергетиката общини като Козлодуй (второ място с 3421 лв.), Раднево (четвърто място с 2803 лв.) и Гълъбово (шесто място с 2530 лв.). Традиционно индустриални общини като Девня (седмо място с 2 504 лв.) и Божурище (девето място с 2 227 лв.) също намират място в топ 10. </w:t>
      </w:r>
    </w:p>
    <w:p w:rsidR="0018131A" w:rsidRPr="0018131A" w:rsidRDefault="0018131A" w:rsidP="0018131A">
      <w:pPr>
        <w:jc w:val="both"/>
        <w:rPr>
          <w:rFonts w:ascii="Calibri" w:eastAsia="Calibri" w:hAnsi="Calibri" w:cs="Times New Roman"/>
          <w:kern w:val="2"/>
          <w:lang w:val="bg-BG"/>
          <w14:ligatures w14:val="standardContextual"/>
        </w:rPr>
      </w:pPr>
      <w:r w:rsidRPr="0018131A">
        <w:rPr>
          <w:rFonts w:ascii="Calibri" w:eastAsia="Calibri" w:hAnsi="Calibri" w:cs="Times New Roman"/>
          <w:kern w:val="2"/>
          <w:lang w:val="bg-BG"/>
          <w14:ligatures w14:val="standardContextual"/>
        </w:rPr>
        <w:t xml:space="preserve">Изключение е София, която през 2023 г. се нарежда на трето място със средна брутна месечна заплата от 2855 лв. Столицата концентрира 34% от всички наети в страната и изпреварва чувствително другите големи икономически центрове по ниво на възнагражденията. Интересно разместване спрямо миналата година е понижението на община Кнежа, специализирана в </w:t>
      </w:r>
      <w:proofErr w:type="spellStart"/>
      <w:r w:rsidRPr="0018131A">
        <w:rPr>
          <w:rFonts w:ascii="Calibri" w:eastAsia="Calibri" w:hAnsi="Calibri" w:cs="Times New Roman"/>
          <w:kern w:val="2"/>
          <w:lang w:val="bg-BG"/>
          <w14:ligatures w14:val="standardContextual"/>
        </w:rPr>
        <w:t>зърнопроизводството</w:t>
      </w:r>
      <w:proofErr w:type="spellEnd"/>
      <w:r w:rsidRPr="0018131A">
        <w:rPr>
          <w:rFonts w:ascii="Calibri" w:eastAsia="Calibri" w:hAnsi="Calibri" w:cs="Times New Roman"/>
          <w:kern w:val="2"/>
          <w:lang w:val="bg-BG"/>
          <w14:ligatures w14:val="standardContextual"/>
        </w:rPr>
        <w:t xml:space="preserve"> и преработката на растителни мазнини, от трето на десето място, или от 2813 лв. през 2022 г. на 2176 лв. през 2023 г. Това е пореден пример за ефектите от еднократния характер на бума в сектор земеделие за 2022 г.</w:t>
      </w:r>
    </w:p>
    <w:p w:rsidR="0018131A" w:rsidRPr="0018131A" w:rsidRDefault="0018131A" w:rsidP="0018131A">
      <w:pPr>
        <w:jc w:val="both"/>
        <w:rPr>
          <w:rFonts w:ascii="Calibri" w:eastAsia="Calibri" w:hAnsi="Calibri" w:cs="Times New Roman"/>
          <w:kern w:val="2"/>
          <w:lang w:val="bg-BG"/>
          <w14:ligatures w14:val="standardContextual"/>
        </w:rPr>
      </w:pPr>
      <w:r w:rsidRPr="0018131A">
        <w:rPr>
          <w:rFonts w:ascii="Calibri" w:eastAsia="Calibri" w:hAnsi="Calibri" w:cs="Times New Roman"/>
          <w:kern w:val="2"/>
          <w:lang w:val="bg-BG"/>
          <w14:ligatures w14:val="standardContextual"/>
        </w:rPr>
        <w:t>Интересен за 2023 г. е темпът на увеличението на заплатите в отделните общини. Възнагражденията растат в 258 общини и намаляват едва в 6, като тези бройки са приблизително същите за предходните няколко години. В цели 247 общини ръстът на заплатите за годината надвишава 9,5%, колкото е средногодишната инфлация  за 2023 г. Тук обаче има и известен елемент на наваксване с всеобщия ценови ръст -през 2022 г. само в 55 общини възнагражденията с по-висок темп от средногодишната инфлация. Догонването личи и по друго наблюдение – в 194 общини годишният темп на увеличение на заплатите през 2023 г. е по-висок от постигнатия през предходната година.  спрямо предходната от общо 265.</w:t>
      </w:r>
    </w:p>
    <w:p w:rsidR="0018131A" w:rsidRPr="0018131A" w:rsidRDefault="0018131A" w:rsidP="0018131A">
      <w:pPr>
        <w:jc w:val="both"/>
        <w:rPr>
          <w:rFonts w:ascii="Calibri" w:eastAsia="Calibri" w:hAnsi="Calibri" w:cs="Times New Roman"/>
          <w:b/>
          <w:bCs/>
          <w:kern w:val="2"/>
          <w:lang w:val="bg-BG"/>
          <w14:ligatures w14:val="standardContextual"/>
        </w:rPr>
      </w:pPr>
    </w:p>
    <w:p w:rsidR="0018131A" w:rsidRPr="0018131A" w:rsidRDefault="0018131A" w:rsidP="0018131A">
      <w:pPr>
        <w:jc w:val="both"/>
        <w:rPr>
          <w:rFonts w:ascii="Calibri" w:eastAsia="Calibri" w:hAnsi="Calibri" w:cs="Times New Roman"/>
          <w:b/>
          <w:bCs/>
          <w:kern w:val="2"/>
          <w:lang w:val="bg-BG"/>
          <w14:ligatures w14:val="standardContextual"/>
        </w:rPr>
      </w:pPr>
      <w:r w:rsidRPr="0018131A">
        <w:rPr>
          <w:rFonts w:ascii="Calibri" w:eastAsia="Calibri" w:hAnsi="Calibri" w:cs="Times New Roman"/>
          <w:b/>
          <w:bCs/>
          <w:kern w:val="2"/>
          <w:lang w:val="bg-BG"/>
          <w14:ligatures w14:val="standardContextual"/>
        </w:rPr>
        <w:t>Икономиките на общините в северна България дават назад през 2023 г.</w:t>
      </w:r>
    </w:p>
    <w:p w:rsidR="0018131A" w:rsidRPr="0018131A" w:rsidRDefault="0018131A" w:rsidP="0018131A">
      <w:pPr>
        <w:jc w:val="both"/>
        <w:rPr>
          <w:rFonts w:ascii="Calibri" w:eastAsia="Calibri" w:hAnsi="Calibri" w:cs="Times New Roman"/>
          <w:kern w:val="2"/>
          <w:lang w:val="bg-BG"/>
          <w14:ligatures w14:val="standardContextual"/>
        </w:rPr>
      </w:pPr>
      <w:r w:rsidRPr="0018131A">
        <w:rPr>
          <w:rFonts w:ascii="Calibri" w:eastAsia="Calibri" w:hAnsi="Calibri" w:cs="Times New Roman"/>
          <w:kern w:val="2"/>
          <w:lang w:val="bg-BG"/>
          <w14:ligatures w14:val="standardContextual"/>
        </w:rPr>
        <w:t>През 2023 г. се наблюдава забавяне на икономическия растеж на голяма част от територията на страната. Това показват обновените данни за добавената стойност, приходите от продажби и инвестициите на нефинансовите предприятия, които също представяме на страницата на „265 истории за икономика“. Ако през 2022 г. в огромно мнозинство от общините редица индикатори за стопанската активност на предприятията отчитат ръст, то през 2023 г. в далеч повече общини се наблюдава свиване.</w:t>
      </w:r>
    </w:p>
    <w:tbl>
      <w:tblPr>
        <w:tblStyle w:val="TableGrid1"/>
        <w:tblW w:w="97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92"/>
      </w:tblGrid>
      <w:tr w:rsidR="0018131A" w:rsidRPr="0018131A" w:rsidTr="008B4C14">
        <w:trPr>
          <w:cantSplit/>
          <w:trHeight w:val="3888"/>
          <w:jc w:val="center"/>
        </w:trPr>
        <w:tc>
          <w:tcPr>
            <w:tcW w:w="9792" w:type="dxa"/>
            <w:vAlign w:val="center"/>
          </w:tcPr>
          <w:p w:rsidR="0018131A" w:rsidRPr="0018131A" w:rsidRDefault="0018131A" w:rsidP="0018131A">
            <w:pPr>
              <w:jc w:val="center"/>
              <w:rPr>
                <w:rFonts w:ascii="Calibri" w:eastAsia="Calibri" w:hAnsi="Calibri" w:cs="Times New Roman"/>
                <w:lang w:val="bg-BG"/>
              </w:rPr>
            </w:pPr>
            <w:r w:rsidRPr="0018131A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38493931" wp14:editId="6C23D4F4">
                  <wp:extent cx="5760720" cy="3133725"/>
                  <wp:effectExtent l="0" t="0" r="0" b="0"/>
                  <wp:docPr id="5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502ACB-A9B7-64E2-E230-C3E2B4BE5A8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  <w:tr w:rsidR="0018131A" w:rsidRPr="0018131A" w:rsidTr="008B4C14">
        <w:trPr>
          <w:trHeight w:val="3888"/>
          <w:jc w:val="center"/>
        </w:trPr>
        <w:tc>
          <w:tcPr>
            <w:tcW w:w="9792" w:type="dxa"/>
            <w:vAlign w:val="center"/>
          </w:tcPr>
          <w:p w:rsidR="0018131A" w:rsidRPr="0018131A" w:rsidRDefault="0018131A" w:rsidP="0018131A">
            <w:pPr>
              <w:jc w:val="center"/>
              <w:rPr>
                <w:rFonts w:ascii="Calibri" w:eastAsia="Calibri" w:hAnsi="Calibri" w:cs="Times New Roman"/>
                <w:lang w:val="bg-BG"/>
              </w:rPr>
            </w:pPr>
            <w:r w:rsidRPr="0018131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5AD91C6" wp14:editId="5EBE1997">
                  <wp:extent cx="5760720" cy="2990850"/>
                  <wp:effectExtent l="0" t="0" r="0" b="0"/>
                  <wp:docPr id="7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9DF90D-71B5-D434-94A4-5588E2D1E89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:rsidR="0018131A" w:rsidRPr="0018131A" w:rsidRDefault="0018131A" w:rsidP="0018131A">
      <w:pPr>
        <w:jc w:val="both"/>
        <w:rPr>
          <w:rFonts w:ascii="Calibri" w:eastAsia="Calibri" w:hAnsi="Calibri" w:cs="Times New Roman"/>
          <w:kern w:val="2"/>
          <w:lang w:val="bg-BG"/>
          <w14:ligatures w14:val="standardContextual"/>
        </w:rPr>
      </w:pPr>
    </w:p>
    <w:p w:rsidR="0018131A" w:rsidRPr="0018131A" w:rsidRDefault="0018131A" w:rsidP="0018131A">
      <w:pPr>
        <w:jc w:val="both"/>
        <w:rPr>
          <w:rFonts w:ascii="Calibri" w:eastAsia="Calibri" w:hAnsi="Calibri" w:cs="Times New Roman"/>
          <w:kern w:val="2"/>
          <w:lang w:val="bg-BG"/>
          <w14:ligatures w14:val="standardContextual"/>
        </w:rPr>
      </w:pPr>
      <w:r w:rsidRPr="0018131A">
        <w:rPr>
          <w:rFonts w:ascii="Calibri" w:eastAsia="Calibri" w:hAnsi="Calibri" w:cs="Times New Roman"/>
          <w:kern w:val="2"/>
          <w:lang w:val="bg-BG"/>
          <w14:ligatures w14:val="standardContextual"/>
        </w:rPr>
        <w:t>Особено голям е контрастът в динамиката  на добавената стойност, която през 2022 г. расте в 234 общини, за които са публикувани данни</w:t>
      </w:r>
      <w:r w:rsidRPr="0018131A">
        <w:rPr>
          <w:rFonts w:ascii="Calibri" w:eastAsia="Calibri" w:hAnsi="Calibri" w:cs="Times New Roman"/>
          <w:kern w:val="2"/>
          <w:vertAlign w:val="superscript"/>
          <w:lang w:val="bg-BG"/>
          <w14:ligatures w14:val="standardContextual"/>
        </w:rPr>
        <w:footnoteReference w:id="3"/>
      </w:r>
      <w:r w:rsidRPr="0018131A">
        <w:rPr>
          <w:rFonts w:ascii="Calibri" w:eastAsia="Calibri" w:hAnsi="Calibri" w:cs="Times New Roman"/>
          <w:kern w:val="2"/>
          <w:lang w:val="bg-BG"/>
          <w14:ligatures w14:val="standardContextual"/>
        </w:rPr>
        <w:t xml:space="preserve">, и намалява в 18, докато през 2023 г. само в 144 общини се наблюдава ръст, а в 105 има спад. При голяма част от общините свиването може да се обясни с факта, че са разположени в северната част на страната, където ролята на земеделието е по-голяма, </w:t>
      </w:r>
      <w:r w:rsidRPr="0018131A">
        <w:rPr>
          <w:rFonts w:ascii="Calibri" w:eastAsia="Calibri" w:hAnsi="Calibri" w:cs="Times New Roman"/>
          <w:kern w:val="2"/>
          <w:lang w:val="bg-BG"/>
          <w14:ligatures w14:val="standardContextual"/>
        </w:rPr>
        <w:lastRenderedPageBreak/>
        <w:t>и съответно след резкия ценови шок през 2022 г. на международните пазари сега се отчита ефектът на охлаждането през 2023 г. Сходна тенденция разкриват и индикаторите за произведена продукция, приходи от продажби и приходи от износ – повсеместен ръст през 2022 г., последван от спад в много общини през 2023 г., особено в северна България.</w:t>
      </w:r>
    </w:p>
    <w:p w:rsidR="0018131A" w:rsidRPr="0018131A" w:rsidRDefault="0018131A" w:rsidP="0018131A">
      <w:pPr>
        <w:jc w:val="both"/>
        <w:rPr>
          <w:rFonts w:ascii="Calibri" w:eastAsia="Calibri" w:hAnsi="Calibri" w:cs="Times New Roman"/>
          <w:kern w:val="2"/>
          <w14:ligatures w14:val="standardContextual"/>
        </w:rPr>
      </w:pPr>
      <w:r w:rsidRPr="0018131A">
        <w:rPr>
          <w:rFonts w:ascii="Calibri" w:eastAsia="Calibri" w:hAnsi="Calibri" w:cs="Times New Roman"/>
          <w:b/>
          <w:bCs/>
          <w:noProof/>
          <w:kern w:val="2"/>
          <w14:ligatures w14:val="standardContextual"/>
        </w:rPr>
        <w:drawing>
          <wp:inline distT="0" distB="0" distL="0" distR="0" wp14:anchorId="3DE8ACB1" wp14:editId="2235DF4A">
            <wp:extent cx="5760720" cy="2528570"/>
            <wp:effectExtent l="0" t="0" r="0" b="5080"/>
            <wp:docPr id="8" name="Picture 1" descr="A map of turkey with red and blue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20010" name="Picture 1" descr="A map of turkey with red and blue color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31A" w:rsidRPr="0018131A" w:rsidRDefault="0018131A" w:rsidP="0018131A">
      <w:pPr>
        <w:jc w:val="both"/>
        <w:rPr>
          <w:rFonts w:ascii="Calibri" w:eastAsia="Calibri" w:hAnsi="Calibri" w:cs="Times New Roman"/>
          <w:b/>
          <w:bCs/>
          <w:kern w:val="2"/>
          <w:lang w:val="bg-BG"/>
          <w14:ligatures w14:val="standardContextual"/>
        </w:rPr>
      </w:pPr>
    </w:p>
    <w:p w:rsidR="0018131A" w:rsidRPr="0018131A" w:rsidRDefault="0018131A" w:rsidP="0018131A">
      <w:pPr>
        <w:jc w:val="both"/>
        <w:rPr>
          <w:rFonts w:ascii="Calibri" w:eastAsia="Calibri" w:hAnsi="Calibri" w:cs="Times New Roman"/>
          <w:b/>
          <w:bCs/>
          <w:kern w:val="2"/>
          <w:lang w:val="bg-BG"/>
          <w14:ligatures w14:val="standardContextual"/>
        </w:rPr>
      </w:pPr>
      <w:r w:rsidRPr="0018131A">
        <w:rPr>
          <w:rFonts w:ascii="Calibri" w:eastAsia="Calibri" w:hAnsi="Calibri" w:cs="Times New Roman"/>
          <w:b/>
          <w:bCs/>
          <w:kern w:val="2"/>
          <w:lang w:val="bg-BG"/>
          <w14:ligatures w14:val="standardContextual"/>
        </w:rPr>
        <w:t>Какво предстои за „265 истории за икономика“?</w:t>
      </w:r>
    </w:p>
    <w:p w:rsidR="0018131A" w:rsidRPr="0018131A" w:rsidRDefault="0018131A" w:rsidP="0018131A">
      <w:pPr>
        <w:jc w:val="both"/>
        <w:rPr>
          <w:rFonts w:ascii="Calibri" w:eastAsia="Calibri" w:hAnsi="Calibri" w:cs="Times New Roman"/>
          <w:kern w:val="2"/>
          <w:lang w:val="bg-BG"/>
          <w14:ligatures w14:val="standardContextual"/>
        </w:rPr>
      </w:pPr>
      <w:r w:rsidRPr="0018131A">
        <w:rPr>
          <w:rFonts w:ascii="Calibri" w:eastAsia="Calibri" w:hAnsi="Calibri" w:cs="Times New Roman"/>
          <w:kern w:val="2"/>
          <w:lang w:val="bg-BG"/>
          <w14:ligatures w14:val="standardContextual"/>
        </w:rPr>
        <w:t xml:space="preserve">И през тази година екипът на ИПИ ще продължи да актуализира интерактивните карти на страната с нови данни за икономическото и социално развитие на общинско ниво. Голям набор индикатори за нефинансовите предприятия вече са налични на сайта на инициативата, а институтът вече е публикувал и няколко анализа, фокусирани върху теми като </w:t>
      </w:r>
      <w:hyperlink r:id="rId14" w:history="1">
        <w:r w:rsidRPr="0018131A">
          <w:rPr>
            <w:rFonts w:ascii="Calibri" w:eastAsia="Calibri" w:hAnsi="Calibri" w:cs="Times New Roman"/>
            <w:color w:val="0563C1"/>
            <w:kern w:val="2"/>
            <w:u w:val="single"/>
            <w:lang w:val="bg-BG"/>
            <w14:ligatures w14:val="standardContextual"/>
          </w:rPr>
          <w:t>добавена стойност</w:t>
        </w:r>
      </w:hyperlink>
      <w:r w:rsidRPr="0018131A">
        <w:rPr>
          <w:rFonts w:ascii="Calibri" w:eastAsia="Calibri" w:hAnsi="Calibri" w:cs="Times New Roman"/>
          <w:kern w:val="2"/>
          <w:lang w:val="bg-BG"/>
          <w14:ligatures w14:val="standardContextual"/>
        </w:rPr>
        <w:t xml:space="preserve"> и </w:t>
      </w:r>
      <w:hyperlink r:id="rId15" w:history="1">
        <w:r w:rsidRPr="0018131A">
          <w:rPr>
            <w:rFonts w:ascii="Calibri" w:eastAsia="Calibri" w:hAnsi="Calibri" w:cs="Times New Roman"/>
            <w:color w:val="0563C1"/>
            <w:kern w:val="2"/>
            <w:u w:val="single"/>
            <w:lang w:val="bg-BG"/>
            <w14:ligatures w14:val="standardContextual"/>
          </w:rPr>
          <w:t>инвестиции</w:t>
        </w:r>
      </w:hyperlink>
      <w:r w:rsidRPr="0018131A">
        <w:rPr>
          <w:rFonts w:ascii="Calibri" w:eastAsia="Calibri" w:hAnsi="Calibri" w:cs="Times New Roman"/>
          <w:kern w:val="2"/>
          <w:lang w:val="bg-BG"/>
          <w14:ligatures w14:val="standardContextual"/>
        </w:rPr>
        <w:t xml:space="preserve">. </w:t>
      </w:r>
    </w:p>
    <w:p w:rsidR="0018131A" w:rsidRPr="0018131A" w:rsidRDefault="0018131A" w:rsidP="0018131A">
      <w:pPr>
        <w:jc w:val="both"/>
        <w:rPr>
          <w:rFonts w:ascii="Calibri" w:eastAsia="Calibri" w:hAnsi="Calibri" w:cs="Times New Roman"/>
          <w:i/>
          <w:iCs/>
          <w:kern w:val="2"/>
          <w:lang w:val="bg-BG"/>
          <w14:ligatures w14:val="standardContextual"/>
        </w:rPr>
      </w:pPr>
    </w:p>
    <w:p w:rsidR="0018131A" w:rsidRPr="0018131A" w:rsidRDefault="0018131A" w:rsidP="0018131A">
      <w:pPr>
        <w:jc w:val="both"/>
        <w:rPr>
          <w:rFonts w:ascii="Calibri" w:eastAsia="Calibri" w:hAnsi="Calibri" w:cs="Times New Roman"/>
          <w:kern w:val="2"/>
          <w:lang w:val="bg-BG"/>
          <w14:ligatures w14:val="standardContextual"/>
        </w:rPr>
      </w:pPr>
      <w:r w:rsidRPr="0018131A">
        <w:rPr>
          <w:rFonts w:ascii="Calibri" w:eastAsia="Calibri" w:hAnsi="Calibri" w:cs="Times New Roman"/>
          <w:i/>
          <w:iCs/>
          <w:kern w:val="2"/>
          <w:lang w:val="bg-BG"/>
          <w14:ligatures w14:val="standardContextual"/>
        </w:rPr>
        <w:t>Всички карти могат да се разгледат на </w:t>
      </w:r>
      <w:hyperlink r:id="rId16" w:history="1">
        <w:r w:rsidRPr="0018131A">
          <w:rPr>
            <w:rFonts w:ascii="Calibri" w:eastAsia="Calibri" w:hAnsi="Calibri" w:cs="Times New Roman"/>
            <w:i/>
            <w:iCs/>
            <w:color w:val="0563C1"/>
            <w:kern w:val="2"/>
            <w:u w:val="single"/>
            <w:lang w:val="bg-BG"/>
            <w14:ligatures w14:val="standardContextual"/>
          </w:rPr>
          <w:t>страницата</w:t>
        </w:r>
      </w:hyperlink>
      <w:r w:rsidRPr="0018131A">
        <w:rPr>
          <w:rFonts w:ascii="Calibri" w:eastAsia="Calibri" w:hAnsi="Calibri" w:cs="Times New Roman"/>
          <w:i/>
          <w:iCs/>
          <w:kern w:val="2"/>
          <w:lang w:val="bg-BG"/>
          <w14:ligatures w14:val="standardContextual"/>
        </w:rPr>
        <w:t> на инициативата. Голяма част от данните се публикуват за пръв път за свободно ползване. ИПИ изказва благодарност към всички партньори, които подкрепиха инициативата.</w:t>
      </w:r>
    </w:p>
    <w:p w:rsidR="0018131A" w:rsidRPr="0018131A" w:rsidRDefault="0018131A" w:rsidP="0018131A">
      <w:pPr>
        <w:jc w:val="both"/>
        <w:rPr>
          <w:rFonts w:ascii="Calibri" w:eastAsia="Calibri" w:hAnsi="Calibri" w:cs="Times New Roman"/>
          <w:kern w:val="2"/>
          <w:lang w:val="bg-BG"/>
          <w14:ligatures w14:val="standardContextual"/>
        </w:rPr>
      </w:pPr>
    </w:p>
    <w:p w:rsidR="0018131A" w:rsidRPr="0018131A" w:rsidRDefault="0018131A" w:rsidP="0018131A">
      <w:pPr>
        <w:jc w:val="both"/>
        <w:rPr>
          <w:rFonts w:ascii="Calibri" w:eastAsia="Calibri" w:hAnsi="Calibri" w:cs="Times New Roman"/>
          <w:kern w:val="2"/>
          <w:lang w:val="bg-BG"/>
          <w14:ligatures w14:val="standardContextual"/>
        </w:rPr>
      </w:pPr>
    </w:p>
    <w:p w:rsidR="0018131A" w:rsidRDefault="0018131A" w:rsidP="0018131A">
      <w:pPr>
        <w:jc w:val="both"/>
        <w:rPr>
          <w:rFonts w:ascii="Calibri" w:eastAsia="Calibri" w:hAnsi="Calibri" w:cs="Times New Roman"/>
          <w:color w:val="0563C1"/>
          <w:kern w:val="2"/>
          <w:u w:val="single"/>
          <w:lang w:val="bg-BG"/>
          <w14:ligatures w14:val="standardContextual"/>
        </w:rPr>
      </w:pPr>
      <w:r w:rsidRPr="0018131A">
        <w:rPr>
          <w:rFonts w:ascii="Calibri" w:eastAsia="Calibri" w:hAnsi="Calibri" w:cs="Times New Roman"/>
          <w:kern w:val="2"/>
          <w:lang w:val="bg-BG"/>
          <w14:ligatures w14:val="standardContextual"/>
        </w:rPr>
        <w:t xml:space="preserve">Институт за пазарна икономика </w:t>
      </w:r>
      <w:hyperlink r:id="rId17" w:history="1">
        <w:r w:rsidRPr="0018131A">
          <w:rPr>
            <w:rFonts w:ascii="Calibri" w:eastAsia="Calibri" w:hAnsi="Calibri" w:cs="Times New Roman"/>
            <w:color w:val="0563C1"/>
            <w:kern w:val="2"/>
            <w:u w:val="single"/>
            <w:lang w:val="bg-BG"/>
            <w14:ligatures w14:val="standardContextual"/>
          </w:rPr>
          <w:t>www.ime.bg</w:t>
        </w:r>
      </w:hyperlink>
      <w:r w:rsidRPr="0018131A">
        <w:rPr>
          <w:rFonts w:ascii="Calibri" w:eastAsia="Calibri" w:hAnsi="Calibri" w:cs="Times New Roman"/>
          <w:kern w:val="2"/>
          <w:lang w:val="bg-BG"/>
          <w14:ligatures w14:val="standardContextual"/>
        </w:rPr>
        <w:t xml:space="preserve"> / </w:t>
      </w:r>
      <w:hyperlink r:id="rId18" w:history="1">
        <w:r w:rsidRPr="0018131A">
          <w:rPr>
            <w:rFonts w:ascii="Calibri" w:eastAsia="Calibri" w:hAnsi="Calibri" w:cs="Times New Roman"/>
            <w:color w:val="0563C1"/>
            <w:kern w:val="2"/>
            <w:u w:val="single"/>
            <w:lang w:val="bg-BG"/>
            <w14:ligatures w14:val="standardContextual"/>
          </w:rPr>
          <w:t>www.regionalprofiles.bg</w:t>
        </w:r>
      </w:hyperlink>
      <w:r w:rsidRPr="0018131A">
        <w:rPr>
          <w:rFonts w:ascii="Calibri" w:eastAsia="Calibri" w:hAnsi="Calibri" w:cs="Times New Roman"/>
          <w:kern w:val="2"/>
          <w:lang w:val="bg-BG"/>
          <w14:ligatures w14:val="standardContextual"/>
        </w:rPr>
        <w:t> Инициатива на ИПИ „</w:t>
      </w:r>
      <w:r w:rsidRPr="0018131A">
        <w:rPr>
          <w:rFonts w:ascii="Calibri" w:eastAsia="Calibri" w:hAnsi="Calibri" w:cs="Times New Roman"/>
          <w:b/>
          <w:bCs/>
          <w:kern w:val="2"/>
          <w:lang w:val="bg-BG"/>
          <w14:ligatures w14:val="standardContextual"/>
        </w:rPr>
        <w:t>265 истории за икономика</w:t>
      </w:r>
      <w:r w:rsidRPr="0018131A">
        <w:rPr>
          <w:rFonts w:ascii="Calibri" w:eastAsia="Calibri" w:hAnsi="Calibri" w:cs="Times New Roman"/>
          <w:kern w:val="2"/>
          <w:lang w:val="bg-BG"/>
          <w14:ligatures w14:val="standardContextual"/>
        </w:rPr>
        <w:t xml:space="preserve">” </w:t>
      </w:r>
      <w:hyperlink r:id="rId19" w:history="1">
        <w:r w:rsidRPr="0018131A">
          <w:rPr>
            <w:rFonts w:ascii="Calibri" w:eastAsia="Calibri" w:hAnsi="Calibri" w:cs="Times New Roman"/>
            <w:color w:val="0563C1"/>
            <w:kern w:val="2"/>
            <w:u w:val="single"/>
            <w:lang w:val="bg-BG"/>
            <w14:ligatures w14:val="standardContextual"/>
          </w:rPr>
          <w:t>www.265obshtini.bg</w:t>
        </w:r>
      </w:hyperlink>
    </w:p>
    <w:p w:rsidR="0018131A" w:rsidRPr="0018131A" w:rsidRDefault="0018131A" w:rsidP="0018131A">
      <w:pPr>
        <w:jc w:val="both"/>
        <w:rPr>
          <w:rFonts w:ascii="Calibri" w:eastAsia="Calibri" w:hAnsi="Calibri" w:cs="Times New Roman"/>
          <w:kern w:val="2"/>
          <w:lang w:val="bg-BG"/>
          <w14:ligatures w14:val="standardContextual"/>
        </w:rPr>
      </w:pPr>
    </w:p>
    <w:p w:rsidR="0018131A" w:rsidRPr="0018131A" w:rsidRDefault="0018131A" w:rsidP="0018131A">
      <w:pPr>
        <w:spacing w:after="0"/>
        <w:jc w:val="both"/>
        <w:rPr>
          <w:rFonts w:ascii="Calibri" w:eastAsia="Calibri" w:hAnsi="Calibri" w:cs="Times New Roman"/>
          <w:i/>
          <w:kern w:val="2"/>
          <w:lang w:val="bg-BG"/>
          <w14:ligatures w14:val="standardContextual"/>
        </w:rPr>
      </w:pPr>
      <w:r w:rsidRPr="0018131A">
        <w:rPr>
          <w:rFonts w:ascii="Calibri" w:eastAsia="Calibri" w:hAnsi="Calibri" w:cs="Times New Roman"/>
          <w:i/>
          <w:kern w:val="2"/>
          <w:lang w:val="bg-BG"/>
          <w14:ligatures w14:val="standardContextual"/>
        </w:rPr>
        <w:t xml:space="preserve">За контакти: 02/952 62 66, 952 35 03 </w:t>
      </w:r>
    </w:p>
    <w:p w:rsidR="0018131A" w:rsidRPr="0018131A" w:rsidRDefault="0018131A" w:rsidP="0018131A">
      <w:pPr>
        <w:spacing w:after="0"/>
        <w:jc w:val="both"/>
        <w:rPr>
          <w:rFonts w:ascii="Calibri" w:eastAsia="Calibri" w:hAnsi="Calibri" w:cs="Times New Roman"/>
          <w:i/>
          <w:kern w:val="2"/>
          <w:lang w:val="bg-BG"/>
          <w14:ligatures w14:val="standardContextual"/>
        </w:rPr>
      </w:pPr>
      <w:r w:rsidRPr="0018131A">
        <w:rPr>
          <w:rFonts w:ascii="Calibri" w:eastAsia="Calibri" w:hAnsi="Calibri" w:cs="Times New Roman"/>
          <w:i/>
          <w:kern w:val="2"/>
          <w:lang w:val="bg-BG"/>
          <w14:ligatures w14:val="standardContextual"/>
        </w:rPr>
        <w:t xml:space="preserve">Весела Добринова, </w:t>
      </w:r>
      <w:hyperlink r:id="rId20" w:history="1">
        <w:r w:rsidRPr="0018131A">
          <w:rPr>
            <w:rFonts w:ascii="Calibri" w:eastAsia="Calibri" w:hAnsi="Calibri" w:cs="Times New Roman"/>
            <w:i/>
            <w:color w:val="0563C1"/>
            <w:kern w:val="2"/>
            <w:u w:val="single"/>
            <w:lang w:val="bg-BG"/>
            <w14:ligatures w14:val="standardContextual"/>
          </w:rPr>
          <w:t>vessela@ime.bg</w:t>
        </w:r>
      </w:hyperlink>
      <w:r w:rsidRPr="0018131A">
        <w:rPr>
          <w:rFonts w:ascii="Calibri" w:eastAsia="Calibri" w:hAnsi="Calibri" w:cs="Times New Roman"/>
          <w:i/>
          <w:kern w:val="2"/>
          <w:lang w:val="bg-BG"/>
          <w14:ligatures w14:val="standardContextual"/>
        </w:rPr>
        <w:t> </w:t>
      </w:r>
    </w:p>
    <w:p w:rsidR="0018131A" w:rsidRPr="0018131A" w:rsidRDefault="0018131A" w:rsidP="0018131A">
      <w:pPr>
        <w:spacing w:after="0"/>
        <w:rPr>
          <w:rFonts w:ascii="Calibri" w:eastAsia="Calibri" w:hAnsi="Calibri" w:cs="Times New Roman"/>
          <w:i/>
          <w:color w:val="0563C1"/>
          <w:kern w:val="2"/>
          <w:u w:val="single"/>
          <w:lang w:val="bg-BG"/>
          <w14:ligatures w14:val="standardContextual"/>
        </w:rPr>
      </w:pPr>
      <w:r w:rsidRPr="0018131A">
        <w:rPr>
          <w:rFonts w:ascii="Calibri" w:eastAsia="Calibri" w:hAnsi="Calibri" w:cs="Times New Roman"/>
          <w:i/>
          <w:kern w:val="2"/>
          <w:lang w:val="bg-BG"/>
          <w14:ligatures w14:val="standardContextual"/>
        </w:rPr>
        <w:t xml:space="preserve">Адриан Николов, </w:t>
      </w:r>
      <w:hyperlink r:id="rId21" w:history="1">
        <w:r w:rsidRPr="0018131A">
          <w:rPr>
            <w:rFonts w:ascii="Calibri" w:eastAsia="Calibri" w:hAnsi="Calibri" w:cs="Times New Roman"/>
            <w:i/>
            <w:color w:val="0563C1"/>
            <w:kern w:val="2"/>
            <w:u w:val="single"/>
            <w:lang w:val="bg-BG"/>
            <w14:ligatures w14:val="standardContextual"/>
          </w:rPr>
          <w:t>nikolov@ime.bg</w:t>
        </w:r>
      </w:hyperlink>
    </w:p>
    <w:p w:rsidR="0018131A" w:rsidRPr="0018131A" w:rsidRDefault="0018131A" w:rsidP="0018131A">
      <w:pPr>
        <w:spacing w:after="0"/>
        <w:rPr>
          <w:rFonts w:ascii="Calibri" w:eastAsia="Calibri" w:hAnsi="Calibri" w:cs="Times New Roman"/>
          <w:i/>
          <w:color w:val="0563C1"/>
          <w:kern w:val="2"/>
          <w:u w:val="single"/>
          <w:lang w:val="bg-BG"/>
          <w14:ligatures w14:val="standardContextual"/>
        </w:rPr>
      </w:pPr>
      <w:r w:rsidRPr="0018131A">
        <w:rPr>
          <w:rFonts w:ascii="Calibri" w:eastAsia="Calibri" w:hAnsi="Calibri" w:cs="Times New Roman"/>
          <w:i/>
          <w:kern w:val="2"/>
          <w:lang w:val="bg-BG"/>
          <w14:ligatures w14:val="standardContextual"/>
        </w:rPr>
        <w:t xml:space="preserve">Петър Ганев, </w:t>
      </w:r>
      <w:hyperlink r:id="rId22" w:history="1">
        <w:r w:rsidRPr="0018131A">
          <w:rPr>
            <w:rFonts w:ascii="Calibri" w:eastAsia="Calibri" w:hAnsi="Calibri" w:cs="Times New Roman"/>
            <w:i/>
            <w:color w:val="0563C1"/>
            <w:kern w:val="2"/>
            <w:u w:val="single"/>
            <w:lang w:val="bg-BG"/>
            <w14:ligatures w14:val="standardContextual"/>
          </w:rPr>
          <w:t>ganev@ime.bg</w:t>
        </w:r>
      </w:hyperlink>
    </w:p>
    <w:sectPr w:rsidR="0018131A" w:rsidRPr="0018131A">
      <w:headerReference w:type="default" r:id="rId23"/>
      <w:footerReference w:type="default" r:id="rId2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213" w:rsidRDefault="00962213" w:rsidP="005E099E">
      <w:pPr>
        <w:spacing w:after="0" w:line="240" w:lineRule="auto"/>
      </w:pPr>
      <w:r>
        <w:separator/>
      </w:r>
    </w:p>
  </w:endnote>
  <w:endnote w:type="continuationSeparator" w:id="0">
    <w:p w:rsidR="00962213" w:rsidRDefault="00962213" w:rsidP="005E0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D10" w:rsidRDefault="00547D10">
    <w:pPr>
      <w:pStyle w:val="Footer"/>
      <w:rPr>
        <w:noProof/>
      </w:rPr>
    </w:pPr>
  </w:p>
  <w:p w:rsidR="005E099E" w:rsidRPr="00547D10" w:rsidRDefault="00547D10">
    <w:pPr>
      <w:pStyle w:val="Footer"/>
      <w:rPr>
        <w:noProof/>
        <w:u w:val="single"/>
      </w:rPr>
    </w:pPr>
    <w:r w:rsidRPr="00547D10">
      <w:rPr>
        <w:noProof/>
        <w:u w:val="single"/>
      </w:rPr>
      <w:drawing>
        <wp:anchor distT="0" distB="0" distL="114300" distR="114300" simplePos="0" relativeHeight="251660288" behindDoc="0" locked="0" layoutInCell="1" allowOverlap="1" wp14:anchorId="640F2EC2" wp14:editId="3581AC5B">
          <wp:simplePos x="0" y="0"/>
          <wp:positionH relativeFrom="column">
            <wp:posOffset>3643294</wp:posOffset>
          </wp:positionH>
          <wp:positionV relativeFrom="paragraph">
            <wp:posOffset>165735</wp:posOffset>
          </wp:positionV>
          <wp:extent cx="1097280" cy="247904"/>
          <wp:effectExtent l="0" t="0" r="762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ntitled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8" t="18568" r="4683" b="20980"/>
                  <a:stretch/>
                </pic:blipFill>
                <pic:spPr bwMode="auto">
                  <a:xfrm>
                    <a:off x="0" y="0"/>
                    <a:ext cx="1097280" cy="2479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7D10">
      <w:rPr>
        <w:noProof/>
        <w:u w:val="single"/>
      </w:rPr>
      <w:drawing>
        <wp:anchor distT="0" distB="0" distL="114300" distR="114300" simplePos="0" relativeHeight="251658240" behindDoc="0" locked="0" layoutInCell="1" allowOverlap="1" wp14:anchorId="4ABDFDC5" wp14:editId="75BD38D1">
          <wp:simplePos x="0" y="0"/>
          <wp:positionH relativeFrom="page">
            <wp:align>right</wp:align>
          </wp:positionH>
          <wp:positionV relativeFrom="paragraph">
            <wp:posOffset>153035</wp:posOffset>
          </wp:positionV>
          <wp:extent cx="7816215" cy="8077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nk and Green Floral Spring Email Head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6215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E099E" w:rsidRDefault="00547D10">
    <w:pPr>
      <w:pStyle w:val="Footer"/>
      <w:rPr>
        <w:noProof/>
      </w:rPr>
    </w:pPr>
    <w:r w:rsidRPr="00547D10">
      <w:rPr>
        <w:noProof/>
        <w:u w:val="singl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F3FEAEA" wp14:editId="7223E31A">
              <wp:simplePos x="0" y="0"/>
              <wp:positionH relativeFrom="column">
                <wp:posOffset>1702435</wp:posOffset>
              </wp:positionH>
              <wp:positionV relativeFrom="paragraph">
                <wp:posOffset>22161</wp:posOffset>
              </wp:positionV>
              <wp:extent cx="1979295" cy="27940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9295" cy="279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47D10" w:rsidRDefault="00547D10">
                          <w:r>
                            <w:t>Institute for Market Economics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3FEAE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4.05pt;margin-top:1.75pt;width:155.85pt;height:2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" filled="f" stroked="f">
              <v:textbox>
                <w:txbxContent>
                  <w:p w:rsidR="00547D10" w:rsidRDefault="00547D10">
                    <w:r>
                      <w:t>Institute for Market Economics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5E099E" w:rsidRDefault="005E09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213" w:rsidRDefault="00962213" w:rsidP="005E099E">
      <w:pPr>
        <w:spacing w:after="0" w:line="240" w:lineRule="auto"/>
      </w:pPr>
      <w:r>
        <w:separator/>
      </w:r>
    </w:p>
  </w:footnote>
  <w:footnote w:type="continuationSeparator" w:id="0">
    <w:p w:rsidR="00962213" w:rsidRDefault="00962213" w:rsidP="005E099E">
      <w:pPr>
        <w:spacing w:after="0" w:line="240" w:lineRule="auto"/>
      </w:pPr>
      <w:r>
        <w:continuationSeparator/>
      </w:r>
    </w:p>
  </w:footnote>
  <w:footnote w:id="1">
    <w:p w:rsidR="0018131A" w:rsidRPr="00446F40" w:rsidRDefault="0018131A" w:rsidP="0018131A">
      <w:pPr>
        <w:pStyle w:val="FootnoteText1"/>
        <w:jc w:val="both"/>
        <w:rPr>
          <w:lang w:val="bg-BG"/>
        </w:rPr>
      </w:pPr>
      <w:r w:rsidRPr="00446F40">
        <w:rPr>
          <w:rStyle w:val="FootnoteReference"/>
          <w:lang w:val="bg-BG"/>
        </w:rPr>
        <w:footnoteRef/>
      </w:r>
      <w:r w:rsidRPr="00446F40">
        <w:rPr>
          <w:lang w:val="bg-BG"/>
        </w:rPr>
        <w:t xml:space="preserve"> Инициативата на ИПИ „265 истории за икономика” е възможна благодарение на изключителната подкрепа на водещи компании в страната. Екипът на ИПИ изказва признателност за подкрепата на Асарел-Медет, </w:t>
      </w:r>
      <w:proofErr w:type="spellStart"/>
      <w:r w:rsidRPr="00446F40">
        <w:rPr>
          <w:lang w:val="bg-BG"/>
        </w:rPr>
        <w:t>Дънди</w:t>
      </w:r>
      <w:proofErr w:type="spellEnd"/>
      <w:r w:rsidRPr="00446F40">
        <w:rPr>
          <w:lang w:val="bg-BG"/>
        </w:rPr>
        <w:t xml:space="preserve"> </w:t>
      </w:r>
      <w:proofErr w:type="spellStart"/>
      <w:r w:rsidRPr="00446F40">
        <w:rPr>
          <w:lang w:val="bg-BG"/>
        </w:rPr>
        <w:t>Прешъс</w:t>
      </w:r>
      <w:proofErr w:type="spellEnd"/>
      <w:r w:rsidRPr="00446F40">
        <w:rPr>
          <w:lang w:val="bg-BG"/>
        </w:rPr>
        <w:t xml:space="preserve"> </w:t>
      </w:r>
      <w:proofErr w:type="spellStart"/>
      <w:r>
        <w:rPr>
          <w:lang w:val="bg-BG"/>
        </w:rPr>
        <w:t>Металс</w:t>
      </w:r>
      <w:proofErr w:type="spellEnd"/>
      <w:r>
        <w:rPr>
          <w:lang w:val="bg-BG"/>
        </w:rPr>
        <w:t xml:space="preserve"> Челопеч, Лидл България, </w:t>
      </w:r>
      <w:r w:rsidRPr="00446F40">
        <w:rPr>
          <w:lang w:val="bg-BG"/>
        </w:rPr>
        <w:t>Кока-Кола ХБК България</w:t>
      </w:r>
      <w:r>
        <w:rPr>
          <w:lang w:val="bg-BG"/>
        </w:rPr>
        <w:t xml:space="preserve"> и АИБЕСТ.</w:t>
      </w:r>
    </w:p>
  </w:footnote>
  <w:footnote w:id="2">
    <w:p w:rsidR="0018131A" w:rsidRPr="00BE0FAA" w:rsidRDefault="0018131A" w:rsidP="0018131A">
      <w:pPr>
        <w:pStyle w:val="FootnoteText1"/>
        <w:jc w:val="both"/>
        <w:rPr>
          <w:lang w:val="bg-BG"/>
        </w:rPr>
      </w:pPr>
      <w:r>
        <w:rPr>
          <w:rStyle w:val="FootnoteReference"/>
        </w:rPr>
        <w:footnoteRef/>
      </w:r>
      <w:r w:rsidRPr="00BE0FAA">
        <w:rPr>
          <w:lang w:val="bg-BG"/>
        </w:rPr>
        <w:t xml:space="preserve"> </w:t>
      </w:r>
      <w:r w:rsidRPr="00014A7F">
        <w:rPr>
          <w:lang w:val="bg-BG"/>
        </w:rPr>
        <w:t>Данните за наетите и средната заплата в община Мирково са конфиденциални</w:t>
      </w:r>
      <w:r>
        <w:rPr>
          <w:lang w:val="bg-BG"/>
        </w:rPr>
        <w:t xml:space="preserve">, поради наличието на голямо </w:t>
      </w:r>
      <w:proofErr w:type="spellStart"/>
      <w:r>
        <w:rPr>
          <w:lang w:val="bg-BG"/>
        </w:rPr>
        <w:t>добивно</w:t>
      </w:r>
      <w:proofErr w:type="spellEnd"/>
      <w:r>
        <w:rPr>
          <w:lang w:val="bg-BG"/>
        </w:rPr>
        <w:t xml:space="preserve"> предприятие на територията на общината, чието значително присъствие на местния пазар на труда налага засекретяване. При отчитане на тези данни Мирково също би попаднало в топ 10. </w:t>
      </w:r>
    </w:p>
  </w:footnote>
  <w:footnote w:id="3">
    <w:p w:rsidR="0018131A" w:rsidRPr="00896B88" w:rsidRDefault="0018131A" w:rsidP="0018131A">
      <w:pPr>
        <w:pStyle w:val="FootnoteText1"/>
        <w:jc w:val="both"/>
        <w:rPr>
          <w:lang w:val="bg-BG"/>
        </w:rPr>
      </w:pPr>
      <w:r>
        <w:rPr>
          <w:rStyle w:val="FootnoteReference"/>
        </w:rPr>
        <w:footnoteRef/>
      </w:r>
      <w:r w:rsidRPr="00896B88">
        <w:rPr>
          <w:lang w:val="bg-BG"/>
        </w:rPr>
        <w:t xml:space="preserve"> </w:t>
      </w:r>
      <w:r>
        <w:rPr>
          <w:lang w:val="bg-BG"/>
        </w:rPr>
        <w:t>Поради правилата за статистическата тайна в Закона за статистиката, НСИ</w:t>
      </w:r>
      <w:r w:rsidRPr="008D47B4">
        <w:rPr>
          <w:lang w:val="bg-BG"/>
        </w:rPr>
        <w:t xml:space="preserve"> не предоставя данни, ако в дадена </w:t>
      </w:r>
      <w:r>
        <w:rPr>
          <w:lang w:val="bg-BG"/>
        </w:rPr>
        <w:t xml:space="preserve">община </w:t>
      </w:r>
      <w:r w:rsidRPr="008D47B4">
        <w:rPr>
          <w:lang w:val="bg-BG"/>
        </w:rPr>
        <w:t>една или две фирми</w:t>
      </w:r>
      <w:r>
        <w:rPr>
          <w:lang w:val="bg-BG"/>
        </w:rPr>
        <w:t xml:space="preserve"> допринасят за по-голямата част от стойността на даден индикатор. Причината е, че </w:t>
      </w:r>
      <w:r w:rsidRPr="008D47B4">
        <w:rPr>
          <w:lang w:val="bg-BG"/>
        </w:rPr>
        <w:t>публикуването на числата би разкрило твърде много индивидуална информация за тези предприятия.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0520" w:rsidRDefault="0018131A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7AFEDAA7" wp14:editId="1E1741F0">
          <wp:simplePos x="0" y="0"/>
          <wp:positionH relativeFrom="column">
            <wp:posOffset>2168525</wp:posOffset>
          </wp:positionH>
          <wp:positionV relativeFrom="paragraph">
            <wp:posOffset>-45720</wp:posOffset>
          </wp:positionV>
          <wp:extent cx="2685210" cy="563799"/>
          <wp:effectExtent l="0" t="0" r="1270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Untitl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210" cy="563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0520">
      <w:rPr>
        <w:noProof/>
      </w:rPr>
      <w:drawing>
        <wp:anchor distT="0" distB="0" distL="114300" distR="114300" simplePos="0" relativeHeight="251659264" behindDoc="0" locked="0" layoutInCell="1" allowOverlap="1" wp14:anchorId="7D496508" wp14:editId="03B5E3BD">
          <wp:simplePos x="0" y="0"/>
          <wp:positionH relativeFrom="margin">
            <wp:posOffset>4899660</wp:posOffset>
          </wp:positionH>
          <wp:positionV relativeFrom="paragraph">
            <wp:posOffset>4445</wp:posOffset>
          </wp:positionV>
          <wp:extent cx="1219200" cy="417830"/>
          <wp:effectExtent l="0" t="0" r="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IME_BG_black (3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17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E099E" w:rsidRDefault="005E099E">
    <w:pPr>
      <w:pStyle w:val="Header"/>
      <w:rPr>
        <w:noProof/>
      </w:rPr>
    </w:pPr>
  </w:p>
  <w:p w:rsidR="005E099E" w:rsidRDefault="005E0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254F0"/>
    <w:multiLevelType w:val="hybridMultilevel"/>
    <w:tmpl w:val="A1221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A1BB8"/>
    <w:multiLevelType w:val="multilevel"/>
    <w:tmpl w:val="0C162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635D9B"/>
    <w:multiLevelType w:val="hybridMultilevel"/>
    <w:tmpl w:val="88CEDEA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99E"/>
    <w:rsid w:val="000535E4"/>
    <w:rsid w:val="000E62DA"/>
    <w:rsid w:val="00173E28"/>
    <w:rsid w:val="0018131A"/>
    <w:rsid w:val="001C371A"/>
    <w:rsid w:val="00346DED"/>
    <w:rsid w:val="004A518A"/>
    <w:rsid w:val="004E6A39"/>
    <w:rsid w:val="00547D10"/>
    <w:rsid w:val="005B0751"/>
    <w:rsid w:val="005B6CED"/>
    <w:rsid w:val="005E099E"/>
    <w:rsid w:val="00636C28"/>
    <w:rsid w:val="006D6C2D"/>
    <w:rsid w:val="00703F03"/>
    <w:rsid w:val="00840529"/>
    <w:rsid w:val="0087202E"/>
    <w:rsid w:val="00890520"/>
    <w:rsid w:val="00922A26"/>
    <w:rsid w:val="00936244"/>
    <w:rsid w:val="00962213"/>
    <w:rsid w:val="00B75060"/>
    <w:rsid w:val="00B8322C"/>
    <w:rsid w:val="00D15B60"/>
    <w:rsid w:val="00D56DBD"/>
    <w:rsid w:val="00DA5461"/>
    <w:rsid w:val="00E22AFE"/>
    <w:rsid w:val="00E4782A"/>
    <w:rsid w:val="00E92B77"/>
    <w:rsid w:val="00EE311C"/>
    <w:rsid w:val="00F37921"/>
    <w:rsid w:val="00FB1165"/>
    <w:rsid w:val="00FF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65299D"/>
  <w15:chartTrackingRefBased/>
  <w15:docId w15:val="{39A821DD-16B0-48BA-A4C8-2279C0EE0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905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09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99E"/>
  </w:style>
  <w:style w:type="paragraph" w:styleId="Footer">
    <w:name w:val="footer"/>
    <w:basedOn w:val="Normal"/>
    <w:link w:val="FooterChar"/>
    <w:uiPriority w:val="99"/>
    <w:unhideWhenUsed/>
    <w:rsid w:val="005E09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99E"/>
  </w:style>
  <w:style w:type="character" w:customStyle="1" w:styleId="Heading1Char">
    <w:name w:val="Heading 1 Char"/>
    <w:basedOn w:val="DefaultParagraphFont"/>
    <w:link w:val="Heading1"/>
    <w:uiPriority w:val="9"/>
    <w:rsid w:val="0089052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890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ow-for-sr">
    <w:name w:val="show-for-sr"/>
    <w:basedOn w:val="DefaultParagraphFont"/>
    <w:rsid w:val="00890520"/>
  </w:style>
  <w:style w:type="character" w:styleId="Strong">
    <w:name w:val="Strong"/>
    <w:basedOn w:val="DefaultParagraphFont"/>
    <w:uiPriority w:val="22"/>
    <w:qFormat/>
    <w:rsid w:val="00890520"/>
    <w:rPr>
      <w:b/>
      <w:bCs/>
    </w:rPr>
  </w:style>
  <w:style w:type="character" w:styleId="Emphasis">
    <w:name w:val="Emphasis"/>
    <w:basedOn w:val="DefaultParagraphFont"/>
    <w:uiPriority w:val="20"/>
    <w:qFormat/>
    <w:rsid w:val="00890520"/>
    <w:rPr>
      <w:i/>
      <w:iCs/>
    </w:rPr>
  </w:style>
  <w:style w:type="character" w:styleId="Hyperlink">
    <w:name w:val="Hyperlink"/>
    <w:basedOn w:val="DefaultParagraphFont"/>
    <w:uiPriority w:val="99"/>
    <w:unhideWhenUsed/>
    <w:rsid w:val="0089052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5B6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36C28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346DED"/>
    <w:rPr>
      <w:vertAlign w:val="superscript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18131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18131A"/>
    <w:rPr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18131A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1"/>
    <w:uiPriority w:val="99"/>
    <w:semiHidden/>
    <w:unhideWhenUsed/>
    <w:rsid w:val="0018131A"/>
    <w:pPr>
      <w:spacing w:after="0" w:line="240" w:lineRule="auto"/>
    </w:pPr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18131A"/>
    <w:rPr>
      <w:sz w:val="20"/>
      <w:szCs w:val="20"/>
    </w:rPr>
  </w:style>
  <w:style w:type="table" w:styleId="TableGrid">
    <w:name w:val="Table Grid"/>
    <w:basedOn w:val="TableNormal"/>
    <w:uiPriority w:val="39"/>
    <w:rsid w:val="00181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3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3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9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8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265obshtini.bg/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www.regionalprofiles.bg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nikolov@ime.bg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yperlink" Target="http://www.ime.bg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265obshtini.bg/" TargetMode="External"/><Relationship Id="rId20" Type="http://schemas.openxmlformats.org/officeDocument/2006/relationships/hyperlink" Target="mailto:vessela@ime.b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ime.bg/articles/investitsiite-v-obshtinite-trygvat-nagore-prez-2023-g/" TargetMode="External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://www.265obshtini.b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265obshtini.bg/map/538" TargetMode="External"/><Relationship Id="rId14" Type="http://schemas.openxmlformats.org/officeDocument/2006/relationships/hyperlink" Target="https://ime.bg/articles/ikonomikite-na-zemedelskite-obshtini-davat-na-zaden-hod-prez-2023-g/" TargetMode="External"/><Relationship Id="rId22" Type="http://schemas.openxmlformats.org/officeDocument/2006/relationships/hyperlink" Target="mailto:ganev@ime.b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TEO\Desktop\265-press-release-tables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TEO\Desktop\265-press-release-table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bg-BG" sz="1200"/>
              <a:t>Годишни</a:t>
            </a:r>
            <a:r>
              <a:rPr lang="bg-BG" sz="1200" baseline="0"/>
              <a:t> р</a:t>
            </a:r>
            <a:r>
              <a:rPr lang="bg-BG" sz="1200"/>
              <a:t>ъстове и спадове на ключови индиатори на общинско ниво, 2023 г.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Случаи на ръст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Sheet1!$A$3:$A$6</c:f>
              <c:strCache>
                <c:ptCount val="4"/>
                <c:pt idx="0">
                  <c:v>Приходи от износ</c:v>
                </c:pt>
                <c:pt idx="1">
                  <c:v>Приходи от продажби</c:v>
                </c:pt>
                <c:pt idx="2">
                  <c:v>Произведена продукция</c:v>
                </c:pt>
                <c:pt idx="3">
                  <c:v>Добавена стойност</c:v>
                </c:pt>
              </c:strCache>
            </c:strRef>
          </c:cat>
          <c:val>
            <c:numRef>
              <c:f>Sheet1!$B$3:$B$6</c:f>
              <c:numCache>
                <c:formatCode>General</c:formatCode>
                <c:ptCount val="4"/>
                <c:pt idx="0">
                  <c:v>82</c:v>
                </c:pt>
                <c:pt idx="1">
                  <c:v>144</c:v>
                </c:pt>
                <c:pt idx="2">
                  <c:v>108</c:v>
                </c:pt>
                <c:pt idx="3">
                  <c:v>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9E-43E6-9785-8A1F26B18AB5}"/>
            </c:ext>
          </c:extLst>
        </c:ser>
        <c:ser>
          <c:idx val="1"/>
          <c:order val="1"/>
          <c:tx>
            <c:strRef>
              <c:f>Sheet1!$C$2</c:f>
              <c:strCache>
                <c:ptCount val="1"/>
                <c:pt idx="0">
                  <c:v>Случаи на спад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numFmt formatCode="#,##0;[Black]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Sheet1!$A$3:$A$6</c:f>
              <c:strCache>
                <c:ptCount val="4"/>
                <c:pt idx="0">
                  <c:v>Приходи от износ</c:v>
                </c:pt>
                <c:pt idx="1">
                  <c:v>Приходи от продажби</c:v>
                </c:pt>
                <c:pt idx="2">
                  <c:v>Произведена продукция</c:v>
                </c:pt>
                <c:pt idx="3">
                  <c:v>Добавена стойност</c:v>
                </c:pt>
              </c:strCache>
            </c:strRef>
          </c:cat>
          <c:val>
            <c:numRef>
              <c:f>Sheet1!$C$3:$C$6</c:f>
              <c:numCache>
                <c:formatCode>General</c:formatCode>
                <c:ptCount val="4"/>
                <c:pt idx="0">
                  <c:v>-105</c:v>
                </c:pt>
                <c:pt idx="1">
                  <c:v>-106</c:v>
                </c:pt>
                <c:pt idx="2">
                  <c:v>-140</c:v>
                </c:pt>
                <c:pt idx="3">
                  <c:v>-105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9E-43E6-9785-8A1F26B18AB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0"/>
        <c:overlap val="100"/>
        <c:axId val="266764448"/>
        <c:axId val="266765408"/>
      </c:barChart>
      <c:catAx>
        <c:axId val="2667644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6765408"/>
        <c:crosses val="autoZero"/>
        <c:auto val="1"/>
        <c:lblAlgn val="ctr"/>
        <c:lblOffset val="100"/>
        <c:noMultiLvlLbl val="0"/>
      </c:catAx>
      <c:valAx>
        <c:axId val="266765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;[Black]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6764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bg-BG" sz="1200" b="0" i="0" u="none" strike="noStrike" kern="1200" spc="0" baseline="0">
                <a:solidFill>
                  <a:sysClr val="windowText" lastClr="000000"/>
                </a:solidFill>
              </a:rPr>
              <a:t>Годишни ръстове и спадове на ключови индиатори на общинско ниво, 2022 г.</a:t>
            </a:r>
          </a:p>
        </c:rich>
      </c:tx>
      <c:layout>
        <c:manualLayout>
          <c:xMode val="edge"/>
          <c:yMode val="edge"/>
          <c:x val="0.11264338485467093"/>
          <c:y val="2.57201646090534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33053264010306166"/>
          <c:y val="0.19572316191957487"/>
          <c:w val="0.64054983094498164"/>
          <c:h val="0.5870856420725186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Sheet1!$H$2</c:f>
              <c:strCache>
                <c:ptCount val="1"/>
                <c:pt idx="0">
                  <c:v>Случаи на ръст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Sheet1!$G$3:$G$6</c:f>
              <c:strCache>
                <c:ptCount val="4"/>
                <c:pt idx="0">
                  <c:v>Приходи от износ</c:v>
                </c:pt>
                <c:pt idx="1">
                  <c:v>Приходи от продажби</c:v>
                </c:pt>
                <c:pt idx="2">
                  <c:v>Произведена продукция</c:v>
                </c:pt>
                <c:pt idx="3">
                  <c:v>Добавена стойност</c:v>
                </c:pt>
              </c:strCache>
            </c:strRef>
          </c:cat>
          <c:val>
            <c:numRef>
              <c:f>Sheet1!$H$3:$H$6</c:f>
              <c:numCache>
                <c:formatCode>General</c:formatCode>
                <c:ptCount val="4"/>
                <c:pt idx="0">
                  <c:v>156</c:v>
                </c:pt>
                <c:pt idx="1">
                  <c:v>244</c:v>
                </c:pt>
                <c:pt idx="2">
                  <c:v>248</c:v>
                </c:pt>
                <c:pt idx="3">
                  <c:v>234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B4-4802-AC88-E6016B999D5D}"/>
            </c:ext>
          </c:extLst>
        </c:ser>
        <c:ser>
          <c:idx val="1"/>
          <c:order val="1"/>
          <c:tx>
            <c:strRef>
              <c:f>Sheet1!$I$2</c:f>
              <c:strCache>
                <c:ptCount val="1"/>
                <c:pt idx="0">
                  <c:v>Случаи на спад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numFmt formatCode="#,##0;[Black]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Sheet1!$G$3:$G$6</c:f>
              <c:strCache>
                <c:ptCount val="4"/>
                <c:pt idx="0">
                  <c:v>Приходи от износ</c:v>
                </c:pt>
                <c:pt idx="1">
                  <c:v>Приходи от продажби</c:v>
                </c:pt>
                <c:pt idx="2">
                  <c:v>Произведена продукция</c:v>
                </c:pt>
                <c:pt idx="3">
                  <c:v>Добавена стойност</c:v>
                </c:pt>
              </c:strCache>
            </c:strRef>
          </c:cat>
          <c:val>
            <c:numRef>
              <c:f>Sheet1!$I$3:$I$6</c:f>
              <c:numCache>
                <c:formatCode>General</c:formatCode>
                <c:ptCount val="4"/>
                <c:pt idx="0">
                  <c:v>-38</c:v>
                </c:pt>
                <c:pt idx="1">
                  <c:v>-6</c:v>
                </c:pt>
                <c:pt idx="2">
                  <c:v>-1</c:v>
                </c:pt>
                <c:pt idx="3">
                  <c:v>-18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B4-4802-AC88-E6016B999D5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0"/>
        <c:overlap val="100"/>
        <c:axId val="273492352"/>
        <c:axId val="273497632"/>
      </c:barChart>
      <c:catAx>
        <c:axId val="2734923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3497632"/>
        <c:crosses val="autoZero"/>
        <c:auto val="1"/>
        <c:lblAlgn val="ctr"/>
        <c:lblOffset val="100"/>
        <c:noMultiLvlLbl val="0"/>
      </c:catAx>
      <c:valAx>
        <c:axId val="273497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;[Black]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3492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О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О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О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О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5E11B-F347-4B2D-ADDB-EEEC69A61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877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Rankovska</dc:creator>
  <cp:keywords/>
  <dc:description/>
  <cp:lastModifiedBy>Iva Rankovska</cp:lastModifiedBy>
  <cp:revision>25</cp:revision>
  <dcterms:created xsi:type="dcterms:W3CDTF">2024-06-07T10:17:00Z</dcterms:created>
  <dcterms:modified xsi:type="dcterms:W3CDTF">2025-03-04T09:29:00Z</dcterms:modified>
</cp:coreProperties>
</file>