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C6E0" w14:textId="77777777" w:rsidR="00F374AD" w:rsidRDefault="00F374AD" w:rsidP="00F374AD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</w:p>
    <w:p w14:paraId="7510819E" w14:textId="77777777" w:rsidR="00F374AD" w:rsidRPr="004D682B" w:rsidRDefault="00F374AD" w:rsidP="00A63D23">
      <w:pPr>
        <w:keepNext/>
        <w:spacing w:before="24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15498C8D" w14:textId="2D1927D7" w:rsidR="00F374AD" w:rsidRPr="000416E0" w:rsidRDefault="00F374AD" w:rsidP="00F374AD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161B47">
        <w:rPr>
          <w:rFonts w:ascii="Verdana" w:eastAsia="Times New Roman" w:hAnsi="Verdana" w:cs="Times New Roman"/>
          <w:b/>
          <w:sz w:val="20"/>
          <w:szCs w:val="20"/>
        </w:rPr>
        <w:t>ФЕВРУАРИ</w:t>
      </w:r>
      <w:r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904BCC">
        <w:rPr>
          <w:rFonts w:ascii="Verdana" w:eastAsia="Times New Roman" w:hAnsi="Verdana" w:cs="Times New Roman"/>
          <w:b/>
          <w:sz w:val="20"/>
          <w:szCs w:val="20"/>
        </w:rPr>
        <w:t>2025</w:t>
      </w:r>
      <w:r w:rsidRPr="000416E0">
        <w:rPr>
          <w:rFonts w:ascii="Verdana" w:eastAsia="Times New Roman" w:hAnsi="Verdana" w:cs="Times New Roman"/>
          <w:b/>
          <w:sz w:val="20"/>
          <w:szCs w:val="20"/>
        </w:rPr>
        <w:t xml:space="preserve"> ГОДИНА</w:t>
      </w:r>
    </w:p>
    <w:p w14:paraId="3CC2A5F2" w14:textId="715ABAC1" w:rsidR="00296A2C" w:rsidRDefault="00296A2C" w:rsidP="00296A2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февруари 2025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C33A7B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повишава с 2.3 пункта спрямо предходния месец (от 18.6% на 20.9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%)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(виж фиг. 1</w:t>
      </w:r>
      <w:r w:rsidRPr="00D62A2A">
        <w:rPr>
          <w:rFonts w:ascii="Verdana" w:eastAsia="Μοντέρνα" w:hAnsi="Verdana" w:cs="Times New Roman"/>
          <w:sz w:val="20"/>
          <w:szCs w:val="20"/>
          <w:lang w:eastAsia="bg-BG"/>
        </w:rPr>
        <w:t>). Подобрение на показателя се наблюдава в промишлеността, строителството и в търговията на дребно, докато в сектора на услугите е регистрирано понижение.</w:t>
      </w:r>
    </w:p>
    <w:p w14:paraId="6586850B" w14:textId="026EF90A" w:rsidR="00161B47" w:rsidRPr="004C369B" w:rsidRDefault="00161B47" w:rsidP="008A2CED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Бизнес климат </w:t>
      </w:r>
      <w:r w:rsidR="00296A2C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957437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общо</w:t>
      </w:r>
    </w:p>
    <w:p w14:paraId="0AF2B390" w14:textId="43191864" w:rsidR="00161B47" w:rsidRDefault="00A47220" w:rsidP="00296A2C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55BCB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14.75pt;height:258pt" o:preferrelative="f">
            <v:imagedata r:id="rId7" o:title=""/>
            <o:lock v:ext="edit" aspectratio="f"/>
          </v:shape>
        </w:pict>
      </w:r>
    </w:p>
    <w:p w14:paraId="75F5B2D0" w14:textId="3DFEE652" w:rsidR="001B724A" w:rsidRDefault="00F374AD" w:rsidP="004C369B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="00F9689B" w:rsidRPr="00F9689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96A2C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Съставният показател „бизнес климат в </w:t>
      </w:r>
      <w:r w:rsidR="00296A2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нараства с 1.0 пункт (от 17.4% на 18.4%) </w:t>
      </w:r>
      <w:r w:rsidR="00296A2C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</w:t>
      </w:r>
      <w:r w:rsidR="0083680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296A2C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в резултат на позитивните оценки на промишлените предприемачи за настоящото бизнес състояние на предприятията. </w:t>
      </w:r>
      <w:r w:rsidR="00296A2C" w:rsidRPr="006112C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тяхно мнение настоящата производствена активност се подобрява (виж фиг. </w:t>
      </w:r>
      <w:r w:rsidR="0083680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296A2C" w:rsidRPr="006112C0">
        <w:rPr>
          <w:rFonts w:ascii="Verdana" w:eastAsia="Μοντέρνα" w:hAnsi="Verdana" w:cs="Times New Roman"/>
          <w:sz w:val="20"/>
          <w:szCs w:val="20"/>
          <w:lang w:eastAsia="bg-BG"/>
        </w:rPr>
        <w:t>), докато прогнозите им за следващите три месеца са по-негативни.</w:t>
      </w:r>
    </w:p>
    <w:p w14:paraId="00ADF890" w14:textId="77777777" w:rsidR="00296A2C" w:rsidRDefault="00296A2C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7C88B402" w14:textId="2B9462ED" w:rsidR="00836804" w:rsidRDefault="00836804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3680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2. Бизнес климат в промишлеността</w:t>
      </w:r>
      <w:r w:rsidR="00A47220"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CC8BA00">
          <v:shape id="_x0000_i1074" type="#_x0000_t75" style="width:414.75pt;height:258pt" o:preferrelative="f">
            <v:imagedata r:id="rId8" o:title=""/>
            <o:lock v:ext="edit" aspectratio="f"/>
          </v:shape>
        </w:pict>
      </w:r>
    </w:p>
    <w:p w14:paraId="735D7B67" w14:textId="4A7386C5" w:rsidR="00836804" w:rsidRDefault="00836804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836804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Настояща производствена активност в промишлеността</w:t>
      </w:r>
    </w:p>
    <w:p w14:paraId="580BC0B7" w14:textId="52B9D2A9" w:rsidR="00836804" w:rsidRDefault="00A47220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6CAF230">
          <v:shape id="_x0000_i1073" type="#_x0000_t75" style="width:414.75pt;height:258pt" o:preferrelative="f">
            <v:imagedata r:id="rId9" o:title=""/>
            <o:lock v:ext="edit" aspectratio="f"/>
          </v:shape>
        </w:pict>
      </w:r>
    </w:p>
    <w:p w14:paraId="6DD9CFC5" w14:textId="5ACB72ED" w:rsidR="00F374AD" w:rsidRDefault="00296A2C" w:rsidP="004C36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Най-сериозните затруднения за развитието на бизнеса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продължават да са 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>свързани с несигурната икономическа среда и недостиг</w:t>
      </w:r>
      <w:r w:rsidR="00951FF3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 w:rsidRPr="0070764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като през последния месец се наблюдава намаление на негативното влияние на първия фактор 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</w:t>
      </w:r>
      <w:r w:rsidR="0083680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8C73B80" w14:textId="77777777" w:rsidR="00836804" w:rsidRDefault="00836804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56DBDFB" w14:textId="1272975F" w:rsidR="00161B47" w:rsidRPr="004D682B" w:rsidRDefault="00161B47" w:rsidP="00161B47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836804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промишлеността</w:t>
      </w:r>
    </w:p>
    <w:p w14:paraId="5E1DF5FD" w14:textId="1BFC3B0D" w:rsidR="00161B47" w:rsidRPr="004C369B" w:rsidRDefault="00161B47" w:rsidP="00161B47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  <w:r w:rsidR="004C369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</w:p>
    <w:p w14:paraId="5CD422B4" w14:textId="19AB1318" w:rsidR="00161B47" w:rsidRDefault="00A47220" w:rsidP="00F968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7BF8FA66">
          <v:shape id="_x0000_i1072" type="#_x0000_t75" style="width:414pt;height:258pt;mso-position-horizontal:absolute">
            <v:imagedata r:id="rId10" o:title=""/>
            <o:lock v:ext="edit" aspectratio="f"/>
          </v:shape>
        </w:pict>
      </w:r>
    </w:p>
    <w:p w14:paraId="413B93A7" w14:textId="576BDCE5" w:rsidR="00836804" w:rsidRPr="00C33A7B" w:rsidRDefault="00836804" w:rsidP="00671AF6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 отношение на продажните цени в промишлеността очакванията на преобладаващата част от мениджърите са те да запазят своето равнище през следващите три месеца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(виж фиг. 5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22DDB18" w14:textId="03B5269C" w:rsidR="00836804" w:rsidRPr="004C369B" w:rsidRDefault="00836804" w:rsidP="00836804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836804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продажните цени в промишлеността през следващите три месеца</w:t>
      </w:r>
    </w:p>
    <w:p w14:paraId="443B018F" w14:textId="72FB1E96" w:rsidR="00836804" w:rsidRPr="000F6C23" w:rsidRDefault="00A47220" w:rsidP="00836804">
      <w:pPr>
        <w:spacing w:before="160" w:after="160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6ECE14A6">
          <v:shape id="_x0000_i1071" type="#_x0000_t75" style="width:414.75pt;height:258pt" o:preferrelative="f">
            <v:imagedata r:id="rId11" o:title=""/>
            <o:lock v:ext="edit" aspectratio="f"/>
          </v:shape>
        </w:pict>
      </w:r>
    </w:p>
    <w:p w14:paraId="43ECE075" w14:textId="013A44E2" w:rsidR="00F374AD" w:rsidRPr="00E97D8F" w:rsidRDefault="00F374AD" w:rsidP="00F374A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33A7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Строителство.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9689B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февруари съставният показател „бизнес климат в строителството“ се покачва с 3.7 пункта (от 19.6% на 23.3%) </w:t>
      </w:r>
      <w:r w:rsidR="00F9689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</w:t>
      </w:r>
      <w:r w:rsidR="00671AF6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F9689B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), което се дължи на подобрените оценки и очаквания на строителните предприемачи за бизнес състоянието на предприятията. Анкетата регистрира увеличение на </w:t>
      </w:r>
      <w:bookmarkStart w:id="1" w:name="_Hlk130396192"/>
      <w:r w:rsidR="00F9689B" w:rsidRPr="00D62A2A">
        <w:rPr>
          <w:rFonts w:ascii="Verdana" w:eastAsia="Μοντέρνα" w:hAnsi="Verdana" w:cs="Times New Roman"/>
          <w:sz w:val="20"/>
          <w:szCs w:val="20"/>
          <w:lang w:eastAsia="bg-BG"/>
        </w:rPr>
        <w:t>получените нови поръчки през последния месец</w:t>
      </w:r>
      <w:bookmarkEnd w:id="1"/>
      <w:r w:rsidR="00F9689B" w:rsidRPr="00D62A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като и прогнозите за дейността през следващите три месеца остават оптимистични </w:t>
      </w:r>
      <w:r w:rsidR="00F9689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</w:t>
      </w:r>
      <w:r w:rsidR="00671AF6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14:paraId="6B461456" w14:textId="65865BBB" w:rsidR="00671AF6" w:rsidRDefault="00161B47" w:rsidP="004C369B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671AF6">
        <w:rPr>
          <w:rFonts w:ascii="Verdana" w:eastAsia="Μοντέρνα" w:hAnsi="Verdana" w:cs="Times New Roman"/>
          <w:b/>
          <w:sz w:val="20"/>
          <w:szCs w:val="20"/>
          <w:lang w:eastAsia="bg-BG"/>
        </w:rPr>
        <w:t>6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</w:t>
      </w:r>
      <w:r w:rsidRPr="00161B4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671AF6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Бизнес климат в строителството</w:t>
      </w:r>
    </w:p>
    <w:p w14:paraId="6E7A1356" w14:textId="0F7483E8" w:rsidR="00671AF6" w:rsidRDefault="00A47220" w:rsidP="004C369B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D8842B9">
          <v:shape id="_x0000_i1070" type="#_x0000_t75" style="width:414.75pt;height:258pt" o:preferrelative="f">
            <v:imagedata r:id="rId12" o:title=""/>
            <o:lock v:ext="edit" aspectratio="f"/>
          </v:shape>
        </w:pict>
      </w:r>
    </w:p>
    <w:p w14:paraId="59D0FDAC" w14:textId="6187D949" w:rsidR="004C369B" w:rsidRDefault="00671AF6" w:rsidP="00CB2E0A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CB2E0A">
        <w:rPr>
          <w:rFonts w:ascii="Verdana" w:eastAsia="Μοντέρνα" w:hAnsi="Verdana" w:cs="Times New Roman"/>
          <w:b/>
          <w:sz w:val="20"/>
          <w:szCs w:val="20"/>
          <w:lang w:eastAsia="bg-BG"/>
        </w:rPr>
        <w:t>7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</w:t>
      </w:r>
      <w:r w:rsidRPr="00161B4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CB2E0A" w:rsidRPr="00CB2E0A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415166C0" w14:textId="585F6CEA" w:rsidR="00791B91" w:rsidRDefault="00A47220" w:rsidP="004C369B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7EBA9E7F">
          <v:shape id="_x0000_i1069" type="#_x0000_t75" style="width:410.25pt;height:238.5pt" o:preferrelative="f">
            <v:imagedata r:id="rId13" o:title=""/>
            <o:lock v:ext="edit" aspectratio="f"/>
          </v:shape>
        </w:pict>
      </w:r>
    </w:p>
    <w:p w14:paraId="716BC1F7" w14:textId="14F94658" w:rsidR="00F374AD" w:rsidRDefault="00F9689B" w:rsidP="004C36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Несигурната икономическа среда, недостигът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цените на материалите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конкуренцията в бранша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остават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основните пречки за дейността на предприятията, като през последния месец се наблюдава нарастване на </w:t>
      </w:r>
      <w:r w:rsidR="008A2CED">
        <w:rPr>
          <w:rFonts w:ascii="Verdana" w:eastAsia="Times New Roman" w:hAnsi="Verdana" w:cs="Times New Roman"/>
          <w:sz w:val="20"/>
          <w:szCs w:val="20"/>
          <w:lang w:eastAsia="bg-BG"/>
        </w:rPr>
        <w:t>отрицателното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им </w:t>
      </w:r>
      <w:r w:rsidR="008A2CED">
        <w:rPr>
          <w:rFonts w:ascii="Verdana" w:eastAsia="Times New Roman" w:hAnsi="Verdana" w:cs="Times New Roman"/>
          <w:sz w:val="20"/>
          <w:szCs w:val="20"/>
          <w:lang w:eastAsia="bg-BG"/>
        </w:rPr>
        <w:t>въздействие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</w:t>
      </w:r>
      <w:r w:rsidR="00CB2E0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4CA81485" w14:textId="2A4ADDC4" w:rsidR="004E681D" w:rsidRDefault="00161B47" w:rsidP="004E681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CB2E0A">
        <w:rPr>
          <w:rFonts w:ascii="Verdana" w:eastAsia="Μοντέρνα" w:hAnsi="Verdana" w:cs="Times New Roman"/>
          <w:b/>
          <w:sz w:val="20"/>
          <w:szCs w:val="20"/>
          <w:lang w:eastAsia="bg-BG"/>
        </w:rPr>
        <w:t>8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</w:t>
      </w:r>
      <w:r w:rsidRPr="00161B4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Фактори, затрудняващи дейността в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0EC2E789" w14:textId="49C60484" w:rsidR="004C369B" w:rsidRDefault="00161B47" w:rsidP="004E681D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="004C369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</w:t>
      </w:r>
      <w:r w:rsidR="004C369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предприятията)</w:t>
      </w:r>
      <w:r w:rsidR="004C369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</w:p>
    <w:p w14:paraId="2DF55258" w14:textId="1D746C28" w:rsidR="00671AF6" w:rsidRDefault="00A47220" w:rsidP="00D22B02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115C4FF7">
          <v:shape id="_x0000_i1068" type="#_x0000_t75" style="width:414.75pt;height:258pt;mso-position-horizontal:absolute" o:preferrelative="f">
            <v:imagedata r:id="rId14" o:title=""/>
            <o:lock v:ext="edit" aspectratio="f"/>
          </v:shape>
        </w:pict>
      </w:r>
      <w:r w:rsidR="00671AF6" w:rsidRPr="00671AF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71AF6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Относно продажните цени в строителството, мениджърите продължават да очакват те да се повишат през следващите три</w:t>
      </w:r>
      <w:r w:rsidR="00671AF6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671AF6">
        <w:rPr>
          <w:rFonts w:ascii="Verdana" w:eastAsia="Times New Roman" w:hAnsi="Verdana" w:cs="Times New Roman"/>
          <w:sz w:val="20"/>
          <w:szCs w:val="20"/>
          <w:lang w:eastAsia="bg-BG"/>
        </w:rPr>
        <w:t>месеца</w:t>
      </w:r>
      <w:r w:rsidR="00671AF6"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</w:t>
      </w:r>
      <w:r w:rsidR="00D22B0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671AF6" w:rsidRPr="00C33A7B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26C336A1" w14:textId="77777777" w:rsidR="00D22B02" w:rsidRDefault="00D22B02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C93628" w14:textId="3908F867" w:rsidR="00D22B02" w:rsidRPr="004D682B" w:rsidRDefault="00957437" w:rsidP="00D22B0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lastRenderedPageBreak/>
        <w:t> </w:t>
      </w:r>
      <w:r w:rsidR="00D22B0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9. Очаквания за продажните цени в строителството</w:t>
      </w:r>
      <w:r w:rsidR="00D22B02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D22B0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60968B11" w14:textId="528F3C8D" w:rsidR="00161B47" w:rsidRPr="00C33A7B" w:rsidRDefault="00A47220" w:rsidP="004C369B">
      <w:pPr>
        <w:autoSpaceDE w:val="0"/>
        <w:autoSpaceDN w:val="0"/>
        <w:adjustRightInd w:val="0"/>
        <w:spacing w:after="12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442174EB">
          <v:shape id="_x0000_i1067" type="#_x0000_t75" style="width:414.75pt;height:258pt" o:preferrelative="f">
            <v:imagedata r:id="rId15" o:title=""/>
            <o:lock v:ext="edit" aspectratio="f"/>
          </v:shape>
        </w:pict>
      </w:r>
    </w:p>
    <w:p w14:paraId="18A19598" w14:textId="60AE0F1A" w:rsidR="00FD4B3C" w:rsidRPr="00A5538A" w:rsidRDefault="00F374AD" w:rsidP="004C369B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Съставният показател „бизнес климат в търговията на дребно“ нараства със 7.8 пункта (от 27.6% на 35.4%) (виж фиг. </w:t>
      </w:r>
      <w:r w:rsidR="00F9689B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D22B0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) главно поради оптимистичните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очаквания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търговците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дребно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="00F9689B" w:rsidRPr="00D62A2A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бизнес</w:t>
      </w:r>
      <w:r w:rsidR="00F9689B" w:rsidRPr="00D62A2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F9689B" w:rsidRPr="00D62A2A">
        <w:rPr>
          <w:rFonts w:ascii="Verdana" w:eastAsia="Times New Roman" w:hAnsi="Verdana" w:cs="Times New Roman"/>
          <w:sz w:val="20"/>
          <w:szCs w:val="20"/>
          <w:lang w:eastAsia="bg-BG"/>
        </w:rPr>
        <w:t>състоянието на предприятията през следващите шест месеца. Оценките им за обема на продажбите през последните три месеца са резервирани, докато прогнозите им за следващите три месеца продължават да се подобрява</w:t>
      </w:r>
      <w:r w:rsidR="00736597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F9689B"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76CCA"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</w:t>
      </w:r>
      <w:r w:rsidR="00D22B02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C76CCA" w:rsidRPr="00FD4B3C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5A8F112C" w14:textId="77777777" w:rsidR="00D22B02" w:rsidRDefault="00D22B02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0B42089" w14:textId="2C7D360B" w:rsidR="004C369B" w:rsidRDefault="00161B47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D22B02">
        <w:rPr>
          <w:rFonts w:ascii="Verdana" w:eastAsia="Μοντέρνα" w:hAnsi="Verdana" w:cs="Times New Roman"/>
          <w:b/>
          <w:sz w:val="20"/>
          <w:szCs w:val="20"/>
          <w:lang w:eastAsia="bg-BG"/>
        </w:rPr>
        <w:t>10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="00D22B0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Бизнес климат в търговията на дребно</w:t>
      </w:r>
    </w:p>
    <w:p w14:paraId="71750887" w14:textId="780971C5" w:rsidR="00D22B02" w:rsidRDefault="00A47220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932AC52">
          <v:shape id="_x0000_i1066" type="#_x0000_t75" style="width:414.75pt;height:258pt" o:preferrelative="f">
            <v:imagedata r:id="rId16" o:title=""/>
            <o:lock v:ext="edit" aspectratio="f"/>
          </v:shape>
        </w:pict>
      </w:r>
    </w:p>
    <w:p w14:paraId="4691EDC8" w14:textId="024945E2" w:rsidR="00161B47" w:rsidRDefault="00D22B02" w:rsidP="00D22B02">
      <w:pPr>
        <w:spacing w:before="160"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11. </w:t>
      </w:r>
      <w:r w:rsidRPr="00D22B0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продажбите в търговията на дребно през следващите три месеца</w:t>
      </w:r>
    </w:p>
    <w:p w14:paraId="79E400EB" w14:textId="025B5C95" w:rsidR="00D22B02" w:rsidRPr="00D22B02" w:rsidRDefault="00A47220" w:rsidP="004C369B">
      <w:pPr>
        <w:spacing w:before="160" w:after="120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 w14:anchorId="406874F3">
          <v:shape id="_x0000_i1065" type="#_x0000_t75" style="width:414.75pt;height:258pt" o:preferrelative="f">
            <v:imagedata r:id="rId17" o:title=""/>
            <o:lock v:ext="edit" aspectratio="f"/>
          </v:shape>
        </w:pict>
      </w:r>
    </w:p>
    <w:p w14:paraId="09F49927" w14:textId="7930ADC7" w:rsidR="00FD4B3C" w:rsidRDefault="00F9689B" w:rsidP="00B875B5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Основните фактори, ограничаващи развитието на бизнеса,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остават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несигурната икономическа среда, недостатъчното търсене и конкуренцията в бранша. В сравнение с януари се отчита и засилване на </w:t>
      </w:r>
      <w:r w:rsidR="00B875B5">
        <w:rPr>
          <w:rFonts w:ascii="Verdana" w:eastAsia="Times New Roman" w:hAnsi="Verdana" w:cs="Times New Roman"/>
          <w:sz w:val="20"/>
          <w:szCs w:val="20"/>
          <w:lang w:eastAsia="bg-BG"/>
        </w:rPr>
        <w:t>негативното влияние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фактора „недостиг на работна сила“ (виж фиг. </w:t>
      </w:r>
      <w:r w:rsidR="00D22B02">
        <w:rPr>
          <w:rFonts w:ascii="Verdana" w:eastAsia="Times New Roman" w:hAnsi="Verdana" w:cs="Times New Roman"/>
          <w:sz w:val="20"/>
          <w:szCs w:val="20"/>
          <w:lang w:eastAsia="bg-BG"/>
        </w:rPr>
        <w:t>12</w:t>
      </w:r>
      <w:r w:rsidR="00FD4B3C" w:rsidRPr="00FD4B3C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346D2313" w14:textId="77777777" w:rsidR="00D22B02" w:rsidRDefault="00D22B02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3E631234" w14:textId="019E74FE" w:rsidR="00161B47" w:rsidRPr="004D682B" w:rsidRDefault="00161B47" w:rsidP="00161B47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65EE2">
        <w:rPr>
          <w:rFonts w:ascii="Verdana" w:eastAsia="Μοντέρνα" w:hAnsi="Verdana" w:cs="Times New Roman"/>
          <w:b/>
          <w:sz w:val="20"/>
          <w:szCs w:val="20"/>
          <w:lang w:eastAsia="bg-BG"/>
        </w:rPr>
        <w:t>12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търговията на дребно</w:t>
      </w:r>
    </w:p>
    <w:p w14:paraId="4758187C" w14:textId="5807757B" w:rsidR="00161B47" w:rsidRDefault="00161B47" w:rsidP="004C369B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  <w:r w:rsidR="004C369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</w:p>
    <w:p w14:paraId="01960880" w14:textId="539683B5" w:rsidR="00161B47" w:rsidRPr="00FD4B3C" w:rsidRDefault="00A47220" w:rsidP="00161B47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33E782ED">
          <v:shape id="_x0000_i1064" type="#_x0000_t75" style="width:414.75pt;height:258pt;mso-position-vertical:absolute" o:preferrelative="f">
            <v:imagedata r:id="rId18" o:title=""/>
            <o:lock v:ext="edit" aspectratio="f"/>
          </v:shape>
        </w:pict>
      </w:r>
    </w:p>
    <w:p w14:paraId="179E7EA6" w14:textId="7AEA9980" w:rsidR="00D22B02" w:rsidRDefault="00D22B02" w:rsidP="00965EE2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Очакванията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мениджърите 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 отношение на продажните цени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>търгов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ията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дребно през следващите три месеца остават в посока на увеличение 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</w:t>
      </w:r>
      <w:r w:rsidR="00965EE2">
        <w:rPr>
          <w:rFonts w:ascii="Verdana" w:eastAsia="Times New Roman" w:hAnsi="Verdana" w:cs="Times New Roman"/>
          <w:sz w:val="20"/>
          <w:szCs w:val="20"/>
          <w:lang w:eastAsia="bg-BG"/>
        </w:rPr>
        <w:t>13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130734F9" w14:textId="72D7E2B8" w:rsidR="00965EE2" w:rsidRPr="004D682B" w:rsidRDefault="00965EE2" w:rsidP="00965EE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13. Очаквания за продажните цени в търговията на дребно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50FC055" w14:textId="7382728C" w:rsidR="00965EE2" w:rsidRDefault="00A47220" w:rsidP="00965EE2">
      <w:pPr>
        <w:autoSpaceDE w:val="0"/>
        <w:autoSpaceDN w:val="0"/>
        <w:adjustRightInd w:val="0"/>
        <w:spacing w:before="160"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176E0A00">
          <v:shape id="_x0000_i1063" type="#_x0000_t75" style="width:414.75pt;height:258pt" o:preferrelative="f">
            <v:imagedata r:id="rId19" o:title=""/>
            <o:lock v:ext="edit" aspectratio="f"/>
          </v:shape>
        </w:pict>
      </w:r>
    </w:p>
    <w:p w14:paraId="3C49255A" w14:textId="36A4BF51" w:rsidR="00FD4B3C" w:rsidRDefault="00FD4B3C" w:rsidP="00FD4B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4B3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Услуги</w:t>
      </w:r>
      <w:r w:rsidRPr="00FD4B3C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FD4B3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E11BFC" w:rsidRPr="00D62A2A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</w:t>
      </w:r>
      <w:r w:rsidR="00E11BFC">
        <w:rPr>
          <w:rFonts w:ascii="Verdana" w:eastAsia="Times New Roman" w:hAnsi="Verdana" w:cs="Times New Roman"/>
          <w:sz w:val="20"/>
          <w:szCs w:val="20"/>
          <w:lang w:eastAsia="bg-BG"/>
        </w:rPr>
        <w:t>се понижава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2.0 пункта (от 10.9% на 8.9%) (виж фиг. 1</w:t>
      </w:r>
      <w:r w:rsidR="00965E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), което се дължи на влошените оценки на мениджърите за настоящото бизнес състояние на предприятията. Относно търсенето на услуги настоящата тенденция се оценява като леко </w:t>
      </w:r>
      <w:r w:rsidR="00E11BFC">
        <w:rPr>
          <w:rFonts w:ascii="Verdana" w:eastAsia="Times New Roman" w:hAnsi="Verdana" w:cs="Times New Roman"/>
          <w:sz w:val="20"/>
          <w:szCs w:val="20"/>
          <w:lang w:eastAsia="bg-BG"/>
        </w:rPr>
        <w:t>намалена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докато очакванията за следващите три месеца са </w:t>
      </w:r>
      <w:r w:rsidR="00E11BFC">
        <w:rPr>
          <w:rFonts w:ascii="Verdana" w:eastAsia="Times New Roman" w:hAnsi="Verdana" w:cs="Times New Roman"/>
          <w:sz w:val="20"/>
          <w:szCs w:val="20"/>
          <w:lang w:eastAsia="bg-BG"/>
        </w:rPr>
        <w:t>позитивни</w:t>
      </w:r>
      <w:r w:rsidR="00E11BFC"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369B">
        <w:rPr>
          <w:rFonts w:ascii="Verdana" w:eastAsia="Times New Roman" w:hAnsi="Verdana" w:cs="Times New Roman"/>
          <w:sz w:val="20"/>
          <w:szCs w:val="20"/>
          <w:lang w:eastAsia="bg-BG"/>
        </w:rPr>
        <w:t>(виж фиг.</w:t>
      </w:r>
      <w:r w:rsidR="004C369B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="00965EE2"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729A9E8A" w14:textId="77777777" w:rsidR="00965EE2" w:rsidRDefault="00965EE2" w:rsidP="00965EE2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A61DB28" w14:textId="04467A53" w:rsidR="00965EE2" w:rsidRDefault="00A47220" w:rsidP="00965EE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77BD27B">
          <v:shape id="_x0000_i1062" type="#_x0000_t75" style="width:414.75pt;height:258pt" o:preferrelative="f">
            <v:imagedata r:id="rId20" o:title=""/>
            <o:lock v:ext="edit" aspectratio="f"/>
          </v:shape>
        </w:pict>
      </w:r>
    </w:p>
    <w:p w14:paraId="3F611DF3" w14:textId="77777777" w:rsidR="00965EE2" w:rsidRDefault="00965EE2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472C1C1" w14:textId="53B0C422" w:rsidR="00965EE2" w:rsidRDefault="00965EE2" w:rsidP="00965EE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15. </w:t>
      </w:r>
      <w:r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Очаквано търсене в сектора на услугите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56453F" w14:textId="72AE5080" w:rsidR="00965EE2" w:rsidRPr="00AA0EE5" w:rsidRDefault="00A47220" w:rsidP="00965EE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B31704F">
          <v:shape id="_x0000_i1061" type="#_x0000_t75" style="width:414.75pt;height:258pt">
            <v:imagedata r:id="rId21" o:title=""/>
            <o:lock v:ext="edit" aspectratio="f"/>
          </v:shape>
        </w:pict>
      </w:r>
    </w:p>
    <w:p w14:paraId="5D2AAF2E" w14:textId="2060D265" w:rsidR="00FD4B3C" w:rsidRDefault="00414B62" w:rsidP="004C369B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>Факторът, затрудняващ в най-голяма сте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пен дейността на предприятията</w:t>
      </w:r>
      <w:r w:rsidR="009B3A68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остава 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несигурната икономическа среда, следван от конкуренцията в бранша </w:t>
      </w:r>
      <w:r w:rsidR="005B29EF" w:rsidRPr="005B29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</w:t>
      </w:r>
      <w:r w:rsidR="00965EE2">
        <w:rPr>
          <w:rFonts w:ascii="Verdana" w:eastAsia="Times New Roman" w:hAnsi="Verdana" w:cs="Times New Roman"/>
          <w:sz w:val="20"/>
          <w:szCs w:val="20"/>
          <w:lang w:eastAsia="bg-BG"/>
        </w:rPr>
        <w:t>16</w:t>
      </w:r>
      <w:r w:rsidR="005B29EF" w:rsidRPr="005B29EF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3081DE45" w14:textId="713A24F6" w:rsidR="00161B47" w:rsidRPr="004D682B" w:rsidRDefault="00161B47" w:rsidP="00161B47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65EE2">
        <w:rPr>
          <w:rFonts w:ascii="Verdana" w:eastAsia="Μοντέρνα" w:hAnsi="Verdana" w:cs="Times New Roman"/>
          <w:b/>
          <w:sz w:val="20"/>
          <w:szCs w:val="20"/>
          <w:lang w:eastAsia="bg-BG"/>
        </w:rPr>
        <w:t>16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сектора на услугите</w:t>
      </w:r>
    </w:p>
    <w:p w14:paraId="0138C813" w14:textId="202D6527" w:rsidR="00161B47" w:rsidRPr="004C369B" w:rsidRDefault="00161B47" w:rsidP="00161B47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  <w:r w:rsidR="004C369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</w:p>
    <w:p w14:paraId="2699674C" w14:textId="1DAD9F5A" w:rsidR="00161B47" w:rsidRPr="00FD4B3C" w:rsidRDefault="00A47220" w:rsidP="00CC39F9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5E8489F7">
          <v:shape id="_x0000_i1060" type="#_x0000_t75" style="width:414.75pt;height:258pt" o:preferrelative="f">
            <v:imagedata r:id="rId22" o:title=""/>
            <o:lock v:ext="edit" aspectratio="f"/>
          </v:shape>
        </w:pict>
      </w:r>
    </w:p>
    <w:p w14:paraId="662C4B37" w14:textId="38129285" w:rsidR="00965EE2" w:rsidRDefault="00965EE2" w:rsidP="00DA44E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D62A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о-голяма част от мениджърите предвиждат продажните цени в сектора на услугите да останат без промяна през следващите три месеца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Pr="00A5538A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01D36A04" w14:textId="29EF5D85" w:rsidR="00965EE2" w:rsidRDefault="00965EE2" w:rsidP="00965EE2">
      <w:pPr>
        <w:autoSpaceDE w:val="0"/>
        <w:autoSpaceDN w:val="0"/>
        <w:adjustRightInd w:val="0"/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5EE37A13" w14:textId="3A6DD7D4" w:rsidR="00965EE2" w:rsidRPr="004D682B" w:rsidRDefault="00A47220" w:rsidP="00965EE2">
      <w:pPr>
        <w:autoSpaceDE w:val="0"/>
        <w:autoSpaceDN w:val="0"/>
        <w:adjustRightInd w:val="0"/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99C40C7">
          <v:shape id="_x0000_i1059" type="#_x0000_t75" style="width:414.75pt;height:258pt" o:preferrelative="f">
            <v:imagedata r:id="rId23" o:title=""/>
            <o:lock v:ext="edit" aspectratio="f"/>
          </v:shape>
        </w:pict>
      </w:r>
    </w:p>
    <w:p w14:paraId="2A173276" w14:textId="77777777" w:rsidR="00965EE2" w:rsidRDefault="00965EE2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1E8DEDFA" w14:textId="00FDF7C7" w:rsidR="00FD4B3C" w:rsidRPr="00FD4B3C" w:rsidRDefault="00FD4B3C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FD4B3C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09F7E9A0" w14:textId="77777777" w:rsidR="00817546" w:rsidRPr="004D682B" w:rsidRDefault="00817546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06CA5A3F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наблюденията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1BF4E26E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33BDB189" wp14:editId="0F50B3A2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F4AA3" w14:textId="1421F453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25FF1D4B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47138410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като последният показател е включен в общия динамичен ред от май 2002 година.</w:t>
      </w:r>
    </w:p>
    <w:sectPr w:rsidR="00817546" w:rsidRPr="004D682B" w:rsidSect="006A4C8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C623" w14:textId="77777777" w:rsidR="009D7829" w:rsidRDefault="009D7829" w:rsidP="00D83F28">
      <w:r>
        <w:separator/>
      </w:r>
    </w:p>
  </w:endnote>
  <w:endnote w:type="continuationSeparator" w:id="0">
    <w:p w14:paraId="5C661188" w14:textId="77777777" w:rsidR="009D7829" w:rsidRDefault="009D7829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C2D2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92A49E" wp14:editId="2EC2292D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C77A" w14:textId="4A9F1FC0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722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92A49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CF6C77A" w14:textId="4A9F1FC0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722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B26CC6" wp14:editId="7D03E8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9F8B182" wp14:editId="74BE914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6CAA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FEA894" wp14:editId="36960604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3994" w14:textId="4DC7755D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722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EA89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0C83994" w14:textId="4DC7755D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722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4718F89" wp14:editId="039C4A92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B13F" w14:textId="77777777" w:rsidR="009D7829" w:rsidRDefault="009D7829" w:rsidP="00D83F28">
      <w:r>
        <w:separator/>
      </w:r>
    </w:p>
  </w:footnote>
  <w:footnote w:type="continuationSeparator" w:id="0">
    <w:p w14:paraId="56775B63" w14:textId="77777777" w:rsidR="009D7829" w:rsidRDefault="009D7829" w:rsidP="00D83F28">
      <w:r>
        <w:continuationSeparator/>
      </w:r>
    </w:p>
  </w:footnote>
  <w:footnote w:id="1">
    <w:p w14:paraId="1DE587AD" w14:textId="77777777" w:rsidR="00FD4B3C" w:rsidRPr="004D682B" w:rsidRDefault="00FD4B3C" w:rsidP="00FD4B3C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67AA" w14:textId="7E92239A" w:rsidR="00751870" w:rsidRPr="00EC63FC" w:rsidRDefault="00751870" w:rsidP="00FD4B3C">
    <w:pPr>
      <w:spacing w:before="160" w:after="160"/>
      <w:jc w:val="center"/>
      <w:outlineLvl w:val="0"/>
      <w:rPr>
        <w:rFonts w:ascii="Verdana" w:eastAsia="Times New Roman" w:hAnsi="Verdana" w:cs="Times New Roman"/>
        <w:b/>
        <w:sz w:val="20"/>
        <w:szCs w:val="20"/>
      </w:rPr>
    </w:pPr>
    <w:r w:rsidRPr="00751870">
      <w:rPr>
        <w:rFonts w:ascii="Verdana" w:eastAsia="Calibri" w:hAnsi="Verdana" w:cs="Times New Roman"/>
        <w:b/>
        <w:sz w:val="20"/>
        <w:szCs w:val="20"/>
      </w:rPr>
      <w:t>СТОПАНСКА КОНЮНКТУРА</w:t>
    </w:r>
  </w:p>
  <w:p w14:paraId="74A4C650" w14:textId="177A4B6F" w:rsidR="00D83F28" w:rsidRPr="00F76D42" w:rsidRDefault="00D83F28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BA3CF4C" wp14:editId="36547ED6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БИЗНЕС АНКЕТИ НА НСИ, </w:t>
    </w:r>
    <w:r w:rsidR="00161B47">
      <w:rPr>
        <w:rFonts w:ascii="Verdana" w:eastAsia="Times New Roman" w:hAnsi="Verdana" w:cs="Times New Roman"/>
        <w:b/>
        <w:sz w:val="20"/>
        <w:szCs w:val="20"/>
      </w:rPr>
      <w:t>ФЕВР</w:t>
    </w:r>
    <w:r w:rsidR="00FD4B3C">
      <w:rPr>
        <w:rFonts w:ascii="Verdana" w:eastAsia="Times New Roman" w:hAnsi="Verdana" w:cs="Times New Roman"/>
        <w:b/>
        <w:color w:val="000000"/>
        <w:sz w:val="20"/>
        <w:szCs w:val="20"/>
      </w:rPr>
      <w:t>УАРИ</w:t>
    </w:r>
    <w:r w:rsidR="00FD4B3C" w:rsidRPr="00D433A3">
      <w:rPr>
        <w:rFonts w:ascii="Verdana" w:eastAsia="Times New Roman" w:hAnsi="Verdana" w:cs="Times New Roman"/>
        <w:b/>
        <w:color w:val="000000"/>
        <w:sz w:val="20"/>
        <w:szCs w:val="20"/>
      </w:rPr>
      <w:t xml:space="preserve"> </w:t>
    </w:r>
    <w:r w:rsidR="00FD4B3C">
      <w:rPr>
        <w:rFonts w:ascii="Verdana" w:eastAsia="Times New Roman" w:hAnsi="Verdana" w:cs="Times New Roman"/>
        <w:b/>
        <w:sz w:val="20"/>
        <w:szCs w:val="20"/>
      </w:rPr>
      <w:t>2025</w: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6960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DD854D1" wp14:editId="7F3AB1D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C64042" wp14:editId="159BD6DB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9D3F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30576C9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63AAD58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8E4FDA" wp14:editId="6C9A0BD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C48F3E" wp14:editId="4BB8257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2818437" wp14:editId="6DBA3135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331"/>
    <w:rsid w:val="000716A1"/>
    <w:rsid w:val="0009530B"/>
    <w:rsid w:val="0009674B"/>
    <w:rsid w:val="000C2305"/>
    <w:rsid w:val="000D1B3E"/>
    <w:rsid w:val="000F6C23"/>
    <w:rsid w:val="001027B7"/>
    <w:rsid w:val="0011201F"/>
    <w:rsid w:val="001367EA"/>
    <w:rsid w:val="00161B47"/>
    <w:rsid w:val="001A3A1E"/>
    <w:rsid w:val="001A4D2A"/>
    <w:rsid w:val="001B724A"/>
    <w:rsid w:val="001C47D2"/>
    <w:rsid w:val="001E3518"/>
    <w:rsid w:val="00204757"/>
    <w:rsid w:val="00221A79"/>
    <w:rsid w:val="00266E6D"/>
    <w:rsid w:val="002723D9"/>
    <w:rsid w:val="00281CE4"/>
    <w:rsid w:val="00296A2C"/>
    <w:rsid w:val="00296F09"/>
    <w:rsid w:val="002C18AE"/>
    <w:rsid w:val="002F345A"/>
    <w:rsid w:val="00311914"/>
    <w:rsid w:val="00311FBD"/>
    <w:rsid w:val="003243D3"/>
    <w:rsid w:val="00335B85"/>
    <w:rsid w:val="00394FB3"/>
    <w:rsid w:val="003A6DB1"/>
    <w:rsid w:val="003B6C2E"/>
    <w:rsid w:val="003D3F1D"/>
    <w:rsid w:val="003E75E1"/>
    <w:rsid w:val="00414B62"/>
    <w:rsid w:val="00416000"/>
    <w:rsid w:val="00420F69"/>
    <w:rsid w:val="00446013"/>
    <w:rsid w:val="0044601E"/>
    <w:rsid w:val="00465E65"/>
    <w:rsid w:val="00470273"/>
    <w:rsid w:val="004827E9"/>
    <w:rsid w:val="004C1790"/>
    <w:rsid w:val="004C369B"/>
    <w:rsid w:val="004D1BC7"/>
    <w:rsid w:val="004D1F3D"/>
    <w:rsid w:val="004E681D"/>
    <w:rsid w:val="004F578D"/>
    <w:rsid w:val="005044B9"/>
    <w:rsid w:val="00504A58"/>
    <w:rsid w:val="005703E5"/>
    <w:rsid w:val="00570FE5"/>
    <w:rsid w:val="005B29EF"/>
    <w:rsid w:val="005B3747"/>
    <w:rsid w:val="005D1526"/>
    <w:rsid w:val="00617F83"/>
    <w:rsid w:val="00643044"/>
    <w:rsid w:val="006445E9"/>
    <w:rsid w:val="0065162B"/>
    <w:rsid w:val="006549D8"/>
    <w:rsid w:val="00671AF6"/>
    <w:rsid w:val="006804D3"/>
    <w:rsid w:val="006A4C8F"/>
    <w:rsid w:val="006D6830"/>
    <w:rsid w:val="0071396E"/>
    <w:rsid w:val="00725702"/>
    <w:rsid w:val="00731D8E"/>
    <w:rsid w:val="00736597"/>
    <w:rsid w:val="0073678D"/>
    <w:rsid w:val="00751870"/>
    <w:rsid w:val="0075307C"/>
    <w:rsid w:val="00781355"/>
    <w:rsid w:val="00791122"/>
    <w:rsid w:val="00791B91"/>
    <w:rsid w:val="007C3815"/>
    <w:rsid w:val="007C6A58"/>
    <w:rsid w:val="007E04E4"/>
    <w:rsid w:val="007E0866"/>
    <w:rsid w:val="007F68BE"/>
    <w:rsid w:val="00812928"/>
    <w:rsid w:val="00817546"/>
    <w:rsid w:val="00836804"/>
    <w:rsid w:val="00836A1C"/>
    <w:rsid w:val="0085113F"/>
    <w:rsid w:val="008646F6"/>
    <w:rsid w:val="00864D98"/>
    <w:rsid w:val="0087171E"/>
    <w:rsid w:val="008A2CED"/>
    <w:rsid w:val="008A713C"/>
    <w:rsid w:val="008A72D2"/>
    <w:rsid w:val="008B795D"/>
    <w:rsid w:val="008D408D"/>
    <w:rsid w:val="008E4E1F"/>
    <w:rsid w:val="008E6CB5"/>
    <w:rsid w:val="00904BCC"/>
    <w:rsid w:val="00905056"/>
    <w:rsid w:val="00913E30"/>
    <w:rsid w:val="009351AC"/>
    <w:rsid w:val="00937F0D"/>
    <w:rsid w:val="00943E59"/>
    <w:rsid w:val="00951FF3"/>
    <w:rsid w:val="00957437"/>
    <w:rsid w:val="009621AD"/>
    <w:rsid w:val="00965EE2"/>
    <w:rsid w:val="009757F5"/>
    <w:rsid w:val="00977850"/>
    <w:rsid w:val="00992986"/>
    <w:rsid w:val="009A5BBC"/>
    <w:rsid w:val="009A5DF8"/>
    <w:rsid w:val="009B3A68"/>
    <w:rsid w:val="009D7829"/>
    <w:rsid w:val="009F59F4"/>
    <w:rsid w:val="009F6D3F"/>
    <w:rsid w:val="00A31332"/>
    <w:rsid w:val="00A47220"/>
    <w:rsid w:val="00A53D53"/>
    <w:rsid w:val="00A5538A"/>
    <w:rsid w:val="00A63D23"/>
    <w:rsid w:val="00A7144B"/>
    <w:rsid w:val="00A836F9"/>
    <w:rsid w:val="00A921F8"/>
    <w:rsid w:val="00A96363"/>
    <w:rsid w:val="00AB779F"/>
    <w:rsid w:val="00AC7AF3"/>
    <w:rsid w:val="00AE7E5E"/>
    <w:rsid w:val="00AF241A"/>
    <w:rsid w:val="00B341B9"/>
    <w:rsid w:val="00B3459E"/>
    <w:rsid w:val="00B875B5"/>
    <w:rsid w:val="00B92616"/>
    <w:rsid w:val="00BA1DAB"/>
    <w:rsid w:val="00BA635F"/>
    <w:rsid w:val="00BC4D5B"/>
    <w:rsid w:val="00BC66FA"/>
    <w:rsid w:val="00C01ADE"/>
    <w:rsid w:val="00C57721"/>
    <w:rsid w:val="00C57C1C"/>
    <w:rsid w:val="00C61C11"/>
    <w:rsid w:val="00C71EAA"/>
    <w:rsid w:val="00C74A65"/>
    <w:rsid w:val="00C76449"/>
    <w:rsid w:val="00C76CCA"/>
    <w:rsid w:val="00C92946"/>
    <w:rsid w:val="00CB2E0A"/>
    <w:rsid w:val="00CB6062"/>
    <w:rsid w:val="00CC39F9"/>
    <w:rsid w:val="00CC6D0E"/>
    <w:rsid w:val="00CE4887"/>
    <w:rsid w:val="00D03C55"/>
    <w:rsid w:val="00D1180B"/>
    <w:rsid w:val="00D22467"/>
    <w:rsid w:val="00D22B02"/>
    <w:rsid w:val="00D267DB"/>
    <w:rsid w:val="00D32B32"/>
    <w:rsid w:val="00D47B90"/>
    <w:rsid w:val="00D541DD"/>
    <w:rsid w:val="00D54E66"/>
    <w:rsid w:val="00D60CD2"/>
    <w:rsid w:val="00D675DC"/>
    <w:rsid w:val="00D83F28"/>
    <w:rsid w:val="00D84BC3"/>
    <w:rsid w:val="00DA44EE"/>
    <w:rsid w:val="00DD5688"/>
    <w:rsid w:val="00DF6402"/>
    <w:rsid w:val="00E1116B"/>
    <w:rsid w:val="00E11BFC"/>
    <w:rsid w:val="00E35183"/>
    <w:rsid w:val="00E3704B"/>
    <w:rsid w:val="00E97D8F"/>
    <w:rsid w:val="00ED7DA8"/>
    <w:rsid w:val="00EF4FC0"/>
    <w:rsid w:val="00F176D7"/>
    <w:rsid w:val="00F27AF2"/>
    <w:rsid w:val="00F374AD"/>
    <w:rsid w:val="00F463E4"/>
    <w:rsid w:val="00F76D42"/>
    <w:rsid w:val="00F80B01"/>
    <w:rsid w:val="00F9689B"/>
    <w:rsid w:val="00FB2BB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E20D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FD4B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6A1C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7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D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3D2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microsoft.com/office/2007/relationships/hdphoto" Target="media/hdphoto1.wdp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1DCE-5D99-4DAA-8BCD-C23D53D3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Hristina Terzijska</cp:lastModifiedBy>
  <cp:revision>3</cp:revision>
  <cp:lastPrinted>2025-02-24T12:53:00Z</cp:lastPrinted>
  <dcterms:created xsi:type="dcterms:W3CDTF">2025-02-27T08:08:00Z</dcterms:created>
  <dcterms:modified xsi:type="dcterms:W3CDTF">2025-02-27T08:08:00Z</dcterms:modified>
</cp:coreProperties>
</file>