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86595" w14:textId="77777777" w:rsidR="00870A93" w:rsidRPr="00CF68AD" w:rsidRDefault="00870A93" w:rsidP="00870A93">
      <w:pPr>
        <w:spacing w:before="160" w:after="160" w:line="36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CF68AD">
        <w:rPr>
          <w:rFonts w:ascii="Verdana" w:eastAsia="Calibri" w:hAnsi="Verdana" w:cs="Times New Roman"/>
          <w:b/>
          <w:sz w:val="20"/>
          <w:szCs w:val="20"/>
        </w:rPr>
        <w:t>ИНДЕКСИ НА ЦЕНИТЕ В СЕЛСКОТО СТОПАНСТВО ЗА</w:t>
      </w:r>
      <w:r w:rsidRPr="00CF68AD">
        <w:rPr>
          <w:rFonts w:ascii="Verdana" w:eastAsia="Calibri" w:hAnsi="Verdana" w:cs="Times New Roman"/>
          <w:b/>
          <w:sz w:val="20"/>
          <w:szCs w:val="20"/>
        </w:rPr>
        <w:br/>
      </w:r>
      <w:r>
        <w:rPr>
          <w:rFonts w:ascii="Verdana" w:eastAsia="Calibri" w:hAnsi="Verdana" w:cs="Times New Roman"/>
          <w:b/>
          <w:sz w:val="20"/>
          <w:szCs w:val="20"/>
        </w:rPr>
        <w:t>ЧЕТВЪРТО</w:t>
      </w:r>
      <w:r w:rsidRPr="00CF68AD">
        <w:rPr>
          <w:rFonts w:ascii="Verdana" w:eastAsia="Calibri" w:hAnsi="Verdana" w:cs="Times New Roman"/>
          <w:b/>
          <w:sz w:val="20"/>
          <w:szCs w:val="20"/>
        </w:rPr>
        <w:t xml:space="preserve"> ТРИМЕСЕЧИЕ НА 2024 ГОДИНА</w:t>
      </w:r>
    </w:p>
    <w:p w14:paraId="1D2DD4EE" w14:textId="77777777" w:rsidR="00870A93" w:rsidRPr="00CF68AD" w:rsidRDefault="00870A93" w:rsidP="00870A93">
      <w:pPr>
        <w:spacing w:before="160" w:after="160" w:line="360" w:lineRule="auto"/>
        <w:ind w:firstLine="567"/>
        <w:jc w:val="both"/>
        <w:rPr>
          <w:rFonts w:ascii="Verdana" w:eastAsia="Calibri" w:hAnsi="Verdana" w:cs="Times New Roman"/>
          <w:b/>
          <w:sz w:val="20"/>
          <w:szCs w:val="20"/>
        </w:rPr>
      </w:pPr>
      <w:r w:rsidRPr="00CF68AD">
        <w:rPr>
          <w:rFonts w:ascii="Verdana" w:eastAsia="Calibri" w:hAnsi="Verdana" w:cs="Times New Roman"/>
          <w:b/>
          <w:sz w:val="20"/>
          <w:szCs w:val="20"/>
        </w:rPr>
        <w:t>Индекси на цените на производител в селското стопанство</w:t>
      </w:r>
    </w:p>
    <w:p w14:paraId="024E7319" w14:textId="77777777" w:rsidR="00870A93" w:rsidRPr="00CF68AD" w:rsidRDefault="00870A93" w:rsidP="00870A93">
      <w:pPr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CF68AD">
        <w:rPr>
          <w:rFonts w:ascii="Verdana" w:eastAsia="Calibri" w:hAnsi="Verdana" w:cs="Times New Roman"/>
          <w:b/>
          <w:sz w:val="20"/>
          <w:szCs w:val="20"/>
        </w:rPr>
        <w:t xml:space="preserve">Индексът на цените на производител в селското стопанство </w:t>
      </w:r>
      <w:r>
        <w:rPr>
          <w:rFonts w:ascii="Verdana" w:eastAsia="Calibri" w:hAnsi="Verdana" w:cs="Times New Roman"/>
          <w:sz w:val="20"/>
          <w:szCs w:val="20"/>
        </w:rPr>
        <w:t>за четвъртото тримесечие</w:t>
      </w:r>
      <w:r>
        <w:rPr>
          <w:rFonts w:ascii="Verdana" w:eastAsia="Calibri" w:hAnsi="Verdana" w:cs="Times New Roman"/>
          <w:sz w:val="20"/>
          <w:szCs w:val="20"/>
          <w:lang w:val="en-US"/>
        </w:rPr>
        <w:t xml:space="preserve"> </w:t>
      </w:r>
      <w:r>
        <w:rPr>
          <w:rFonts w:ascii="Verdana" w:eastAsia="Calibri" w:hAnsi="Verdana" w:cs="Times New Roman"/>
          <w:sz w:val="20"/>
          <w:szCs w:val="20"/>
        </w:rPr>
        <w:t xml:space="preserve">на 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2024 г. се </w:t>
      </w:r>
      <w:r>
        <w:rPr>
          <w:rFonts w:ascii="Verdana" w:eastAsia="Calibri" w:hAnsi="Verdana" w:cs="Times New Roman"/>
          <w:sz w:val="20"/>
          <w:szCs w:val="20"/>
        </w:rPr>
        <w:t>повишава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 с </w:t>
      </w:r>
      <w:r>
        <w:rPr>
          <w:rFonts w:ascii="Verdana" w:eastAsia="Calibri" w:hAnsi="Verdana" w:cs="Times New Roman"/>
          <w:sz w:val="20"/>
          <w:szCs w:val="20"/>
        </w:rPr>
        <w:t>8</w:t>
      </w:r>
      <w:r w:rsidRPr="00CF68AD">
        <w:rPr>
          <w:rFonts w:ascii="Verdana" w:eastAsia="Calibri" w:hAnsi="Verdana" w:cs="Times New Roman"/>
          <w:sz w:val="20"/>
          <w:szCs w:val="20"/>
        </w:rPr>
        <w:t>.</w:t>
      </w:r>
      <w:r>
        <w:rPr>
          <w:rFonts w:ascii="Verdana" w:eastAsia="Calibri" w:hAnsi="Verdana" w:cs="Times New Roman"/>
          <w:sz w:val="20"/>
          <w:szCs w:val="20"/>
        </w:rPr>
        <w:t>6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% спрямо същото тримесечие на 2023 г. в резултат </w:t>
      </w:r>
      <w:r>
        <w:rPr>
          <w:rFonts w:ascii="Verdana" w:eastAsia="Calibri" w:hAnsi="Verdana" w:cs="Times New Roman"/>
          <w:sz w:val="20"/>
          <w:szCs w:val="20"/>
        </w:rPr>
        <w:t>от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 </w:t>
      </w:r>
      <w:r>
        <w:rPr>
          <w:rFonts w:ascii="Verdana" w:eastAsia="Calibri" w:hAnsi="Verdana" w:cs="Times New Roman"/>
          <w:sz w:val="20"/>
          <w:szCs w:val="20"/>
        </w:rPr>
        <w:t>повишението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 на индекса на цените на продукцията от растениевъдство</w:t>
      </w:r>
      <w:r>
        <w:rPr>
          <w:rFonts w:ascii="Verdana" w:eastAsia="Calibri" w:hAnsi="Verdana" w:cs="Times New Roman"/>
          <w:sz w:val="20"/>
          <w:szCs w:val="20"/>
        </w:rPr>
        <w:t xml:space="preserve"> - 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с </w:t>
      </w:r>
      <w:r>
        <w:rPr>
          <w:rFonts w:ascii="Verdana" w:eastAsia="Calibri" w:hAnsi="Verdana" w:cs="Times New Roman"/>
          <w:sz w:val="20"/>
          <w:szCs w:val="20"/>
        </w:rPr>
        <w:t>11</w:t>
      </w:r>
      <w:r w:rsidRPr="00CF68AD">
        <w:rPr>
          <w:rFonts w:ascii="Verdana" w:eastAsia="Calibri" w:hAnsi="Verdana" w:cs="Times New Roman"/>
          <w:sz w:val="20"/>
          <w:szCs w:val="20"/>
        </w:rPr>
        <w:t>.</w:t>
      </w:r>
      <w:r>
        <w:rPr>
          <w:rFonts w:ascii="Verdana" w:eastAsia="Calibri" w:hAnsi="Verdana" w:cs="Times New Roman"/>
          <w:sz w:val="20"/>
          <w:szCs w:val="20"/>
        </w:rPr>
        <w:t>5</w:t>
      </w:r>
      <w:r w:rsidRPr="00CF68AD">
        <w:rPr>
          <w:rFonts w:ascii="Verdana" w:eastAsia="Calibri" w:hAnsi="Verdana" w:cs="Times New Roman"/>
          <w:sz w:val="20"/>
          <w:szCs w:val="20"/>
        </w:rPr>
        <w:t>%</w:t>
      </w:r>
      <w:r w:rsidR="00FF00C2">
        <w:rPr>
          <w:rFonts w:ascii="Verdana" w:eastAsia="Calibri" w:hAnsi="Verdana" w:cs="Times New Roman"/>
          <w:sz w:val="20"/>
          <w:szCs w:val="20"/>
        </w:rPr>
        <w:t>,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 и на </w:t>
      </w:r>
      <w:r>
        <w:rPr>
          <w:rFonts w:ascii="Verdana" w:eastAsia="Calibri" w:hAnsi="Verdana" w:cs="Times New Roman"/>
          <w:sz w:val="20"/>
          <w:szCs w:val="20"/>
        </w:rPr>
        <w:t xml:space="preserve">индекса на цените на </w:t>
      </w:r>
      <w:r w:rsidRPr="00CF68AD">
        <w:rPr>
          <w:rFonts w:ascii="Verdana" w:eastAsia="Calibri" w:hAnsi="Verdana" w:cs="Times New Roman"/>
          <w:sz w:val="20"/>
          <w:szCs w:val="20"/>
        </w:rPr>
        <w:t>про</w:t>
      </w:r>
      <w:r>
        <w:rPr>
          <w:rFonts w:ascii="Verdana" w:eastAsia="Calibri" w:hAnsi="Verdana" w:cs="Times New Roman"/>
          <w:sz w:val="20"/>
          <w:szCs w:val="20"/>
        </w:rPr>
        <w:t xml:space="preserve">дукцията от животновъдство - 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с </w:t>
      </w:r>
      <w:r>
        <w:rPr>
          <w:rFonts w:ascii="Verdana" w:eastAsia="Calibri" w:hAnsi="Verdana" w:cs="Times New Roman"/>
          <w:sz w:val="20"/>
          <w:szCs w:val="20"/>
        </w:rPr>
        <w:t>0</w:t>
      </w:r>
      <w:r w:rsidRPr="00CF68AD">
        <w:rPr>
          <w:rFonts w:ascii="Verdana" w:eastAsia="Calibri" w:hAnsi="Verdana" w:cs="Times New Roman"/>
          <w:sz w:val="20"/>
          <w:szCs w:val="20"/>
        </w:rPr>
        <w:t>.</w:t>
      </w:r>
      <w:r>
        <w:rPr>
          <w:rFonts w:ascii="Verdana" w:eastAsia="Calibri" w:hAnsi="Verdana" w:cs="Times New Roman"/>
          <w:sz w:val="20"/>
          <w:szCs w:val="20"/>
        </w:rPr>
        <w:t>9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%. </w:t>
      </w:r>
      <w:r>
        <w:rPr>
          <w:rFonts w:ascii="Verdana" w:eastAsia="Calibri" w:hAnsi="Verdana" w:cs="Times New Roman"/>
          <w:sz w:val="20"/>
          <w:szCs w:val="20"/>
        </w:rPr>
        <w:t>С</w:t>
      </w:r>
      <w:r w:rsidRPr="00CF68AD">
        <w:rPr>
          <w:rFonts w:ascii="Verdana" w:eastAsia="Calibri" w:hAnsi="Verdana" w:cs="Times New Roman"/>
          <w:sz w:val="20"/>
          <w:szCs w:val="20"/>
        </w:rPr>
        <w:t>прямо предходната година</w:t>
      </w:r>
      <w:r>
        <w:rPr>
          <w:rFonts w:ascii="Verdana" w:eastAsia="Calibri" w:hAnsi="Verdana" w:cs="Times New Roman"/>
          <w:sz w:val="20"/>
          <w:szCs w:val="20"/>
        </w:rPr>
        <w:t xml:space="preserve"> </w:t>
      </w:r>
      <w:r>
        <w:rPr>
          <w:rFonts w:ascii="Verdana" w:eastAsia="Calibri" w:hAnsi="Verdana" w:cs="Times New Roman"/>
          <w:sz w:val="20"/>
          <w:szCs w:val="20"/>
          <w:lang w:val="en-US"/>
        </w:rPr>
        <w:t>(</w:t>
      </w:r>
      <w:r>
        <w:rPr>
          <w:rFonts w:ascii="Verdana" w:eastAsia="Calibri" w:hAnsi="Verdana" w:cs="Times New Roman"/>
          <w:sz w:val="20"/>
          <w:szCs w:val="20"/>
        </w:rPr>
        <w:t>на годишна база</w:t>
      </w:r>
      <w:r>
        <w:rPr>
          <w:rFonts w:ascii="Verdana" w:eastAsia="Calibri" w:hAnsi="Verdana" w:cs="Times New Roman"/>
          <w:sz w:val="20"/>
          <w:szCs w:val="20"/>
          <w:lang w:val="en-US"/>
        </w:rPr>
        <w:t>)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 цените на селскостопанската продукция отбелязват </w:t>
      </w:r>
      <w:r>
        <w:rPr>
          <w:rFonts w:ascii="Verdana" w:eastAsia="Calibri" w:hAnsi="Verdana" w:cs="Times New Roman"/>
          <w:sz w:val="20"/>
          <w:szCs w:val="20"/>
        </w:rPr>
        <w:t>увеличение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 с </w:t>
      </w:r>
      <w:r>
        <w:rPr>
          <w:rFonts w:ascii="Verdana" w:eastAsia="Calibri" w:hAnsi="Verdana" w:cs="Times New Roman"/>
          <w:sz w:val="20"/>
          <w:szCs w:val="20"/>
        </w:rPr>
        <w:t>3</w:t>
      </w:r>
      <w:r w:rsidRPr="00CF68AD">
        <w:rPr>
          <w:rFonts w:ascii="Verdana" w:eastAsia="Calibri" w:hAnsi="Verdana" w:cs="Times New Roman"/>
          <w:sz w:val="20"/>
          <w:szCs w:val="20"/>
        </w:rPr>
        <w:t>.</w:t>
      </w:r>
      <w:r>
        <w:rPr>
          <w:rFonts w:ascii="Verdana" w:eastAsia="Calibri" w:hAnsi="Verdana" w:cs="Times New Roman"/>
          <w:sz w:val="20"/>
          <w:szCs w:val="20"/>
        </w:rPr>
        <w:t>1%, като в растениевъдството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 </w:t>
      </w:r>
      <w:r>
        <w:rPr>
          <w:rFonts w:ascii="Verdana" w:eastAsia="Calibri" w:hAnsi="Verdana" w:cs="Times New Roman"/>
          <w:sz w:val="20"/>
          <w:szCs w:val="20"/>
        </w:rPr>
        <w:t xml:space="preserve">те 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се </w:t>
      </w:r>
      <w:r>
        <w:rPr>
          <w:rFonts w:ascii="Verdana" w:eastAsia="Calibri" w:hAnsi="Verdana" w:cs="Times New Roman"/>
          <w:sz w:val="20"/>
          <w:szCs w:val="20"/>
        </w:rPr>
        <w:t>повишават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 с </w:t>
      </w:r>
      <w:r>
        <w:rPr>
          <w:rFonts w:ascii="Verdana" w:eastAsia="Calibri" w:hAnsi="Verdana" w:cs="Times New Roman"/>
          <w:sz w:val="20"/>
          <w:szCs w:val="20"/>
        </w:rPr>
        <w:t>4</w:t>
      </w:r>
      <w:r w:rsidRPr="00CF68AD">
        <w:rPr>
          <w:rFonts w:ascii="Verdana" w:eastAsia="Calibri" w:hAnsi="Verdana" w:cs="Times New Roman"/>
          <w:sz w:val="20"/>
          <w:szCs w:val="20"/>
        </w:rPr>
        <w:t>.</w:t>
      </w:r>
      <w:r>
        <w:rPr>
          <w:rFonts w:ascii="Verdana" w:eastAsia="Calibri" w:hAnsi="Verdana" w:cs="Times New Roman"/>
          <w:sz w:val="20"/>
          <w:szCs w:val="20"/>
        </w:rPr>
        <w:t>5%, а в животновъдството намаляват с 0</w:t>
      </w:r>
      <w:r w:rsidRPr="00CF68AD">
        <w:rPr>
          <w:rFonts w:ascii="Verdana" w:eastAsia="Calibri" w:hAnsi="Verdana" w:cs="Times New Roman"/>
          <w:sz w:val="20"/>
          <w:szCs w:val="20"/>
        </w:rPr>
        <w:t>.</w:t>
      </w:r>
      <w:r>
        <w:rPr>
          <w:rFonts w:ascii="Verdana" w:eastAsia="Calibri" w:hAnsi="Verdana" w:cs="Times New Roman"/>
          <w:sz w:val="20"/>
          <w:szCs w:val="20"/>
        </w:rPr>
        <w:t>6</w:t>
      </w:r>
      <w:r w:rsidRPr="00CF68AD">
        <w:rPr>
          <w:rFonts w:ascii="Verdana" w:eastAsia="Calibri" w:hAnsi="Verdana" w:cs="Times New Roman"/>
          <w:sz w:val="20"/>
          <w:szCs w:val="20"/>
        </w:rPr>
        <w:t>% (</w:t>
      </w:r>
      <w:r>
        <w:rPr>
          <w:rFonts w:ascii="Verdana" w:eastAsia="Calibri" w:hAnsi="Verdana" w:cs="Times New Roman"/>
          <w:sz w:val="20"/>
          <w:szCs w:val="20"/>
        </w:rPr>
        <w:t xml:space="preserve">виж </w:t>
      </w:r>
      <w:r w:rsidRPr="00CF68AD">
        <w:rPr>
          <w:rFonts w:ascii="Verdana" w:eastAsia="Calibri" w:hAnsi="Verdana" w:cs="Times New Roman"/>
          <w:sz w:val="20"/>
          <w:szCs w:val="20"/>
        </w:rPr>
        <w:t>табл. 1).</w:t>
      </w:r>
    </w:p>
    <w:p w14:paraId="16A2483F" w14:textId="77777777" w:rsidR="00870A93" w:rsidRPr="00CF68AD" w:rsidRDefault="00870A93" w:rsidP="00870A93">
      <w:pPr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  <w:lang w:val="en-US"/>
        </w:rPr>
      </w:pPr>
      <w:r>
        <w:rPr>
          <w:rFonts w:ascii="Verdana" w:eastAsia="Calibri" w:hAnsi="Verdana" w:cs="Times New Roman"/>
          <w:sz w:val="20"/>
          <w:szCs w:val="20"/>
        </w:rPr>
        <w:t>Спрямо четвъртото тримесечие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 на 2023 г. е регистриран спад </w:t>
      </w:r>
      <w:r>
        <w:rPr>
          <w:rFonts w:ascii="Verdana" w:eastAsia="Calibri" w:hAnsi="Verdana" w:cs="Times New Roman"/>
          <w:sz w:val="20"/>
          <w:szCs w:val="20"/>
        </w:rPr>
        <w:t>с 2</w:t>
      </w:r>
      <w:r w:rsidRPr="00EA7A64">
        <w:rPr>
          <w:rFonts w:ascii="Verdana" w:eastAsia="Calibri" w:hAnsi="Verdana" w:cs="Times New Roman"/>
          <w:sz w:val="20"/>
          <w:szCs w:val="20"/>
        </w:rPr>
        <w:t>.</w:t>
      </w:r>
      <w:r>
        <w:rPr>
          <w:rFonts w:ascii="Verdana" w:eastAsia="Calibri" w:hAnsi="Verdana" w:cs="Times New Roman"/>
          <w:sz w:val="20"/>
          <w:szCs w:val="20"/>
        </w:rPr>
        <w:t>7</w:t>
      </w:r>
      <w:r w:rsidRPr="00EA7A64">
        <w:rPr>
          <w:rFonts w:ascii="Verdana" w:eastAsia="Calibri" w:hAnsi="Verdana" w:cs="Times New Roman"/>
          <w:sz w:val="20"/>
          <w:szCs w:val="20"/>
        </w:rPr>
        <w:t xml:space="preserve">% 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в цените на зърнените </w:t>
      </w:r>
      <w:r w:rsidRPr="002C5EC8">
        <w:rPr>
          <w:rFonts w:ascii="Verdana" w:eastAsia="Calibri" w:hAnsi="Verdana" w:cs="Times New Roman"/>
          <w:sz w:val="20"/>
          <w:szCs w:val="20"/>
        </w:rPr>
        <w:t xml:space="preserve">култури в резултат 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на намалението на цената на меката пшеница с </w:t>
      </w:r>
      <w:r>
        <w:rPr>
          <w:rFonts w:ascii="Verdana" w:eastAsia="Calibri" w:hAnsi="Verdana" w:cs="Times New Roman"/>
          <w:sz w:val="20"/>
          <w:szCs w:val="20"/>
        </w:rPr>
        <w:t>1</w:t>
      </w:r>
      <w:r w:rsidRPr="00CF68AD">
        <w:rPr>
          <w:rFonts w:ascii="Verdana" w:eastAsia="Calibri" w:hAnsi="Verdana" w:cs="Times New Roman"/>
          <w:sz w:val="20"/>
          <w:szCs w:val="20"/>
        </w:rPr>
        <w:t>.</w:t>
      </w:r>
      <w:r>
        <w:rPr>
          <w:rFonts w:ascii="Verdana" w:eastAsia="Calibri" w:hAnsi="Verdana" w:cs="Times New Roman"/>
          <w:sz w:val="20"/>
          <w:szCs w:val="20"/>
        </w:rPr>
        <w:t>7%</w:t>
      </w:r>
      <w:r w:rsidRPr="00CF68AD">
        <w:rPr>
          <w:rFonts w:ascii="Verdana" w:eastAsia="Calibri" w:hAnsi="Verdana" w:cs="Times New Roman"/>
          <w:sz w:val="20"/>
          <w:szCs w:val="20"/>
        </w:rPr>
        <w:t>,</w:t>
      </w:r>
      <w:r>
        <w:rPr>
          <w:rFonts w:ascii="Verdana" w:eastAsia="Calibri" w:hAnsi="Verdana" w:cs="Times New Roman"/>
          <w:sz w:val="20"/>
          <w:szCs w:val="20"/>
        </w:rPr>
        <w:t xml:space="preserve"> докато 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цените на техническите култури </w:t>
      </w:r>
      <w:r>
        <w:rPr>
          <w:rFonts w:ascii="Verdana" w:eastAsia="Calibri" w:hAnsi="Verdana" w:cs="Times New Roman"/>
          <w:sz w:val="20"/>
          <w:szCs w:val="20"/>
        </w:rPr>
        <w:t>се увеличават с 31</w:t>
      </w:r>
      <w:r w:rsidRPr="00CF68AD">
        <w:rPr>
          <w:rFonts w:ascii="Verdana" w:eastAsia="Calibri" w:hAnsi="Verdana" w:cs="Times New Roman"/>
          <w:sz w:val="20"/>
          <w:szCs w:val="20"/>
        </w:rPr>
        <w:t>.</w:t>
      </w:r>
      <w:r>
        <w:rPr>
          <w:rFonts w:ascii="Verdana" w:eastAsia="Calibri" w:hAnsi="Verdana" w:cs="Times New Roman"/>
          <w:sz w:val="20"/>
          <w:szCs w:val="20"/>
          <w:lang w:val="en-US"/>
        </w:rPr>
        <w:t>3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%, в резултат </w:t>
      </w:r>
      <w:r>
        <w:rPr>
          <w:rFonts w:ascii="Verdana" w:eastAsia="Calibri" w:hAnsi="Verdana" w:cs="Times New Roman"/>
          <w:sz w:val="20"/>
          <w:szCs w:val="20"/>
        </w:rPr>
        <w:t>от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 </w:t>
      </w:r>
      <w:r>
        <w:rPr>
          <w:rFonts w:ascii="Verdana" w:eastAsia="Calibri" w:hAnsi="Verdana" w:cs="Times New Roman"/>
          <w:sz w:val="20"/>
          <w:szCs w:val="20"/>
        </w:rPr>
        <w:t xml:space="preserve">увеличението на цената 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на слънчогледа </w:t>
      </w:r>
      <w:r>
        <w:rPr>
          <w:rFonts w:ascii="Verdana" w:eastAsia="Calibri" w:hAnsi="Verdana" w:cs="Times New Roman"/>
          <w:sz w:val="20"/>
          <w:szCs w:val="20"/>
        </w:rPr>
        <w:t>с 34</w:t>
      </w:r>
      <w:r w:rsidRPr="00CF68AD">
        <w:rPr>
          <w:rFonts w:ascii="Verdana" w:eastAsia="Calibri" w:hAnsi="Verdana" w:cs="Times New Roman"/>
          <w:sz w:val="20"/>
          <w:szCs w:val="20"/>
        </w:rPr>
        <w:t>.</w:t>
      </w:r>
      <w:r>
        <w:rPr>
          <w:rFonts w:ascii="Verdana" w:eastAsia="Calibri" w:hAnsi="Verdana" w:cs="Times New Roman"/>
          <w:sz w:val="20"/>
          <w:szCs w:val="20"/>
          <w:lang w:val="en-US"/>
        </w:rPr>
        <w:t>1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%. </w:t>
      </w:r>
    </w:p>
    <w:p w14:paraId="6ABA5B46" w14:textId="77777777" w:rsidR="00870A93" w:rsidRDefault="00870A93" w:rsidP="00870A93">
      <w:pPr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В сравнение с 2023 г.</w:t>
      </w:r>
      <w:r>
        <w:rPr>
          <w:rFonts w:ascii="Verdana" w:eastAsia="Calibri" w:hAnsi="Verdana" w:cs="Times New Roman"/>
          <w:sz w:val="20"/>
          <w:szCs w:val="20"/>
          <w:lang w:val="en-US"/>
        </w:rPr>
        <w:t xml:space="preserve"> (</w:t>
      </w:r>
      <w:r>
        <w:rPr>
          <w:rFonts w:ascii="Verdana" w:eastAsia="Calibri" w:hAnsi="Verdana" w:cs="Times New Roman"/>
          <w:sz w:val="20"/>
          <w:szCs w:val="20"/>
        </w:rPr>
        <w:t>на годишна база</w:t>
      </w:r>
      <w:r>
        <w:rPr>
          <w:rFonts w:ascii="Verdana" w:eastAsia="Calibri" w:hAnsi="Verdana" w:cs="Times New Roman"/>
          <w:sz w:val="20"/>
          <w:szCs w:val="20"/>
          <w:lang w:val="en-US"/>
        </w:rPr>
        <w:t>)</w:t>
      </w:r>
      <w:r>
        <w:rPr>
          <w:rFonts w:ascii="Verdana" w:eastAsia="Calibri" w:hAnsi="Verdana" w:cs="Times New Roman"/>
          <w:sz w:val="20"/>
          <w:szCs w:val="20"/>
        </w:rPr>
        <w:t xml:space="preserve"> </w:t>
      </w:r>
      <w:r w:rsidRPr="003A3D5A">
        <w:rPr>
          <w:rFonts w:ascii="Verdana" w:eastAsia="Calibri" w:hAnsi="Verdana" w:cs="Times New Roman"/>
          <w:sz w:val="20"/>
          <w:szCs w:val="20"/>
        </w:rPr>
        <w:t xml:space="preserve">по-ниски са цените на зърнените </w:t>
      </w:r>
      <w:r>
        <w:rPr>
          <w:rFonts w:ascii="Verdana" w:eastAsia="Calibri" w:hAnsi="Verdana" w:cs="Times New Roman"/>
          <w:sz w:val="20"/>
          <w:szCs w:val="20"/>
        </w:rPr>
        <w:t>култури - с 8</w:t>
      </w:r>
      <w:r w:rsidRPr="002C5EC8">
        <w:rPr>
          <w:rFonts w:ascii="Verdana" w:eastAsia="Calibri" w:hAnsi="Verdana" w:cs="Times New Roman"/>
          <w:sz w:val="20"/>
          <w:szCs w:val="20"/>
        </w:rPr>
        <w:t>.</w:t>
      </w:r>
      <w:r>
        <w:rPr>
          <w:rFonts w:ascii="Verdana" w:eastAsia="Calibri" w:hAnsi="Verdana" w:cs="Times New Roman"/>
          <w:sz w:val="20"/>
          <w:szCs w:val="20"/>
        </w:rPr>
        <w:t>3</w:t>
      </w:r>
      <w:r w:rsidRPr="002C5EC8">
        <w:rPr>
          <w:rFonts w:ascii="Verdana" w:eastAsia="Calibri" w:hAnsi="Verdana" w:cs="Times New Roman"/>
          <w:sz w:val="20"/>
          <w:szCs w:val="20"/>
        </w:rPr>
        <w:t xml:space="preserve">%, </w:t>
      </w:r>
      <w:r w:rsidRPr="003A3D5A">
        <w:rPr>
          <w:rFonts w:ascii="Verdana" w:eastAsia="Calibri" w:hAnsi="Verdana" w:cs="Times New Roman"/>
          <w:sz w:val="20"/>
          <w:szCs w:val="20"/>
        </w:rPr>
        <w:t xml:space="preserve">в резултат </w:t>
      </w:r>
      <w:r>
        <w:rPr>
          <w:rFonts w:ascii="Verdana" w:eastAsia="Calibri" w:hAnsi="Verdana" w:cs="Times New Roman"/>
          <w:sz w:val="20"/>
          <w:szCs w:val="20"/>
        </w:rPr>
        <w:t>от</w:t>
      </w:r>
      <w:r w:rsidRPr="003A3D5A">
        <w:rPr>
          <w:rFonts w:ascii="Verdana" w:eastAsia="Calibri" w:hAnsi="Verdana" w:cs="Times New Roman"/>
          <w:sz w:val="20"/>
          <w:szCs w:val="20"/>
        </w:rPr>
        <w:t xml:space="preserve"> спада на</w:t>
      </w:r>
      <w:r w:rsidR="001F201A">
        <w:rPr>
          <w:rFonts w:ascii="Verdana" w:eastAsia="Calibri" w:hAnsi="Verdana" w:cs="Times New Roman"/>
          <w:sz w:val="20"/>
          <w:szCs w:val="20"/>
        </w:rPr>
        <w:t xml:space="preserve"> цената</w:t>
      </w:r>
      <w:r>
        <w:rPr>
          <w:rFonts w:ascii="Verdana" w:eastAsia="Calibri" w:hAnsi="Verdana" w:cs="Times New Roman"/>
          <w:sz w:val="20"/>
          <w:szCs w:val="20"/>
        </w:rPr>
        <w:t xml:space="preserve"> на меката пшеница с 5.</w:t>
      </w:r>
      <w:r>
        <w:rPr>
          <w:rFonts w:ascii="Verdana" w:eastAsia="Calibri" w:hAnsi="Verdana" w:cs="Times New Roman"/>
          <w:sz w:val="20"/>
          <w:szCs w:val="20"/>
          <w:lang w:val="en-US"/>
        </w:rPr>
        <w:t>2</w:t>
      </w:r>
      <w:r w:rsidRPr="003A3D5A">
        <w:rPr>
          <w:rFonts w:ascii="Verdana" w:eastAsia="Calibri" w:hAnsi="Verdana" w:cs="Times New Roman"/>
          <w:sz w:val="20"/>
          <w:szCs w:val="20"/>
        </w:rPr>
        <w:t xml:space="preserve">%. </w:t>
      </w:r>
      <w:r w:rsidRPr="00E87C15">
        <w:rPr>
          <w:rFonts w:ascii="Verdana" w:eastAsia="Calibri" w:hAnsi="Verdana" w:cs="Times New Roman"/>
          <w:sz w:val="20"/>
          <w:szCs w:val="20"/>
        </w:rPr>
        <w:t xml:space="preserve">При техническите култури е регистрирано увеличение с </w:t>
      </w:r>
      <w:r>
        <w:rPr>
          <w:rFonts w:ascii="Verdana" w:eastAsia="Calibri" w:hAnsi="Verdana" w:cs="Times New Roman"/>
          <w:sz w:val="20"/>
          <w:szCs w:val="20"/>
        </w:rPr>
        <w:t>20</w:t>
      </w:r>
      <w:r w:rsidRPr="00E87C15">
        <w:rPr>
          <w:rFonts w:ascii="Verdana" w:eastAsia="Calibri" w:hAnsi="Verdana" w:cs="Times New Roman"/>
          <w:sz w:val="20"/>
          <w:szCs w:val="20"/>
        </w:rPr>
        <w:t>.</w:t>
      </w:r>
      <w:r>
        <w:rPr>
          <w:rFonts w:ascii="Verdana" w:eastAsia="Calibri" w:hAnsi="Verdana" w:cs="Times New Roman"/>
          <w:sz w:val="20"/>
          <w:szCs w:val="20"/>
          <w:lang w:val="en-US"/>
        </w:rPr>
        <w:t>9</w:t>
      </w:r>
      <w:r w:rsidRPr="00E87C15">
        <w:rPr>
          <w:rFonts w:ascii="Verdana" w:eastAsia="Calibri" w:hAnsi="Verdana" w:cs="Times New Roman"/>
          <w:sz w:val="20"/>
          <w:szCs w:val="20"/>
        </w:rPr>
        <w:t>%, в ре</w:t>
      </w:r>
      <w:r w:rsidR="001F201A">
        <w:rPr>
          <w:rFonts w:ascii="Verdana" w:eastAsia="Calibri" w:hAnsi="Verdana" w:cs="Times New Roman"/>
          <w:sz w:val="20"/>
          <w:szCs w:val="20"/>
        </w:rPr>
        <w:t>зултат от увеличението на цената</w:t>
      </w:r>
      <w:r w:rsidRPr="00E87C15">
        <w:rPr>
          <w:rFonts w:ascii="Verdana" w:eastAsia="Calibri" w:hAnsi="Verdana" w:cs="Times New Roman"/>
          <w:sz w:val="20"/>
          <w:szCs w:val="20"/>
        </w:rPr>
        <w:t xml:space="preserve"> на </w:t>
      </w:r>
      <w:r>
        <w:rPr>
          <w:rFonts w:ascii="Verdana" w:eastAsia="Calibri" w:hAnsi="Verdana" w:cs="Times New Roman"/>
          <w:sz w:val="20"/>
          <w:szCs w:val="20"/>
        </w:rPr>
        <w:t>маслодайния слънчоглед - с 2</w:t>
      </w:r>
      <w:r w:rsidRPr="00E87C15">
        <w:rPr>
          <w:rFonts w:ascii="Verdana" w:eastAsia="Calibri" w:hAnsi="Verdana" w:cs="Times New Roman"/>
          <w:sz w:val="20"/>
          <w:szCs w:val="20"/>
        </w:rPr>
        <w:t>2.</w:t>
      </w:r>
      <w:r>
        <w:rPr>
          <w:rFonts w:ascii="Verdana" w:eastAsia="Calibri" w:hAnsi="Verdana" w:cs="Times New Roman"/>
          <w:sz w:val="20"/>
          <w:szCs w:val="20"/>
        </w:rPr>
        <w:t>2</w:t>
      </w:r>
      <w:r w:rsidR="006C119C">
        <w:rPr>
          <w:rFonts w:ascii="Verdana" w:eastAsia="Calibri" w:hAnsi="Verdana" w:cs="Times New Roman"/>
          <w:sz w:val="20"/>
          <w:szCs w:val="20"/>
        </w:rPr>
        <w:t>%</w:t>
      </w:r>
      <w:r w:rsidRPr="00E87C15">
        <w:rPr>
          <w:rFonts w:ascii="Verdana" w:eastAsia="Calibri" w:hAnsi="Verdana" w:cs="Times New Roman"/>
          <w:sz w:val="20"/>
          <w:szCs w:val="20"/>
        </w:rPr>
        <w:t xml:space="preserve">. Цените </w:t>
      </w:r>
      <w:r w:rsidRPr="003A3D5A">
        <w:rPr>
          <w:rFonts w:ascii="Verdana" w:eastAsia="Calibri" w:hAnsi="Verdana" w:cs="Times New Roman"/>
          <w:sz w:val="20"/>
          <w:szCs w:val="20"/>
        </w:rPr>
        <w:t>на преснит</w:t>
      </w:r>
      <w:r>
        <w:rPr>
          <w:rFonts w:ascii="Verdana" w:eastAsia="Calibri" w:hAnsi="Verdana" w:cs="Times New Roman"/>
          <w:sz w:val="20"/>
          <w:szCs w:val="20"/>
        </w:rPr>
        <w:t>е зеленчуци отбелязват ръст от 3</w:t>
      </w:r>
      <w:r w:rsidRPr="003A3D5A">
        <w:rPr>
          <w:rFonts w:ascii="Verdana" w:eastAsia="Calibri" w:hAnsi="Verdana" w:cs="Times New Roman"/>
          <w:sz w:val="20"/>
          <w:szCs w:val="20"/>
        </w:rPr>
        <w:t>.</w:t>
      </w:r>
      <w:r>
        <w:rPr>
          <w:rFonts w:ascii="Verdana" w:eastAsia="Calibri" w:hAnsi="Verdana" w:cs="Times New Roman"/>
          <w:sz w:val="20"/>
          <w:szCs w:val="20"/>
        </w:rPr>
        <w:t>7</w:t>
      </w:r>
      <w:r w:rsidRPr="003A3D5A">
        <w:rPr>
          <w:rFonts w:ascii="Verdana" w:eastAsia="Calibri" w:hAnsi="Verdana" w:cs="Times New Roman"/>
          <w:sz w:val="20"/>
          <w:szCs w:val="20"/>
        </w:rPr>
        <w:t>%, докато цените на пре</w:t>
      </w:r>
      <w:r>
        <w:rPr>
          <w:rFonts w:ascii="Verdana" w:eastAsia="Calibri" w:hAnsi="Verdana" w:cs="Times New Roman"/>
          <w:sz w:val="20"/>
          <w:szCs w:val="20"/>
        </w:rPr>
        <w:t>сните плодове се понижават с 0</w:t>
      </w:r>
      <w:r w:rsidRPr="003A3D5A">
        <w:rPr>
          <w:rFonts w:ascii="Verdana" w:eastAsia="Calibri" w:hAnsi="Verdana" w:cs="Times New Roman"/>
          <w:sz w:val="20"/>
          <w:szCs w:val="20"/>
        </w:rPr>
        <w:t>.</w:t>
      </w:r>
      <w:r>
        <w:rPr>
          <w:rFonts w:ascii="Verdana" w:eastAsia="Calibri" w:hAnsi="Verdana" w:cs="Times New Roman"/>
          <w:sz w:val="20"/>
          <w:szCs w:val="20"/>
        </w:rPr>
        <w:t>4</w:t>
      </w:r>
      <w:r w:rsidRPr="003A3D5A">
        <w:rPr>
          <w:rFonts w:ascii="Verdana" w:eastAsia="Calibri" w:hAnsi="Verdana" w:cs="Times New Roman"/>
          <w:sz w:val="20"/>
          <w:szCs w:val="20"/>
        </w:rPr>
        <w:t>%.</w:t>
      </w:r>
    </w:p>
    <w:p w14:paraId="0A4C7ABA" w14:textId="51B41520" w:rsidR="00870A93" w:rsidRPr="00C53BE1" w:rsidRDefault="00870A93" w:rsidP="00870A93">
      <w:pPr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  <w:lang w:val="en-US"/>
        </w:rPr>
      </w:pPr>
      <w:r>
        <w:rPr>
          <w:rFonts w:ascii="Verdana" w:eastAsia="Calibri" w:hAnsi="Verdana" w:cs="Times New Roman"/>
          <w:sz w:val="20"/>
          <w:szCs w:val="20"/>
        </w:rPr>
        <w:t>Ц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ените на живите животни </w:t>
      </w:r>
      <w:r>
        <w:rPr>
          <w:rFonts w:ascii="Verdana" w:eastAsia="Calibri" w:hAnsi="Verdana" w:cs="Times New Roman"/>
          <w:sz w:val="20"/>
          <w:szCs w:val="20"/>
        </w:rPr>
        <w:t>намаляват с 2</w:t>
      </w:r>
      <w:r w:rsidRPr="00CF68AD">
        <w:rPr>
          <w:rFonts w:ascii="Verdana" w:eastAsia="Calibri" w:hAnsi="Verdana" w:cs="Times New Roman"/>
          <w:sz w:val="20"/>
          <w:szCs w:val="20"/>
        </w:rPr>
        <w:t>.</w:t>
      </w:r>
      <w:r>
        <w:rPr>
          <w:rFonts w:ascii="Verdana" w:eastAsia="Calibri" w:hAnsi="Verdana" w:cs="Times New Roman"/>
          <w:sz w:val="20"/>
          <w:szCs w:val="20"/>
        </w:rPr>
        <w:t>5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% </w:t>
      </w:r>
      <w:r>
        <w:rPr>
          <w:rFonts w:ascii="Verdana" w:eastAsia="Calibri" w:hAnsi="Verdana" w:cs="Times New Roman"/>
          <w:sz w:val="20"/>
          <w:szCs w:val="20"/>
        </w:rPr>
        <w:t>с</w:t>
      </w:r>
      <w:r w:rsidRPr="00CF68AD">
        <w:rPr>
          <w:rFonts w:ascii="Verdana" w:eastAsia="Calibri" w:hAnsi="Verdana" w:cs="Times New Roman"/>
          <w:sz w:val="20"/>
          <w:szCs w:val="20"/>
        </w:rPr>
        <w:t>прямо същото тримесечие на 2023</w:t>
      </w:r>
      <w:r w:rsidR="00FF00C2">
        <w:rPr>
          <w:rFonts w:ascii="Verdana" w:eastAsia="Calibri" w:hAnsi="Verdana" w:cs="Times New Roman"/>
          <w:sz w:val="20"/>
          <w:szCs w:val="20"/>
        </w:rPr>
        <w:t> </w:t>
      </w:r>
      <w:r w:rsidRPr="00CF68AD">
        <w:rPr>
          <w:rFonts w:ascii="Verdana" w:eastAsia="Calibri" w:hAnsi="Verdana" w:cs="Times New Roman"/>
          <w:sz w:val="20"/>
          <w:szCs w:val="20"/>
        </w:rPr>
        <w:t>г.</w:t>
      </w:r>
      <w:r>
        <w:rPr>
          <w:rFonts w:ascii="Verdana" w:eastAsia="Calibri" w:hAnsi="Verdana" w:cs="Times New Roman"/>
          <w:sz w:val="20"/>
          <w:szCs w:val="20"/>
        </w:rPr>
        <w:t xml:space="preserve">, 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в резултат на </w:t>
      </w:r>
      <w:r>
        <w:rPr>
          <w:rFonts w:ascii="Verdana" w:eastAsia="Calibri" w:hAnsi="Verdana" w:cs="Times New Roman"/>
          <w:sz w:val="20"/>
          <w:szCs w:val="20"/>
        </w:rPr>
        <w:t>намалението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 на цените на </w:t>
      </w:r>
      <w:r>
        <w:rPr>
          <w:rFonts w:ascii="Verdana" w:eastAsia="Calibri" w:hAnsi="Verdana" w:cs="Times New Roman"/>
          <w:sz w:val="20"/>
          <w:szCs w:val="20"/>
        </w:rPr>
        <w:t>свинете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 с </w:t>
      </w:r>
      <w:r>
        <w:rPr>
          <w:rFonts w:ascii="Verdana" w:eastAsia="Calibri" w:hAnsi="Verdana" w:cs="Times New Roman"/>
          <w:sz w:val="20"/>
          <w:szCs w:val="20"/>
        </w:rPr>
        <w:t>5</w:t>
      </w:r>
      <w:r w:rsidRPr="00CF68AD">
        <w:rPr>
          <w:rFonts w:ascii="Verdana" w:eastAsia="Calibri" w:hAnsi="Verdana" w:cs="Times New Roman"/>
          <w:sz w:val="20"/>
          <w:szCs w:val="20"/>
        </w:rPr>
        <w:t>.</w:t>
      </w:r>
      <w:r>
        <w:rPr>
          <w:rFonts w:ascii="Verdana" w:eastAsia="Calibri" w:hAnsi="Verdana" w:cs="Times New Roman"/>
          <w:sz w:val="20"/>
          <w:szCs w:val="20"/>
        </w:rPr>
        <w:t>7% и на бройлерите с 9.7</w:t>
      </w:r>
      <w:r w:rsidRPr="00CF68AD">
        <w:rPr>
          <w:rFonts w:ascii="Verdana" w:eastAsia="Calibri" w:hAnsi="Verdana" w:cs="Times New Roman"/>
          <w:sz w:val="20"/>
          <w:szCs w:val="20"/>
        </w:rPr>
        <w:t>%. При продуктите от животновъдството е регист</w:t>
      </w:r>
      <w:r>
        <w:rPr>
          <w:rFonts w:ascii="Verdana" w:eastAsia="Calibri" w:hAnsi="Verdana" w:cs="Times New Roman"/>
          <w:sz w:val="20"/>
          <w:szCs w:val="20"/>
        </w:rPr>
        <w:t>рирано увеличение на цените с 5</w:t>
      </w:r>
      <w:r w:rsidRPr="00CF68AD">
        <w:rPr>
          <w:rFonts w:ascii="Verdana" w:eastAsia="Calibri" w:hAnsi="Verdana" w:cs="Times New Roman"/>
          <w:sz w:val="20"/>
          <w:szCs w:val="20"/>
        </w:rPr>
        <w:t>.</w:t>
      </w:r>
      <w:r>
        <w:rPr>
          <w:rFonts w:ascii="Verdana" w:eastAsia="Calibri" w:hAnsi="Verdana" w:cs="Times New Roman"/>
          <w:sz w:val="20"/>
          <w:szCs w:val="20"/>
        </w:rPr>
        <w:t>7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%, което е в резултат на </w:t>
      </w:r>
      <w:r>
        <w:rPr>
          <w:rFonts w:ascii="Verdana" w:eastAsia="Calibri" w:hAnsi="Verdana" w:cs="Times New Roman"/>
          <w:sz w:val="20"/>
          <w:szCs w:val="20"/>
        </w:rPr>
        <w:t>увеличението</w:t>
      </w:r>
      <w:r w:rsidR="001F201A">
        <w:rPr>
          <w:rFonts w:ascii="Verdana" w:eastAsia="Calibri" w:hAnsi="Verdana" w:cs="Times New Roman"/>
          <w:sz w:val="20"/>
          <w:szCs w:val="20"/>
        </w:rPr>
        <w:t xml:space="preserve"> на цен</w:t>
      </w:r>
      <w:r w:rsidR="00127576">
        <w:rPr>
          <w:rFonts w:ascii="Verdana" w:eastAsia="Calibri" w:hAnsi="Verdana" w:cs="Times New Roman"/>
          <w:sz w:val="20"/>
          <w:szCs w:val="20"/>
        </w:rPr>
        <w:t>ата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 на </w:t>
      </w:r>
      <w:r>
        <w:rPr>
          <w:rFonts w:ascii="Verdana" w:eastAsia="Calibri" w:hAnsi="Verdana" w:cs="Times New Roman"/>
          <w:sz w:val="20"/>
          <w:szCs w:val="20"/>
        </w:rPr>
        <w:t>кравето мляко с 14</w:t>
      </w:r>
      <w:r w:rsidRPr="00CF68AD">
        <w:rPr>
          <w:rFonts w:ascii="Verdana" w:eastAsia="Calibri" w:hAnsi="Verdana" w:cs="Times New Roman"/>
          <w:sz w:val="20"/>
          <w:szCs w:val="20"/>
        </w:rPr>
        <w:t>.</w:t>
      </w:r>
      <w:r>
        <w:rPr>
          <w:rFonts w:ascii="Verdana" w:eastAsia="Calibri" w:hAnsi="Verdana" w:cs="Times New Roman"/>
          <w:sz w:val="20"/>
          <w:szCs w:val="20"/>
        </w:rPr>
        <w:t>2</w:t>
      </w:r>
      <w:r w:rsidRPr="00CF68AD">
        <w:rPr>
          <w:rFonts w:ascii="Verdana" w:eastAsia="Calibri" w:hAnsi="Verdana" w:cs="Times New Roman"/>
          <w:sz w:val="20"/>
          <w:szCs w:val="20"/>
        </w:rPr>
        <w:t>%</w:t>
      </w:r>
      <w:r>
        <w:rPr>
          <w:rFonts w:ascii="Verdana" w:eastAsia="Calibri" w:hAnsi="Verdana" w:cs="Times New Roman"/>
          <w:sz w:val="20"/>
          <w:szCs w:val="20"/>
          <w:lang w:val="en-US"/>
        </w:rPr>
        <w:t>.</w:t>
      </w:r>
    </w:p>
    <w:p w14:paraId="330CF36F" w14:textId="049B560E" w:rsidR="00870A93" w:rsidRPr="00CF68AD" w:rsidRDefault="00870A93" w:rsidP="00870A93">
      <w:pPr>
        <w:spacing w:line="360" w:lineRule="auto"/>
        <w:ind w:firstLine="567"/>
        <w:jc w:val="both"/>
        <w:rPr>
          <w:rFonts w:eastAsia="Calibri" w:cs="Times New Roman"/>
          <w:lang w:val="en-US"/>
        </w:rPr>
      </w:pPr>
      <w:r w:rsidRPr="00CF68AD">
        <w:rPr>
          <w:rFonts w:ascii="Verdana" w:eastAsia="Calibri" w:hAnsi="Verdana" w:cs="Times New Roman"/>
          <w:sz w:val="20"/>
          <w:szCs w:val="20"/>
        </w:rPr>
        <w:t xml:space="preserve">В животновъдството през </w:t>
      </w:r>
      <w:r w:rsidR="00A52BAB">
        <w:rPr>
          <w:rFonts w:ascii="Verdana" w:eastAsia="Calibri" w:hAnsi="Verdana" w:cs="Times New Roman"/>
          <w:sz w:val="20"/>
          <w:szCs w:val="20"/>
        </w:rPr>
        <w:t>четвъртото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 тримесечие на 2024 г. спрямо 2023 г.</w:t>
      </w:r>
      <w:r>
        <w:rPr>
          <w:rFonts w:ascii="Verdana" w:eastAsia="Calibri" w:hAnsi="Verdana" w:cs="Times New Roman"/>
          <w:sz w:val="20"/>
          <w:szCs w:val="20"/>
        </w:rPr>
        <w:t xml:space="preserve"> </w:t>
      </w:r>
      <w:r>
        <w:rPr>
          <w:rFonts w:ascii="Verdana" w:eastAsia="Calibri" w:hAnsi="Verdana" w:cs="Times New Roman"/>
          <w:sz w:val="20"/>
          <w:szCs w:val="20"/>
          <w:lang w:val="en-US"/>
        </w:rPr>
        <w:t>(</w:t>
      </w:r>
      <w:r>
        <w:rPr>
          <w:rFonts w:ascii="Verdana" w:eastAsia="Calibri" w:hAnsi="Verdana" w:cs="Times New Roman"/>
          <w:sz w:val="20"/>
          <w:szCs w:val="20"/>
        </w:rPr>
        <w:t>на годишна база</w:t>
      </w:r>
      <w:r>
        <w:rPr>
          <w:rFonts w:ascii="Verdana" w:eastAsia="Calibri" w:hAnsi="Verdana" w:cs="Times New Roman"/>
          <w:sz w:val="20"/>
          <w:szCs w:val="20"/>
          <w:lang w:val="en-US"/>
        </w:rPr>
        <w:t>)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 цените на</w:t>
      </w:r>
      <w:r>
        <w:rPr>
          <w:rFonts w:ascii="Verdana" w:eastAsia="Calibri" w:hAnsi="Verdana" w:cs="Times New Roman"/>
          <w:sz w:val="20"/>
          <w:szCs w:val="20"/>
        </w:rPr>
        <w:t xml:space="preserve"> живите животни се понижават с 4</w:t>
      </w:r>
      <w:r>
        <w:rPr>
          <w:rFonts w:ascii="Verdana" w:eastAsia="Calibri" w:hAnsi="Verdana" w:cs="Times New Roman"/>
          <w:sz w:val="20"/>
          <w:szCs w:val="20"/>
          <w:lang w:val="en-US"/>
        </w:rPr>
        <w:t>.</w:t>
      </w:r>
      <w:r>
        <w:rPr>
          <w:rFonts w:ascii="Verdana" w:eastAsia="Calibri" w:hAnsi="Verdana" w:cs="Times New Roman"/>
          <w:sz w:val="20"/>
          <w:szCs w:val="20"/>
        </w:rPr>
        <w:t>3</w:t>
      </w:r>
      <w:r w:rsidRPr="00CF68AD">
        <w:rPr>
          <w:rFonts w:ascii="Verdana" w:eastAsia="Calibri" w:hAnsi="Verdana" w:cs="Times New Roman"/>
          <w:sz w:val="20"/>
          <w:szCs w:val="20"/>
        </w:rPr>
        <w:t>%, в резултат от нама</w:t>
      </w:r>
      <w:r>
        <w:rPr>
          <w:rFonts w:ascii="Verdana" w:eastAsia="Calibri" w:hAnsi="Verdana" w:cs="Times New Roman"/>
          <w:sz w:val="20"/>
          <w:szCs w:val="20"/>
        </w:rPr>
        <w:t xml:space="preserve">лението на цените на свинете </w:t>
      </w:r>
      <w:r w:rsidR="00B969FF">
        <w:rPr>
          <w:rFonts w:ascii="Verdana" w:eastAsia="Calibri" w:hAnsi="Verdana" w:cs="Times New Roman"/>
          <w:sz w:val="20"/>
          <w:szCs w:val="20"/>
        </w:rPr>
        <w:t>със</w:t>
      </w:r>
      <w:r>
        <w:rPr>
          <w:rFonts w:ascii="Verdana" w:eastAsia="Calibri" w:hAnsi="Verdana" w:cs="Times New Roman"/>
          <w:sz w:val="20"/>
          <w:szCs w:val="20"/>
        </w:rPr>
        <w:t xml:space="preserve"> 7</w:t>
      </w:r>
      <w:r w:rsidRPr="00CF68AD">
        <w:rPr>
          <w:rFonts w:ascii="Verdana" w:eastAsia="Calibri" w:hAnsi="Verdana" w:cs="Times New Roman"/>
          <w:sz w:val="20"/>
          <w:szCs w:val="20"/>
        </w:rPr>
        <w:t>.</w:t>
      </w:r>
      <w:r>
        <w:rPr>
          <w:rFonts w:ascii="Verdana" w:eastAsia="Calibri" w:hAnsi="Verdana" w:cs="Times New Roman"/>
          <w:sz w:val="20"/>
          <w:szCs w:val="20"/>
        </w:rPr>
        <w:t>8</w:t>
      </w:r>
      <w:r w:rsidRPr="00CF68AD">
        <w:rPr>
          <w:rFonts w:ascii="Verdana" w:eastAsia="Calibri" w:hAnsi="Verdana" w:cs="Times New Roman"/>
          <w:sz w:val="20"/>
          <w:szCs w:val="20"/>
        </w:rPr>
        <w:t>%</w:t>
      </w:r>
      <w:r>
        <w:rPr>
          <w:rFonts w:ascii="Verdana" w:eastAsia="Calibri" w:hAnsi="Verdana" w:cs="Times New Roman"/>
          <w:sz w:val="20"/>
          <w:szCs w:val="20"/>
        </w:rPr>
        <w:t xml:space="preserve"> и на птиците с 11.0%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. Цените на продуктите от животновъдство </w:t>
      </w:r>
      <w:r>
        <w:rPr>
          <w:rFonts w:ascii="Verdana" w:eastAsia="Calibri" w:hAnsi="Verdana" w:cs="Times New Roman"/>
          <w:sz w:val="20"/>
          <w:szCs w:val="20"/>
        </w:rPr>
        <w:t>се повишават с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 </w:t>
      </w:r>
      <w:r>
        <w:rPr>
          <w:rFonts w:ascii="Verdana" w:eastAsia="Calibri" w:hAnsi="Verdana" w:cs="Times New Roman"/>
          <w:sz w:val="20"/>
          <w:szCs w:val="20"/>
        </w:rPr>
        <w:t>4</w:t>
      </w:r>
      <w:r w:rsidRPr="00CF68AD">
        <w:rPr>
          <w:rFonts w:ascii="Verdana" w:eastAsia="Calibri" w:hAnsi="Verdana" w:cs="Times New Roman"/>
          <w:sz w:val="20"/>
          <w:szCs w:val="20"/>
        </w:rPr>
        <w:t>.</w:t>
      </w:r>
      <w:r>
        <w:rPr>
          <w:rFonts w:ascii="Verdana" w:eastAsia="Calibri" w:hAnsi="Verdana" w:cs="Times New Roman"/>
          <w:sz w:val="20"/>
          <w:szCs w:val="20"/>
        </w:rPr>
        <w:t>7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%, </w:t>
      </w:r>
      <w:r>
        <w:rPr>
          <w:rFonts w:ascii="Verdana" w:eastAsia="Calibri" w:hAnsi="Verdana" w:cs="Times New Roman"/>
          <w:sz w:val="20"/>
          <w:szCs w:val="20"/>
        </w:rPr>
        <w:t xml:space="preserve">като най-голямо </w:t>
      </w:r>
      <w:r w:rsidR="00127576">
        <w:rPr>
          <w:rFonts w:ascii="Verdana" w:eastAsia="Calibri" w:hAnsi="Verdana" w:cs="Times New Roman"/>
          <w:sz w:val="20"/>
          <w:szCs w:val="20"/>
        </w:rPr>
        <w:t>увеличение е отчетено при цената</w:t>
      </w:r>
      <w:r>
        <w:rPr>
          <w:rFonts w:ascii="Verdana" w:eastAsia="Calibri" w:hAnsi="Verdana" w:cs="Times New Roman"/>
          <w:sz w:val="20"/>
          <w:szCs w:val="20"/>
        </w:rPr>
        <w:t xml:space="preserve"> на кравето мляко - с 13.3%</w:t>
      </w:r>
      <w:r w:rsidR="003B647A">
        <w:rPr>
          <w:rFonts w:ascii="Verdana" w:eastAsia="Calibri" w:hAnsi="Verdana" w:cs="Times New Roman"/>
          <w:sz w:val="20"/>
          <w:szCs w:val="20"/>
        </w:rPr>
        <w:t>,</w:t>
      </w:r>
      <w:r>
        <w:rPr>
          <w:rFonts w:ascii="Verdana" w:eastAsia="Calibri" w:hAnsi="Verdana" w:cs="Times New Roman"/>
          <w:sz w:val="20"/>
          <w:szCs w:val="20"/>
        </w:rPr>
        <w:t xml:space="preserve"> и при кокошите яйца за разплод </w:t>
      </w:r>
      <w:r w:rsidR="003B647A">
        <w:rPr>
          <w:rFonts w:ascii="Verdana" w:eastAsia="Calibri" w:hAnsi="Verdana" w:cs="Times New Roman"/>
          <w:sz w:val="20"/>
          <w:szCs w:val="20"/>
        </w:rPr>
        <w:t>-</w:t>
      </w:r>
      <w:r>
        <w:rPr>
          <w:rFonts w:ascii="Verdana" w:eastAsia="Calibri" w:hAnsi="Verdana" w:cs="Times New Roman"/>
          <w:sz w:val="20"/>
          <w:szCs w:val="20"/>
        </w:rPr>
        <w:t xml:space="preserve"> с 16.6%. При кокошите яйца за консумация се наблюдава намаление на цената с 8.2%.</w:t>
      </w:r>
    </w:p>
    <w:p w14:paraId="12E3B634" w14:textId="77777777" w:rsidR="00870A93" w:rsidRDefault="00870A93" w:rsidP="00870A93">
      <w:pPr>
        <w:rPr>
          <w:rFonts w:eastAsia="Calibri" w:cs="Times New Roman"/>
        </w:rPr>
      </w:pPr>
      <w:r>
        <w:rPr>
          <w:rFonts w:eastAsia="Calibri" w:cs="Times New Roman"/>
        </w:rPr>
        <w:br w:type="page"/>
      </w:r>
    </w:p>
    <w:p w14:paraId="3A7F3BC4" w14:textId="77777777" w:rsidR="00870A93" w:rsidRPr="00CF68AD" w:rsidRDefault="00870A93" w:rsidP="00723040">
      <w:pPr>
        <w:spacing w:before="160" w:after="160" w:line="360" w:lineRule="auto"/>
        <w:contextualSpacing/>
        <w:jc w:val="center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</w:rPr>
        <w:lastRenderedPageBreak/>
        <w:t>Таблица 1</w:t>
      </w:r>
      <w:r w:rsidRPr="00CF68AD">
        <w:rPr>
          <w:rFonts w:ascii="Verdana" w:eastAsia="Calibri" w:hAnsi="Verdana" w:cs="Times New Roman"/>
          <w:b/>
          <w:sz w:val="20"/>
          <w:szCs w:val="20"/>
        </w:rPr>
        <w:t>. Индекси на цените на производител в селското стопанство за</w:t>
      </w:r>
      <w:r>
        <w:rPr>
          <w:rFonts w:ascii="Verdana" w:eastAsia="Calibri" w:hAnsi="Verdana" w:cs="Times New Roman"/>
          <w:b/>
          <w:sz w:val="20"/>
          <w:szCs w:val="20"/>
        </w:rPr>
        <w:t xml:space="preserve"> четвъртото</w:t>
      </w:r>
      <w:r w:rsidRPr="00CF68AD">
        <w:rPr>
          <w:rFonts w:ascii="Verdana" w:eastAsia="Calibri" w:hAnsi="Verdana" w:cs="Times New Roman"/>
          <w:b/>
          <w:sz w:val="20"/>
          <w:szCs w:val="20"/>
        </w:rPr>
        <w:t xml:space="preserve"> тримесечие на 2024 година</w:t>
      </w:r>
    </w:p>
    <w:p w14:paraId="3E24A858" w14:textId="77777777" w:rsidR="00870A93" w:rsidRPr="00CF68AD" w:rsidRDefault="00870A93" w:rsidP="00870A93">
      <w:pPr>
        <w:spacing w:before="360"/>
        <w:ind w:left="-567" w:right="140" w:firstLine="567"/>
        <w:jc w:val="right"/>
        <w:rPr>
          <w:rFonts w:ascii="Verdana" w:eastAsia="Calibri" w:hAnsi="Verdana" w:cs="Times New Roman"/>
          <w:b/>
        </w:rPr>
      </w:pPr>
      <w:r>
        <w:rPr>
          <w:rFonts w:ascii="Verdana" w:eastAsia="Calibri" w:hAnsi="Verdana" w:cs="Times New Roman"/>
          <w:sz w:val="20"/>
          <w:szCs w:val="22"/>
        </w:rPr>
        <w:t>(</w:t>
      </w:r>
      <w:r w:rsidRPr="00963454">
        <w:rPr>
          <w:rFonts w:ascii="Verdana" w:eastAsia="Calibri" w:hAnsi="Verdana" w:cs="Times New Roman"/>
          <w:sz w:val="16"/>
          <w:szCs w:val="16"/>
        </w:rPr>
        <w:t>Проценти</w:t>
      </w:r>
      <w:r>
        <w:rPr>
          <w:rFonts w:ascii="Verdana" w:eastAsia="Calibri" w:hAnsi="Verdana" w:cs="Times New Roman"/>
          <w:sz w:val="20"/>
          <w:szCs w:val="22"/>
        </w:rPr>
        <w:t>)</w:t>
      </w:r>
    </w:p>
    <w:tbl>
      <w:tblPr>
        <w:tblStyle w:val="TableGrid"/>
        <w:tblW w:w="8965" w:type="dxa"/>
        <w:tblLook w:val="04A0" w:firstRow="1" w:lastRow="0" w:firstColumn="1" w:lastColumn="0" w:noHBand="0" w:noVBand="1"/>
      </w:tblPr>
      <w:tblGrid>
        <w:gridCol w:w="4025"/>
        <w:gridCol w:w="1501"/>
        <w:gridCol w:w="1879"/>
        <w:gridCol w:w="1560"/>
      </w:tblGrid>
      <w:tr w:rsidR="00870A93" w:rsidRPr="00CF68AD" w14:paraId="74C6B246" w14:textId="77777777" w:rsidTr="00144F2A">
        <w:trPr>
          <w:trHeight w:val="780"/>
        </w:trPr>
        <w:tc>
          <w:tcPr>
            <w:tcW w:w="4025" w:type="dxa"/>
            <w:hideMark/>
          </w:tcPr>
          <w:p w14:paraId="1F5AFF27" w14:textId="66BF3BCA" w:rsidR="00870A93" w:rsidRPr="00723040" w:rsidRDefault="006B1397" w:rsidP="00723040">
            <w:pPr>
              <w:spacing w:before="160"/>
              <w:jc w:val="both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bg-BG"/>
              </w:rPr>
            </w:pPr>
            <w:r w:rsidRPr="00723040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bg-BG"/>
              </w:rPr>
              <w:t>Показатели</w:t>
            </w:r>
          </w:p>
        </w:tc>
        <w:tc>
          <w:tcPr>
            <w:tcW w:w="1501" w:type="dxa"/>
            <w:hideMark/>
          </w:tcPr>
          <w:p w14:paraId="00FB4414" w14:textId="77777777" w:rsidR="00870A93" w:rsidRPr="006365DD" w:rsidRDefault="00870A93" w:rsidP="004C5D68">
            <w:pPr>
              <w:spacing w:before="160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6365D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2020 = 100</w:t>
            </w:r>
          </w:p>
        </w:tc>
        <w:tc>
          <w:tcPr>
            <w:tcW w:w="1879" w:type="dxa"/>
            <w:hideMark/>
          </w:tcPr>
          <w:p w14:paraId="426F5CA0" w14:textId="77777777" w:rsidR="00870A93" w:rsidRPr="006365DD" w:rsidRDefault="00870A93" w:rsidP="004C5D68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6365D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Съответното тримесечие на 202</w:t>
            </w:r>
            <w:r w:rsidRPr="006365D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3</w:t>
            </w:r>
            <w:r w:rsidRPr="006365D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 = 100</w:t>
            </w:r>
          </w:p>
        </w:tc>
        <w:tc>
          <w:tcPr>
            <w:tcW w:w="1560" w:type="dxa"/>
            <w:hideMark/>
          </w:tcPr>
          <w:p w14:paraId="45414A28" w14:textId="77777777" w:rsidR="00870A93" w:rsidRPr="006365DD" w:rsidRDefault="00870A93" w:rsidP="004C5D68">
            <w:pPr>
              <w:spacing w:before="160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6365D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2023 = 100</w:t>
            </w:r>
          </w:p>
        </w:tc>
      </w:tr>
      <w:tr w:rsidR="00870A93" w:rsidRPr="00CF68AD" w14:paraId="313AA977" w14:textId="77777777" w:rsidTr="00144F2A">
        <w:trPr>
          <w:trHeight w:val="402"/>
        </w:trPr>
        <w:tc>
          <w:tcPr>
            <w:tcW w:w="4025" w:type="dxa"/>
            <w:hideMark/>
          </w:tcPr>
          <w:p w14:paraId="05B22E28" w14:textId="77777777" w:rsidR="00870A93" w:rsidRPr="006365DD" w:rsidRDefault="00870A93" w:rsidP="004C5D68">
            <w:pPr>
              <w:spacing w:before="1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6365D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Общо</w:t>
            </w:r>
          </w:p>
        </w:tc>
        <w:tc>
          <w:tcPr>
            <w:tcW w:w="1501" w:type="dxa"/>
            <w:noWrap/>
            <w:hideMark/>
          </w:tcPr>
          <w:p w14:paraId="1FA1586D" w14:textId="77777777" w:rsidR="00870A93" w:rsidRPr="00FD2461" w:rsidRDefault="00870A93" w:rsidP="004C5D68">
            <w:pPr>
              <w:spacing w:before="160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131</w:t>
            </w:r>
            <w:r w:rsidRPr="006365D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.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9</w:t>
            </w:r>
          </w:p>
        </w:tc>
        <w:tc>
          <w:tcPr>
            <w:tcW w:w="1879" w:type="dxa"/>
            <w:noWrap/>
            <w:hideMark/>
          </w:tcPr>
          <w:p w14:paraId="0BCA014D" w14:textId="77777777" w:rsidR="00870A93" w:rsidRPr="00FD2461" w:rsidRDefault="00870A93" w:rsidP="004C5D68">
            <w:pPr>
              <w:spacing w:before="160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108</w:t>
            </w:r>
            <w:r w:rsidRPr="006365D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.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6</w:t>
            </w:r>
          </w:p>
        </w:tc>
        <w:tc>
          <w:tcPr>
            <w:tcW w:w="1560" w:type="dxa"/>
            <w:noWrap/>
            <w:hideMark/>
          </w:tcPr>
          <w:p w14:paraId="5FA0A72F" w14:textId="77777777" w:rsidR="00870A93" w:rsidRPr="00FD2461" w:rsidRDefault="00870A93" w:rsidP="004C5D68">
            <w:pPr>
              <w:spacing w:before="160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103</w:t>
            </w:r>
            <w:r w:rsidRPr="006365D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.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1</w:t>
            </w:r>
          </w:p>
        </w:tc>
      </w:tr>
      <w:tr w:rsidR="00870A93" w:rsidRPr="00CF68AD" w14:paraId="1D8627BC" w14:textId="77777777" w:rsidTr="00144F2A">
        <w:trPr>
          <w:trHeight w:val="402"/>
        </w:trPr>
        <w:tc>
          <w:tcPr>
            <w:tcW w:w="4025" w:type="dxa"/>
            <w:hideMark/>
          </w:tcPr>
          <w:p w14:paraId="32840995" w14:textId="77777777" w:rsidR="00870A93" w:rsidRPr="006365DD" w:rsidRDefault="00870A93" w:rsidP="004C5D68">
            <w:pPr>
              <w:spacing w:before="16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365D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растениевъдство</w:t>
            </w:r>
          </w:p>
        </w:tc>
        <w:tc>
          <w:tcPr>
            <w:tcW w:w="1501" w:type="dxa"/>
            <w:hideMark/>
          </w:tcPr>
          <w:p w14:paraId="0E705A52" w14:textId="77777777" w:rsidR="00870A93" w:rsidRPr="00981B3D" w:rsidRDefault="00870A93" w:rsidP="004C5D68">
            <w:pPr>
              <w:spacing w:before="160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365D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bg-BG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29</w:t>
            </w:r>
            <w:r w:rsidRPr="006365D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bg-BG"/>
              </w:rPr>
              <w:t>.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3</w:t>
            </w:r>
          </w:p>
        </w:tc>
        <w:tc>
          <w:tcPr>
            <w:tcW w:w="1879" w:type="dxa"/>
            <w:hideMark/>
          </w:tcPr>
          <w:p w14:paraId="0745B051" w14:textId="77777777" w:rsidR="00870A93" w:rsidRPr="00981B3D" w:rsidRDefault="00870A93" w:rsidP="004C5D68">
            <w:pPr>
              <w:spacing w:before="160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111</w:t>
            </w:r>
            <w:r w:rsidRPr="006365D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bg-BG"/>
              </w:rPr>
              <w:t>.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1560" w:type="dxa"/>
            <w:hideMark/>
          </w:tcPr>
          <w:p w14:paraId="1789D391" w14:textId="77777777" w:rsidR="00870A93" w:rsidRPr="00981B3D" w:rsidRDefault="00870A93" w:rsidP="004C5D68">
            <w:pPr>
              <w:spacing w:before="160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104</w:t>
            </w:r>
            <w:r w:rsidRPr="006365D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bg-BG"/>
              </w:rPr>
              <w:t>.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5</w:t>
            </w:r>
          </w:p>
        </w:tc>
      </w:tr>
      <w:tr w:rsidR="00870A93" w:rsidRPr="00CF68AD" w14:paraId="1498FEE9" w14:textId="77777777" w:rsidTr="00144F2A">
        <w:trPr>
          <w:trHeight w:val="402"/>
        </w:trPr>
        <w:tc>
          <w:tcPr>
            <w:tcW w:w="4025" w:type="dxa"/>
            <w:hideMark/>
          </w:tcPr>
          <w:p w14:paraId="3EAF2AC4" w14:textId="77777777" w:rsidR="00870A93" w:rsidRPr="006365DD" w:rsidRDefault="00870A93" w:rsidP="004C5D68">
            <w:pPr>
              <w:spacing w:before="16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365D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животновъдство</w:t>
            </w:r>
          </w:p>
        </w:tc>
        <w:tc>
          <w:tcPr>
            <w:tcW w:w="1501" w:type="dxa"/>
            <w:hideMark/>
          </w:tcPr>
          <w:p w14:paraId="61088861" w14:textId="77777777" w:rsidR="00870A93" w:rsidRPr="006365DD" w:rsidRDefault="00870A93" w:rsidP="004C5D68">
            <w:pPr>
              <w:spacing w:before="160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142</w:t>
            </w:r>
            <w:r w:rsidRPr="006365D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.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9</w:t>
            </w:r>
          </w:p>
        </w:tc>
        <w:tc>
          <w:tcPr>
            <w:tcW w:w="1879" w:type="dxa"/>
            <w:hideMark/>
          </w:tcPr>
          <w:p w14:paraId="1F64CFA6" w14:textId="77777777" w:rsidR="00870A93" w:rsidRPr="006365DD" w:rsidRDefault="00870A93" w:rsidP="004C5D68">
            <w:pPr>
              <w:spacing w:before="160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100</w:t>
            </w:r>
            <w:r w:rsidRPr="006365D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.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9</w:t>
            </w:r>
          </w:p>
        </w:tc>
        <w:tc>
          <w:tcPr>
            <w:tcW w:w="1560" w:type="dxa"/>
            <w:hideMark/>
          </w:tcPr>
          <w:p w14:paraId="797EE80C" w14:textId="77777777" w:rsidR="00870A93" w:rsidRPr="006365DD" w:rsidRDefault="00870A93" w:rsidP="004C5D68">
            <w:pPr>
              <w:spacing w:before="160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6365D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9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9.4</w:t>
            </w:r>
          </w:p>
        </w:tc>
      </w:tr>
    </w:tbl>
    <w:p w14:paraId="4C77EF82" w14:textId="77777777" w:rsidR="00870A93" w:rsidRPr="00CF68AD" w:rsidRDefault="00870A93" w:rsidP="00723040">
      <w:pPr>
        <w:spacing w:before="240" w:after="160" w:line="36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CF68AD">
        <w:rPr>
          <w:rFonts w:ascii="Verdana" w:eastAsia="Calibri" w:hAnsi="Verdana" w:cs="Times New Roman"/>
          <w:b/>
          <w:sz w:val="20"/>
          <w:szCs w:val="20"/>
        </w:rPr>
        <w:t>Фиг. 1. Индекси на цените на производител в селското стопанство по тримесечия</w:t>
      </w:r>
      <w:r>
        <w:rPr>
          <w:rFonts w:ascii="Verdana" w:eastAsia="Calibri" w:hAnsi="Verdana" w:cs="Times New Roman"/>
          <w:b/>
          <w:sz w:val="20"/>
          <w:szCs w:val="20"/>
        </w:rPr>
        <w:t xml:space="preserve"> </w:t>
      </w:r>
      <w:r w:rsidRPr="00CF68AD">
        <w:rPr>
          <w:rFonts w:ascii="Verdana" w:eastAsia="Calibri" w:hAnsi="Verdana" w:cs="Times New Roman"/>
          <w:b/>
          <w:sz w:val="20"/>
          <w:szCs w:val="20"/>
        </w:rPr>
        <w:t>(2020 = 100)</w:t>
      </w:r>
    </w:p>
    <w:p w14:paraId="302C3747" w14:textId="77777777" w:rsidR="00870A93" w:rsidRDefault="00350F0B" w:rsidP="006D2AB3">
      <w:pPr>
        <w:spacing w:after="200" w:line="276" w:lineRule="auto"/>
        <w:ind w:left="709" w:right="-143" w:hanging="709"/>
        <w:rPr>
          <w:rFonts w:eastAsia="Μοντέρνα" w:cs="Times New Roman"/>
          <w:noProof/>
          <w:szCs w:val="20"/>
          <w:lang w:val="en-US" w:eastAsia="bg-BG"/>
        </w:rPr>
      </w:pPr>
      <w:r>
        <w:rPr>
          <w:noProof/>
          <w:lang w:eastAsia="bg-BG"/>
        </w:rPr>
        <w:drawing>
          <wp:inline distT="0" distB="0" distL="0" distR="0" wp14:anchorId="4371CA3B" wp14:editId="7F6819A3">
            <wp:extent cx="5781675" cy="284353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B516B99" w14:textId="77777777" w:rsidR="004441B0" w:rsidRPr="004441B0" w:rsidRDefault="004441B0" w:rsidP="004441B0">
      <w:pPr>
        <w:spacing w:before="160" w:after="160" w:line="360" w:lineRule="auto"/>
        <w:ind w:firstLine="567"/>
        <w:jc w:val="both"/>
        <w:rPr>
          <w:rFonts w:ascii="Verdana" w:eastAsia="Calibri" w:hAnsi="Verdana" w:cs="Times New Roman"/>
          <w:b/>
          <w:sz w:val="20"/>
          <w:szCs w:val="20"/>
        </w:rPr>
      </w:pPr>
      <w:r w:rsidRPr="004441B0">
        <w:rPr>
          <w:rFonts w:ascii="Verdana" w:eastAsia="Calibri" w:hAnsi="Verdana" w:cs="Times New Roman"/>
          <w:b/>
          <w:sz w:val="20"/>
          <w:szCs w:val="20"/>
        </w:rPr>
        <w:t>Индекси на цените на продуктите и услугите за текущо потребление в селското стопанство</w:t>
      </w:r>
    </w:p>
    <w:p w14:paraId="6D998706" w14:textId="77777777" w:rsidR="004441B0" w:rsidRPr="004441B0" w:rsidRDefault="004441B0" w:rsidP="004441B0">
      <w:pPr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4441B0">
        <w:rPr>
          <w:rFonts w:ascii="Verdana" w:eastAsia="Calibri" w:hAnsi="Verdana" w:cs="Times New Roman"/>
          <w:b/>
          <w:sz w:val="20"/>
          <w:szCs w:val="20"/>
        </w:rPr>
        <w:t>Индексът на цените на продуктите и услугите за текущо потребление в селското стопанство</w:t>
      </w:r>
      <w:r w:rsidRPr="004441B0">
        <w:rPr>
          <w:rFonts w:ascii="Verdana" w:eastAsia="Calibri" w:hAnsi="Verdana" w:cs="Times New Roman"/>
          <w:sz w:val="20"/>
          <w:szCs w:val="20"/>
        </w:rPr>
        <w:t xml:space="preserve"> за четвъртото тримесечие на 2024 г. е по-нисък с 2.2% спрямо същото тримесечие на предходната година и намалява с 5</w:t>
      </w:r>
      <w:r w:rsidR="00AE3A21">
        <w:rPr>
          <w:rFonts w:ascii="Verdana" w:eastAsia="Calibri" w:hAnsi="Verdana" w:cs="Times New Roman"/>
          <w:sz w:val="20"/>
          <w:szCs w:val="20"/>
          <w:lang w:val="en-US"/>
        </w:rPr>
        <w:t>.0</w:t>
      </w:r>
      <w:r w:rsidRPr="004441B0">
        <w:rPr>
          <w:rFonts w:ascii="Verdana" w:eastAsia="Calibri" w:hAnsi="Verdana" w:cs="Times New Roman"/>
          <w:sz w:val="20"/>
          <w:szCs w:val="20"/>
        </w:rPr>
        <w:t>% спрямо 2023 година</w:t>
      </w:r>
      <w:r w:rsidRPr="004441B0">
        <w:rPr>
          <w:rFonts w:ascii="Verdana" w:eastAsia="Calibri" w:hAnsi="Verdana" w:cs="Times New Roman"/>
          <w:sz w:val="20"/>
          <w:szCs w:val="20"/>
          <w:lang w:val="en-US"/>
        </w:rPr>
        <w:t xml:space="preserve"> (</w:t>
      </w:r>
      <w:r w:rsidRPr="004441B0">
        <w:rPr>
          <w:rFonts w:ascii="Verdana" w:eastAsia="Calibri" w:hAnsi="Verdana" w:cs="Times New Roman"/>
          <w:sz w:val="20"/>
          <w:szCs w:val="20"/>
        </w:rPr>
        <w:t>на годишна база</w:t>
      </w:r>
      <w:r w:rsidRPr="004441B0">
        <w:rPr>
          <w:rFonts w:ascii="Verdana" w:eastAsia="Calibri" w:hAnsi="Verdana" w:cs="Times New Roman"/>
          <w:sz w:val="20"/>
          <w:szCs w:val="20"/>
          <w:lang w:val="en-US"/>
        </w:rPr>
        <w:t>)</w:t>
      </w:r>
      <w:r w:rsidRPr="004441B0">
        <w:rPr>
          <w:rFonts w:ascii="Verdana" w:eastAsia="Calibri" w:hAnsi="Verdana" w:cs="Times New Roman"/>
          <w:sz w:val="20"/>
          <w:szCs w:val="20"/>
        </w:rPr>
        <w:t>.</w:t>
      </w:r>
    </w:p>
    <w:p w14:paraId="35DDE518" w14:textId="77777777" w:rsidR="004441B0" w:rsidRPr="004441B0" w:rsidRDefault="004441B0" w:rsidP="004441B0">
      <w:pPr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4441B0">
        <w:rPr>
          <w:rFonts w:ascii="Verdana" w:eastAsia="Calibri" w:hAnsi="Verdana" w:cs="Times New Roman"/>
          <w:sz w:val="20"/>
          <w:szCs w:val="20"/>
        </w:rPr>
        <w:t>Спрямо съответното тримесечие на 2023 г. е отчетено повишение в цените на: посевния и посадъчния материал - с 4.9%, продуктите за растителна защита - с 15.6%</w:t>
      </w:r>
      <w:r w:rsidR="003B647A">
        <w:rPr>
          <w:rFonts w:ascii="Verdana" w:eastAsia="Calibri" w:hAnsi="Verdana" w:cs="Times New Roman"/>
          <w:sz w:val="20"/>
          <w:szCs w:val="20"/>
        </w:rPr>
        <w:t>,</w:t>
      </w:r>
      <w:r w:rsidRPr="004441B0">
        <w:rPr>
          <w:rFonts w:ascii="Verdana" w:eastAsia="Calibri" w:hAnsi="Verdana" w:cs="Times New Roman"/>
          <w:sz w:val="20"/>
          <w:szCs w:val="20"/>
        </w:rPr>
        <w:t xml:space="preserve"> и ветеринарномедицинските продукти - с 5.9%. Намаляват цените на: електроенергията и горивата - с 8</w:t>
      </w:r>
      <w:r w:rsidR="00AE3A21">
        <w:rPr>
          <w:rFonts w:ascii="Verdana" w:eastAsia="Calibri" w:hAnsi="Verdana" w:cs="Times New Roman"/>
          <w:sz w:val="20"/>
          <w:szCs w:val="20"/>
          <w:lang w:val="en-US"/>
        </w:rPr>
        <w:t>.0</w:t>
      </w:r>
      <w:r w:rsidRPr="004441B0">
        <w:rPr>
          <w:rFonts w:ascii="Verdana" w:eastAsia="Calibri" w:hAnsi="Verdana" w:cs="Times New Roman"/>
          <w:sz w:val="20"/>
          <w:szCs w:val="20"/>
        </w:rPr>
        <w:t xml:space="preserve">%, минералните торове - с 6.7%, и фуражите - с 2.3%. </w:t>
      </w:r>
    </w:p>
    <w:p w14:paraId="1CAAA38F" w14:textId="17D3F1B7" w:rsidR="004441B0" w:rsidRPr="004441B0" w:rsidRDefault="004441B0" w:rsidP="004441B0">
      <w:pPr>
        <w:spacing w:line="360" w:lineRule="auto"/>
        <w:ind w:firstLine="567"/>
        <w:jc w:val="both"/>
        <w:rPr>
          <w:rFonts w:eastAsia="Calibri" w:cs="Times New Roman"/>
          <w:b/>
        </w:rPr>
      </w:pPr>
      <w:r w:rsidRPr="004441B0">
        <w:rPr>
          <w:rFonts w:ascii="Verdana" w:eastAsia="Calibri" w:hAnsi="Verdana" w:cs="Times New Roman"/>
          <w:sz w:val="20"/>
          <w:szCs w:val="20"/>
        </w:rPr>
        <w:lastRenderedPageBreak/>
        <w:t xml:space="preserve">В сравнение с 2023 г. </w:t>
      </w:r>
      <w:r w:rsidRPr="004441B0">
        <w:rPr>
          <w:rFonts w:ascii="Verdana" w:eastAsia="Calibri" w:hAnsi="Verdana" w:cs="Times New Roman"/>
          <w:sz w:val="20"/>
          <w:szCs w:val="20"/>
          <w:lang w:val="en-US"/>
        </w:rPr>
        <w:t>(</w:t>
      </w:r>
      <w:r w:rsidRPr="004441B0">
        <w:rPr>
          <w:rFonts w:ascii="Verdana" w:eastAsia="Calibri" w:hAnsi="Verdana" w:cs="Times New Roman"/>
          <w:sz w:val="20"/>
          <w:szCs w:val="20"/>
        </w:rPr>
        <w:t>на годишна база</w:t>
      </w:r>
      <w:r w:rsidRPr="004441B0">
        <w:rPr>
          <w:rFonts w:ascii="Verdana" w:eastAsia="Calibri" w:hAnsi="Verdana" w:cs="Times New Roman"/>
          <w:sz w:val="20"/>
          <w:szCs w:val="20"/>
          <w:lang w:val="en-US"/>
        </w:rPr>
        <w:t>)</w:t>
      </w:r>
      <w:r w:rsidRPr="004441B0">
        <w:rPr>
          <w:rFonts w:ascii="Verdana" w:eastAsia="Calibri" w:hAnsi="Verdana" w:cs="Times New Roman"/>
          <w:sz w:val="20"/>
          <w:szCs w:val="20"/>
        </w:rPr>
        <w:t xml:space="preserve"> е отчетено повишение в цените на: посевния и посадъчния материал - с</w:t>
      </w:r>
      <w:r w:rsidR="003B647A">
        <w:rPr>
          <w:rFonts w:ascii="Verdana" w:eastAsia="Calibri" w:hAnsi="Verdana" w:cs="Times New Roman"/>
          <w:sz w:val="20"/>
          <w:szCs w:val="20"/>
        </w:rPr>
        <w:t>ъс</w:t>
      </w:r>
      <w:r w:rsidRPr="004441B0">
        <w:rPr>
          <w:rFonts w:ascii="Verdana" w:eastAsia="Calibri" w:hAnsi="Verdana" w:cs="Times New Roman"/>
          <w:sz w:val="20"/>
          <w:szCs w:val="20"/>
        </w:rPr>
        <w:t xml:space="preserve"> 7.4%, продуктите за растителна защита - с</w:t>
      </w:r>
      <w:r w:rsidR="003B647A">
        <w:rPr>
          <w:rFonts w:ascii="Verdana" w:eastAsia="Calibri" w:hAnsi="Verdana" w:cs="Times New Roman"/>
          <w:sz w:val="20"/>
          <w:szCs w:val="20"/>
        </w:rPr>
        <w:t>ъс</w:t>
      </w:r>
      <w:r w:rsidRPr="004441B0">
        <w:rPr>
          <w:rFonts w:ascii="Verdana" w:eastAsia="Calibri" w:hAnsi="Verdana" w:cs="Times New Roman"/>
          <w:sz w:val="20"/>
          <w:szCs w:val="20"/>
        </w:rPr>
        <w:t xml:space="preserve"> 17.5%</w:t>
      </w:r>
      <w:r w:rsidR="003B647A">
        <w:rPr>
          <w:rFonts w:ascii="Verdana" w:eastAsia="Calibri" w:hAnsi="Verdana" w:cs="Times New Roman"/>
          <w:sz w:val="20"/>
          <w:szCs w:val="20"/>
        </w:rPr>
        <w:t>,</w:t>
      </w:r>
      <w:r w:rsidRPr="004441B0">
        <w:rPr>
          <w:rFonts w:ascii="Verdana" w:eastAsia="Calibri" w:hAnsi="Verdana" w:cs="Times New Roman"/>
          <w:sz w:val="20"/>
          <w:szCs w:val="20"/>
        </w:rPr>
        <w:t xml:space="preserve"> и ветеринарномедицинските продукти - с 9</w:t>
      </w:r>
      <w:r w:rsidR="00AE3A21">
        <w:rPr>
          <w:rFonts w:ascii="Verdana" w:eastAsia="Calibri" w:hAnsi="Verdana" w:cs="Times New Roman"/>
          <w:sz w:val="20"/>
          <w:szCs w:val="20"/>
          <w:lang w:val="en-US"/>
        </w:rPr>
        <w:t>.0</w:t>
      </w:r>
      <w:r w:rsidRPr="004441B0">
        <w:rPr>
          <w:rFonts w:ascii="Verdana" w:eastAsia="Calibri" w:hAnsi="Verdana" w:cs="Times New Roman"/>
          <w:sz w:val="20"/>
          <w:szCs w:val="20"/>
        </w:rPr>
        <w:t>%. Намаляват цен</w:t>
      </w:r>
      <w:r w:rsidR="00520C82">
        <w:rPr>
          <w:rFonts w:ascii="Verdana" w:eastAsia="Calibri" w:hAnsi="Verdana" w:cs="Times New Roman"/>
          <w:sz w:val="20"/>
          <w:szCs w:val="20"/>
        </w:rPr>
        <w:t>ите на: минералните торове - с</w:t>
      </w:r>
      <w:r w:rsidRPr="004441B0">
        <w:rPr>
          <w:rFonts w:ascii="Verdana" w:eastAsia="Calibri" w:hAnsi="Verdana" w:cs="Times New Roman"/>
          <w:sz w:val="20"/>
          <w:szCs w:val="20"/>
        </w:rPr>
        <w:t xml:space="preserve"> 21</w:t>
      </w:r>
      <w:r w:rsidR="001808C5">
        <w:rPr>
          <w:rFonts w:ascii="Verdana" w:eastAsia="Calibri" w:hAnsi="Verdana" w:cs="Times New Roman"/>
          <w:sz w:val="20"/>
          <w:szCs w:val="20"/>
          <w:lang w:val="en-US"/>
        </w:rPr>
        <w:t>.0</w:t>
      </w:r>
      <w:r w:rsidRPr="004441B0">
        <w:rPr>
          <w:rFonts w:ascii="Verdana" w:eastAsia="Calibri" w:hAnsi="Verdana" w:cs="Times New Roman"/>
          <w:sz w:val="20"/>
          <w:szCs w:val="20"/>
        </w:rPr>
        <w:t>%</w:t>
      </w:r>
      <w:r w:rsidR="001808C5">
        <w:rPr>
          <w:rFonts w:ascii="Verdana" w:eastAsia="Calibri" w:hAnsi="Verdana" w:cs="Times New Roman"/>
          <w:sz w:val="20"/>
          <w:szCs w:val="20"/>
        </w:rPr>
        <w:t>,</w:t>
      </w:r>
      <w:r w:rsidR="00520C82">
        <w:t xml:space="preserve"> </w:t>
      </w:r>
      <w:r w:rsidRPr="004441B0">
        <w:rPr>
          <w:rFonts w:ascii="Verdana" w:eastAsia="Calibri" w:hAnsi="Verdana" w:cs="Times New Roman"/>
          <w:sz w:val="20"/>
          <w:szCs w:val="20"/>
        </w:rPr>
        <w:t>фуражите - с 6.5%</w:t>
      </w:r>
      <w:r w:rsidR="003B647A">
        <w:rPr>
          <w:rFonts w:ascii="Verdana" w:eastAsia="Calibri" w:hAnsi="Verdana" w:cs="Times New Roman"/>
          <w:sz w:val="20"/>
          <w:szCs w:val="20"/>
        </w:rPr>
        <w:t>,</w:t>
      </w:r>
      <w:r w:rsidR="00520C82">
        <w:rPr>
          <w:rFonts w:ascii="Verdana" w:eastAsia="Calibri" w:hAnsi="Verdana" w:cs="Times New Roman"/>
          <w:sz w:val="20"/>
          <w:szCs w:val="20"/>
          <w:lang w:val="en-US"/>
        </w:rPr>
        <w:t xml:space="preserve"> </w:t>
      </w:r>
      <w:r w:rsidR="00520C82">
        <w:rPr>
          <w:rFonts w:ascii="Verdana" w:eastAsia="Calibri" w:hAnsi="Verdana" w:cs="Times New Roman"/>
          <w:sz w:val="20"/>
          <w:szCs w:val="20"/>
        </w:rPr>
        <w:t>и</w:t>
      </w:r>
      <w:r w:rsidR="00520C82" w:rsidRPr="00520C82">
        <w:t xml:space="preserve"> </w:t>
      </w:r>
      <w:r w:rsidR="00520C82" w:rsidRPr="00520C82">
        <w:rPr>
          <w:rFonts w:ascii="Verdana" w:eastAsia="Calibri" w:hAnsi="Verdana" w:cs="Times New Roman"/>
          <w:sz w:val="20"/>
          <w:szCs w:val="20"/>
        </w:rPr>
        <w:t>електроенергията и горивата - с 5.0%</w:t>
      </w:r>
      <w:r w:rsidR="003B647A">
        <w:rPr>
          <w:rFonts w:ascii="Verdana" w:eastAsia="Calibri" w:hAnsi="Verdana" w:cs="Times New Roman"/>
          <w:sz w:val="20"/>
          <w:szCs w:val="20"/>
        </w:rPr>
        <w:t xml:space="preserve"> </w:t>
      </w:r>
      <w:r w:rsidRPr="004441B0">
        <w:rPr>
          <w:rFonts w:ascii="Verdana" w:eastAsia="Calibri" w:hAnsi="Verdana" w:cs="Times New Roman"/>
          <w:sz w:val="20"/>
          <w:szCs w:val="20"/>
        </w:rPr>
        <w:t>(виж табл. 2).</w:t>
      </w:r>
    </w:p>
    <w:p w14:paraId="5951769F" w14:textId="77777777" w:rsidR="004441B0" w:rsidRPr="004441B0" w:rsidRDefault="004441B0" w:rsidP="004441B0">
      <w:pPr>
        <w:spacing w:before="160" w:after="160" w:line="360" w:lineRule="auto"/>
        <w:jc w:val="center"/>
        <w:rPr>
          <w:rFonts w:eastAsia="Calibri" w:cs="Times New Roman"/>
          <w:b/>
        </w:rPr>
      </w:pPr>
      <w:r w:rsidRPr="004441B0">
        <w:rPr>
          <w:rFonts w:ascii="Verdana" w:eastAsia="Calibri" w:hAnsi="Verdana" w:cs="Times New Roman"/>
          <w:b/>
          <w:sz w:val="20"/>
          <w:szCs w:val="20"/>
        </w:rPr>
        <w:t>Таблица</w:t>
      </w:r>
      <w:bookmarkStart w:id="0" w:name="_GoBack"/>
      <w:bookmarkEnd w:id="0"/>
      <w:r w:rsidRPr="004441B0">
        <w:rPr>
          <w:rFonts w:ascii="Verdana" w:eastAsia="Calibri" w:hAnsi="Verdana" w:cs="Times New Roman"/>
          <w:b/>
          <w:sz w:val="20"/>
          <w:szCs w:val="20"/>
        </w:rPr>
        <w:t xml:space="preserve"> 2. Индекси на цените на продуктите и услугите за текущо потребление в селското стопанство за третото тримесечие на 2024 година</w:t>
      </w:r>
    </w:p>
    <w:p w14:paraId="25408B27" w14:textId="77777777" w:rsidR="004441B0" w:rsidRPr="004441B0" w:rsidRDefault="004441B0" w:rsidP="004441B0">
      <w:pPr>
        <w:spacing w:line="276" w:lineRule="auto"/>
        <w:ind w:left="8080" w:right="-1" w:hanging="418"/>
        <w:jc w:val="right"/>
        <w:rPr>
          <w:rFonts w:ascii="Verdana" w:eastAsia="Calibri" w:hAnsi="Verdana" w:cs="Times New Roman"/>
          <w:sz w:val="20"/>
          <w:szCs w:val="22"/>
        </w:rPr>
      </w:pPr>
      <w:r w:rsidRPr="004441B0">
        <w:rPr>
          <w:rFonts w:ascii="Verdana" w:eastAsia="Calibri" w:hAnsi="Verdana" w:cs="Times New Roman"/>
          <w:sz w:val="16"/>
          <w:szCs w:val="16"/>
        </w:rPr>
        <w:t>(Проценти</w:t>
      </w:r>
      <w:r w:rsidRPr="004441B0">
        <w:rPr>
          <w:rFonts w:ascii="Verdana" w:eastAsia="Calibri" w:hAnsi="Verdana" w:cs="Times New Roman"/>
          <w:sz w:val="20"/>
          <w:szCs w:val="22"/>
        </w:rPr>
        <w:t>)</w:t>
      </w:r>
    </w:p>
    <w:tbl>
      <w:tblPr>
        <w:tblStyle w:val="TableGrid1"/>
        <w:tblW w:w="9095" w:type="dxa"/>
        <w:tblLook w:val="04A0" w:firstRow="1" w:lastRow="0" w:firstColumn="1" w:lastColumn="0" w:noHBand="0" w:noVBand="1"/>
      </w:tblPr>
      <w:tblGrid>
        <w:gridCol w:w="4384"/>
        <w:gridCol w:w="1451"/>
        <w:gridCol w:w="1810"/>
        <w:gridCol w:w="1450"/>
      </w:tblGrid>
      <w:tr w:rsidR="004441B0" w:rsidRPr="004441B0" w14:paraId="0AE8B924" w14:textId="77777777" w:rsidTr="00555934">
        <w:trPr>
          <w:trHeight w:val="780"/>
        </w:trPr>
        <w:tc>
          <w:tcPr>
            <w:tcW w:w="4384" w:type="dxa"/>
            <w:hideMark/>
          </w:tcPr>
          <w:p w14:paraId="38272565" w14:textId="17E3DD90" w:rsidR="004441B0" w:rsidRPr="004441B0" w:rsidRDefault="007E1E71" w:rsidP="007E1E71">
            <w:pPr>
              <w:spacing w:before="16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723040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bg-BG"/>
              </w:rPr>
              <w:t>Показатели</w:t>
            </w:r>
          </w:p>
        </w:tc>
        <w:tc>
          <w:tcPr>
            <w:tcW w:w="1451" w:type="dxa"/>
            <w:hideMark/>
          </w:tcPr>
          <w:p w14:paraId="50D25F71" w14:textId="77777777" w:rsidR="004441B0" w:rsidRPr="004441B0" w:rsidRDefault="004441B0" w:rsidP="004441B0">
            <w:pPr>
              <w:spacing w:before="160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4441B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2020 = 100</w:t>
            </w:r>
          </w:p>
        </w:tc>
        <w:tc>
          <w:tcPr>
            <w:tcW w:w="1810" w:type="dxa"/>
            <w:hideMark/>
          </w:tcPr>
          <w:p w14:paraId="31A46464" w14:textId="77777777" w:rsidR="004441B0" w:rsidRPr="004441B0" w:rsidRDefault="004441B0" w:rsidP="004441B0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4441B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Съответното тримесечие на 2023 = 100</w:t>
            </w:r>
          </w:p>
        </w:tc>
        <w:tc>
          <w:tcPr>
            <w:tcW w:w="1450" w:type="dxa"/>
            <w:hideMark/>
          </w:tcPr>
          <w:p w14:paraId="0AAC3137" w14:textId="77777777" w:rsidR="004441B0" w:rsidRPr="004441B0" w:rsidRDefault="004441B0" w:rsidP="004441B0">
            <w:pPr>
              <w:spacing w:before="160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4441B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2023 = 100</w:t>
            </w:r>
          </w:p>
        </w:tc>
      </w:tr>
      <w:tr w:rsidR="004441B0" w:rsidRPr="004441B0" w14:paraId="76DBA4F6" w14:textId="77777777" w:rsidTr="00555934">
        <w:trPr>
          <w:trHeight w:val="402"/>
        </w:trPr>
        <w:tc>
          <w:tcPr>
            <w:tcW w:w="4384" w:type="dxa"/>
            <w:hideMark/>
          </w:tcPr>
          <w:p w14:paraId="1D13495C" w14:textId="77777777" w:rsidR="004441B0" w:rsidRPr="004441B0" w:rsidRDefault="004441B0" w:rsidP="004441B0">
            <w:pPr>
              <w:spacing w:before="1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4441B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Общо</w:t>
            </w:r>
          </w:p>
        </w:tc>
        <w:tc>
          <w:tcPr>
            <w:tcW w:w="1451" w:type="dxa"/>
            <w:hideMark/>
          </w:tcPr>
          <w:p w14:paraId="07F21981" w14:textId="77777777" w:rsidR="004441B0" w:rsidRPr="004441B0" w:rsidRDefault="004441B0" w:rsidP="004441B0">
            <w:pPr>
              <w:spacing w:before="160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val="en-US" w:eastAsia="bg-BG"/>
              </w:rPr>
            </w:pPr>
            <w:r w:rsidRPr="004441B0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136.1</w:t>
            </w:r>
          </w:p>
        </w:tc>
        <w:tc>
          <w:tcPr>
            <w:tcW w:w="1810" w:type="dxa"/>
            <w:hideMark/>
          </w:tcPr>
          <w:p w14:paraId="6DC91D7D" w14:textId="77777777" w:rsidR="004441B0" w:rsidRPr="004441B0" w:rsidRDefault="004441B0" w:rsidP="004441B0">
            <w:pPr>
              <w:spacing w:before="160"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val="en-US" w:eastAsia="bg-BG"/>
              </w:rPr>
            </w:pPr>
            <w:r w:rsidRPr="004441B0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97.8</w:t>
            </w:r>
          </w:p>
        </w:tc>
        <w:tc>
          <w:tcPr>
            <w:tcW w:w="1450" w:type="dxa"/>
            <w:hideMark/>
          </w:tcPr>
          <w:p w14:paraId="577D2404" w14:textId="77777777" w:rsidR="004441B0" w:rsidRPr="004441B0" w:rsidRDefault="004441B0" w:rsidP="004441B0">
            <w:pPr>
              <w:spacing w:before="160"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val="en-US" w:eastAsia="bg-BG"/>
              </w:rPr>
            </w:pPr>
            <w:r w:rsidRPr="004441B0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95.0</w:t>
            </w:r>
          </w:p>
        </w:tc>
      </w:tr>
      <w:tr w:rsidR="004441B0" w:rsidRPr="004441B0" w14:paraId="22B568CC" w14:textId="77777777" w:rsidTr="00555934">
        <w:trPr>
          <w:trHeight w:val="402"/>
        </w:trPr>
        <w:tc>
          <w:tcPr>
            <w:tcW w:w="4384" w:type="dxa"/>
            <w:hideMark/>
          </w:tcPr>
          <w:p w14:paraId="635466B4" w14:textId="77777777" w:rsidR="004441B0" w:rsidRPr="004441B0" w:rsidRDefault="004441B0" w:rsidP="004441B0">
            <w:pPr>
              <w:spacing w:before="16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4441B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посевен и посадъчен материал</w:t>
            </w:r>
          </w:p>
        </w:tc>
        <w:tc>
          <w:tcPr>
            <w:tcW w:w="1451" w:type="dxa"/>
            <w:hideMark/>
          </w:tcPr>
          <w:p w14:paraId="37F4F29D" w14:textId="77777777" w:rsidR="004441B0" w:rsidRPr="004441B0" w:rsidRDefault="004441B0" w:rsidP="004441B0">
            <w:pPr>
              <w:spacing w:before="160"/>
              <w:jc w:val="right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441B0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146</w:t>
            </w:r>
            <w:r w:rsidRPr="004441B0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.</w:t>
            </w:r>
            <w:r w:rsidRPr="004441B0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1810" w:type="dxa"/>
            <w:hideMark/>
          </w:tcPr>
          <w:p w14:paraId="4B0C481A" w14:textId="77777777" w:rsidR="004441B0" w:rsidRPr="004441B0" w:rsidRDefault="004441B0" w:rsidP="004441B0">
            <w:pPr>
              <w:spacing w:before="160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</w:pPr>
            <w:r w:rsidRPr="004441B0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104.9</w:t>
            </w:r>
          </w:p>
        </w:tc>
        <w:tc>
          <w:tcPr>
            <w:tcW w:w="1450" w:type="dxa"/>
            <w:hideMark/>
          </w:tcPr>
          <w:p w14:paraId="3136E9D5" w14:textId="77777777" w:rsidR="004441B0" w:rsidRPr="004441B0" w:rsidRDefault="004441B0" w:rsidP="004441B0">
            <w:pPr>
              <w:spacing w:before="160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</w:pPr>
            <w:r w:rsidRPr="004441B0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107.4</w:t>
            </w:r>
          </w:p>
        </w:tc>
      </w:tr>
      <w:tr w:rsidR="004441B0" w:rsidRPr="004441B0" w14:paraId="43C973A0" w14:textId="77777777" w:rsidTr="00555934">
        <w:trPr>
          <w:trHeight w:val="402"/>
        </w:trPr>
        <w:tc>
          <w:tcPr>
            <w:tcW w:w="4384" w:type="dxa"/>
            <w:hideMark/>
          </w:tcPr>
          <w:p w14:paraId="24821A7A" w14:textId="77777777" w:rsidR="004441B0" w:rsidRPr="004441B0" w:rsidRDefault="004441B0" w:rsidP="004441B0">
            <w:pPr>
              <w:spacing w:before="16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4441B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електроенергия, горива и други</w:t>
            </w:r>
          </w:p>
        </w:tc>
        <w:tc>
          <w:tcPr>
            <w:tcW w:w="1451" w:type="dxa"/>
            <w:hideMark/>
          </w:tcPr>
          <w:p w14:paraId="2E3E6EEC" w14:textId="77777777" w:rsidR="004441B0" w:rsidRPr="004441B0" w:rsidRDefault="004441B0" w:rsidP="004441B0">
            <w:pPr>
              <w:spacing w:before="160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</w:pPr>
            <w:r w:rsidRPr="004441B0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131.6</w:t>
            </w:r>
          </w:p>
        </w:tc>
        <w:tc>
          <w:tcPr>
            <w:tcW w:w="1810" w:type="dxa"/>
            <w:hideMark/>
          </w:tcPr>
          <w:p w14:paraId="2C321AD8" w14:textId="77777777" w:rsidR="004441B0" w:rsidRPr="004441B0" w:rsidRDefault="004441B0" w:rsidP="004441B0">
            <w:pPr>
              <w:spacing w:before="160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</w:pPr>
            <w:r w:rsidRPr="004441B0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92.0</w:t>
            </w:r>
          </w:p>
        </w:tc>
        <w:tc>
          <w:tcPr>
            <w:tcW w:w="1450" w:type="dxa"/>
            <w:hideMark/>
          </w:tcPr>
          <w:p w14:paraId="193C9269" w14:textId="77777777" w:rsidR="004441B0" w:rsidRPr="004441B0" w:rsidRDefault="004441B0" w:rsidP="004441B0">
            <w:pPr>
              <w:spacing w:before="160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</w:pPr>
            <w:r w:rsidRPr="004441B0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95.0</w:t>
            </w:r>
          </w:p>
        </w:tc>
      </w:tr>
      <w:tr w:rsidR="004441B0" w:rsidRPr="004441B0" w14:paraId="7D4F68AF" w14:textId="77777777" w:rsidTr="00555934">
        <w:trPr>
          <w:trHeight w:val="402"/>
        </w:trPr>
        <w:tc>
          <w:tcPr>
            <w:tcW w:w="4384" w:type="dxa"/>
            <w:hideMark/>
          </w:tcPr>
          <w:p w14:paraId="2265A4C8" w14:textId="77777777" w:rsidR="004441B0" w:rsidRPr="004441B0" w:rsidRDefault="004441B0" w:rsidP="004441B0">
            <w:pPr>
              <w:spacing w:before="16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4441B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минерални торове</w:t>
            </w:r>
          </w:p>
        </w:tc>
        <w:tc>
          <w:tcPr>
            <w:tcW w:w="1451" w:type="dxa"/>
            <w:hideMark/>
          </w:tcPr>
          <w:p w14:paraId="306F5676" w14:textId="77777777" w:rsidR="004441B0" w:rsidRPr="004441B0" w:rsidRDefault="004441B0" w:rsidP="004441B0">
            <w:pPr>
              <w:spacing w:before="160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</w:pPr>
            <w:r w:rsidRPr="004441B0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146.8</w:t>
            </w:r>
          </w:p>
        </w:tc>
        <w:tc>
          <w:tcPr>
            <w:tcW w:w="1810" w:type="dxa"/>
            <w:hideMark/>
          </w:tcPr>
          <w:p w14:paraId="3A54C37C" w14:textId="77777777" w:rsidR="004441B0" w:rsidRPr="004441B0" w:rsidRDefault="004441B0" w:rsidP="004441B0">
            <w:pPr>
              <w:spacing w:before="160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</w:pPr>
            <w:r w:rsidRPr="004441B0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93.3</w:t>
            </w:r>
          </w:p>
        </w:tc>
        <w:tc>
          <w:tcPr>
            <w:tcW w:w="1450" w:type="dxa"/>
            <w:hideMark/>
          </w:tcPr>
          <w:p w14:paraId="60DC44FC" w14:textId="77777777" w:rsidR="004441B0" w:rsidRPr="004441B0" w:rsidRDefault="004441B0" w:rsidP="004441B0">
            <w:pPr>
              <w:spacing w:before="160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</w:pPr>
            <w:r w:rsidRPr="004441B0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79.0</w:t>
            </w:r>
          </w:p>
        </w:tc>
      </w:tr>
      <w:tr w:rsidR="004441B0" w:rsidRPr="004441B0" w14:paraId="0B6099D7" w14:textId="77777777" w:rsidTr="00555934">
        <w:trPr>
          <w:trHeight w:val="402"/>
        </w:trPr>
        <w:tc>
          <w:tcPr>
            <w:tcW w:w="4384" w:type="dxa"/>
            <w:hideMark/>
          </w:tcPr>
          <w:p w14:paraId="6A700C6A" w14:textId="77777777" w:rsidR="004441B0" w:rsidRPr="004441B0" w:rsidRDefault="004441B0" w:rsidP="004441B0">
            <w:pPr>
              <w:spacing w:before="16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4441B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продукти за растителна защита</w:t>
            </w:r>
          </w:p>
        </w:tc>
        <w:tc>
          <w:tcPr>
            <w:tcW w:w="1451" w:type="dxa"/>
            <w:hideMark/>
          </w:tcPr>
          <w:p w14:paraId="67992EAC" w14:textId="77777777" w:rsidR="004441B0" w:rsidRPr="004441B0" w:rsidRDefault="004441B0" w:rsidP="004441B0">
            <w:pPr>
              <w:spacing w:before="160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</w:pPr>
            <w:r w:rsidRPr="004441B0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124.9</w:t>
            </w:r>
          </w:p>
        </w:tc>
        <w:tc>
          <w:tcPr>
            <w:tcW w:w="1810" w:type="dxa"/>
            <w:hideMark/>
          </w:tcPr>
          <w:p w14:paraId="7AA07976" w14:textId="77777777" w:rsidR="004441B0" w:rsidRPr="004441B0" w:rsidRDefault="004441B0" w:rsidP="004441B0">
            <w:pPr>
              <w:spacing w:before="160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</w:pPr>
            <w:r w:rsidRPr="004441B0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115.6</w:t>
            </w:r>
          </w:p>
        </w:tc>
        <w:tc>
          <w:tcPr>
            <w:tcW w:w="1450" w:type="dxa"/>
            <w:hideMark/>
          </w:tcPr>
          <w:p w14:paraId="7960A32B" w14:textId="77777777" w:rsidR="004441B0" w:rsidRPr="004441B0" w:rsidRDefault="004441B0" w:rsidP="004441B0">
            <w:pPr>
              <w:spacing w:before="160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</w:pPr>
            <w:r w:rsidRPr="004441B0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117.5</w:t>
            </w:r>
          </w:p>
        </w:tc>
      </w:tr>
      <w:tr w:rsidR="004441B0" w:rsidRPr="004441B0" w14:paraId="2AF9C66D" w14:textId="77777777" w:rsidTr="00555934">
        <w:trPr>
          <w:trHeight w:val="402"/>
        </w:trPr>
        <w:tc>
          <w:tcPr>
            <w:tcW w:w="4384" w:type="dxa"/>
            <w:hideMark/>
          </w:tcPr>
          <w:p w14:paraId="13FA9244" w14:textId="77777777" w:rsidR="004441B0" w:rsidRPr="004441B0" w:rsidRDefault="004441B0" w:rsidP="004441B0">
            <w:pPr>
              <w:spacing w:before="16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4441B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ветеринарномедицински продукти</w:t>
            </w:r>
          </w:p>
        </w:tc>
        <w:tc>
          <w:tcPr>
            <w:tcW w:w="1451" w:type="dxa"/>
            <w:hideMark/>
          </w:tcPr>
          <w:p w14:paraId="0ECA0748" w14:textId="77777777" w:rsidR="004441B0" w:rsidRPr="004441B0" w:rsidRDefault="004441B0" w:rsidP="004441B0">
            <w:pPr>
              <w:spacing w:before="160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</w:pPr>
            <w:r w:rsidRPr="004441B0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</w:t>
            </w:r>
            <w:r w:rsidRPr="004441B0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30.0</w:t>
            </w:r>
          </w:p>
        </w:tc>
        <w:tc>
          <w:tcPr>
            <w:tcW w:w="1810" w:type="dxa"/>
            <w:hideMark/>
          </w:tcPr>
          <w:p w14:paraId="7786210E" w14:textId="77777777" w:rsidR="004441B0" w:rsidRPr="004441B0" w:rsidRDefault="004441B0" w:rsidP="004441B0">
            <w:pPr>
              <w:spacing w:before="160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</w:pPr>
            <w:r w:rsidRPr="004441B0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</w:t>
            </w:r>
            <w:r w:rsidRPr="004441B0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05.9</w:t>
            </w:r>
          </w:p>
        </w:tc>
        <w:tc>
          <w:tcPr>
            <w:tcW w:w="1450" w:type="dxa"/>
            <w:hideMark/>
          </w:tcPr>
          <w:p w14:paraId="6FAF165C" w14:textId="77777777" w:rsidR="004441B0" w:rsidRPr="004441B0" w:rsidRDefault="004441B0" w:rsidP="004441B0">
            <w:pPr>
              <w:spacing w:before="160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</w:pPr>
            <w:r w:rsidRPr="004441B0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</w:t>
            </w:r>
            <w:r w:rsidRPr="004441B0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09.0</w:t>
            </w:r>
          </w:p>
        </w:tc>
      </w:tr>
      <w:tr w:rsidR="004441B0" w:rsidRPr="004441B0" w14:paraId="642FECFE" w14:textId="77777777" w:rsidTr="00555934">
        <w:trPr>
          <w:trHeight w:val="402"/>
        </w:trPr>
        <w:tc>
          <w:tcPr>
            <w:tcW w:w="4384" w:type="dxa"/>
            <w:hideMark/>
          </w:tcPr>
          <w:p w14:paraId="4B3E18F1" w14:textId="77777777" w:rsidR="004441B0" w:rsidRPr="004441B0" w:rsidRDefault="004441B0" w:rsidP="004441B0">
            <w:pPr>
              <w:spacing w:before="16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4441B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фуражи</w:t>
            </w:r>
          </w:p>
        </w:tc>
        <w:tc>
          <w:tcPr>
            <w:tcW w:w="1451" w:type="dxa"/>
            <w:hideMark/>
          </w:tcPr>
          <w:p w14:paraId="284FAB1F" w14:textId="77777777" w:rsidR="004441B0" w:rsidRPr="004441B0" w:rsidRDefault="004441B0" w:rsidP="004441B0">
            <w:pPr>
              <w:spacing w:before="160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</w:pPr>
            <w:r w:rsidRPr="004441B0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</w:t>
            </w:r>
            <w:r w:rsidRPr="004441B0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4</w:t>
            </w:r>
            <w:r w:rsidRPr="004441B0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4.3</w:t>
            </w:r>
          </w:p>
        </w:tc>
        <w:tc>
          <w:tcPr>
            <w:tcW w:w="1810" w:type="dxa"/>
            <w:hideMark/>
          </w:tcPr>
          <w:p w14:paraId="13648860" w14:textId="77777777" w:rsidR="004441B0" w:rsidRPr="004441B0" w:rsidRDefault="004441B0" w:rsidP="004441B0">
            <w:pPr>
              <w:spacing w:before="160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</w:pPr>
            <w:r w:rsidRPr="004441B0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97.7</w:t>
            </w:r>
          </w:p>
        </w:tc>
        <w:tc>
          <w:tcPr>
            <w:tcW w:w="1450" w:type="dxa"/>
            <w:hideMark/>
          </w:tcPr>
          <w:p w14:paraId="12D082A0" w14:textId="77777777" w:rsidR="004441B0" w:rsidRPr="004441B0" w:rsidRDefault="004441B0" w:rsidP="004441B0">
            <w:pPr>
              <w:spacing w:before="160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</w:pPr>
            <w:r w:rsidRPr="004441B0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93.5</w:t>
            </w:r>
          </w:p>
        </w:tc>
      </w:tr>
    </w:tbl>
    <w:p w14:paraId="1DA3C74F" w14:textId="77777777" w:rsidR="004441B0" w:rsidRPr="004441B0" w:rsidRDefault="004441B0" w:rsidP="004441B0">
      <w:pPr>
        <w:rPr>
          <w:rFonts w:eastAsia="Calibri" w:cs="Times New Roman"/>
        </w:rPr>
      </w:pPr>
      <w:r w:rsidRPr="004441B0">
        <w:rPr>
          <w:rFonts w:eastAsia="Calibri" w:cs="Times New Roman"/>
        </w:rPr>
        <w:br w:type="page"/>
      </w:r>
    </w:p>
    <w:p w14:paraId="2F21DEEB" w14:textId="77777777" w:rsidR="004441B0" w:rsidRPr="004441B0" w:rsidRDefault="004441B0" w:rsidP="004441B0">
      <w:pPr>
        <w:spacing w:before="160" w:after="160" w:line="36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4441B0">
        <w:rPr>
          <w:rFonts w:ascii="Verdana" w:eastAsia="Calibri" w:hAnsi="Verdana" w:cs="Times New Roman"/>
          <w:b/>
          <w:sz w:val="20"/>
          <w:szCs w:val="20"/>
        </w:rPr>
        <w:lastRenderedPageBreak/>
        <w:t>Фиг. 2. Индекси на цените на продуктите и услугите за текущо потребление в</w:t>
      </w:r>
      <w:r w:rsidRPr="004441B0">
        <w:rPr>
          <w:rFonts w:ascii="Verdana" w:eastAsia="Calibri" w:hAnsi="Verdana" w:cs="Times New Roman"/>
          <w:b/>
          <w:sz w:val="20"/>
          <w:szCs w:val="20"/>
          <w:lang w:val="en-US"/>
        </w:rPr>
        <w:t xml:space="preserve"> </w:t>
      </w:r>
      <w:r w:rsidRPr="004441B0">
        <w:rPr>
          <w:rFonts w:ascii="Verdana" w:eastAsia="Calibri" w:hAnsi="Verdana" w:cs="Times New Roman"/>
          <w:b/>
          <w:sz w:val="20"/>
          <w:szCs w:val="20"/>
        </w:rPr>
        <w:t>селското стопанство по тримесечия</w:t>
      </w:r>
      <w:r w:rsidRPr="004441B0">
        <w:rPr>
          <w:rFonts w:ascii="Verdana" w:eastAsia="Calibri" w:hAnsi="Verdana" w:cs="Times New Roman"/>
          <w:b/>
          <w:sz w:val="20"/>
          <w:szCs w:val="20"/>
          <w:lang w:val="en-US"/>
        </w:rPr>
        <w:t xml:space="preserve"> </w:t>
      </w:r>
      <w:r w:rsidRPr="004441B0">
        <w:rPr>
          <w:rFonts w:ascii="Verdana" w:eastAsia="Calibri" w:hAnsi="Verdana" w:cs="Times New Roman"/>
          <w:b/>
          <w:sz w:val="20"/>
          <w:szCs w:val="20"/>
        </w:rPr>
        <w:t>(2020 = 100)</w:t>
      </w:r>
    </w:p>
    <w:p w14:paraId="4171A035" w14:textId="77777777" w:rsidR="004441B0" w:rsidRPr="00326D3E" w:rsidRDefault="00697631" w:rsidP="00FE3527">
      <w:pPr>
        <w:spacing w:after="200" w:line="276" w:lineRule="auto"/>
        <w:ind w:left="709" w:hanging="709"/>
        <w:rPr>
          <w:rFonts w:eastAsia="Μοντέρνα" w:cs="Times New Roman"/>
          <w:noProof/>
          <w:szCs w:val="20"/>
          <w:lang w:eastAsia="bg-BG"/>
        </w:rPr>
      </w:pPr>
      <w:r>
        <w:rPr>
          <w:noProof/>
          <w:lang w:eastAsia="bg-BG"/>
        </w:rPr>
        <w:drawing>
          <wp:inline distT="0" distB="0" distL="0" distR="0" wp14:anchorId="57AC8B1C" wp14:editId="1161859F">
            <wp:extent cx="5848350" cy="4219575"/>
            <wp:effectExtent l="0" t="0" r="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F1BEBFE" w14:textId="77777777" w:rsidR="00B26803" w:rsidRPr="00B26803" w:rsidRDefault="00B26803" w:rsidP="00B26803">
      <w:pPr>
        <w:keepNext/>
        <w:overflowPunct w:val="0"/>
        <w:autoSpaceDE w:val="0"/>
        <w:autoSpaceDN w:val="0"/>
        <w:adjustRightInd w:val="0"/>
        <w:spacing w:before="160" w:after="160" w:line="360" w:lineRule="auto"/>
        <w:ind w:left="-567"/>
        <w:jc w:val="center"/>
        <w:textAlignment w:val="baseline"/>
        <w:outlineLvl w:val="0"/>
        <w:rPr>
          <w:rFonts w:ascii="Verdana" w:eastAsia="Times New Roman" w:hAnsi="Verdana" w:cs="Times New Roman"/>
          <w:b/>
          <w:sz w:val="20"/>
          <w:szCs w:val="20"/>
        </w:rPr>
      </w:pPr>
      <w:r w:rsidRPr="00B26803">
        <w:rPr>
          <w:rFonts w:ascii="Verdana" w:eastAsia="Times New Roman" w:hAnsi="Verdana" w:cs="Times New Roman"/>
          <w:b/>
          <w:sz w:val="20"/>
          <w:szCs w:val="20"/>
        </w:rPr>
        <w:t>Методологични бележки</w:t>
      </w:r>
    </w:p>
    <w:p w14:paraId="2D3947D7" w14:textId="77777777" w:rsidR="00B26803" w:rsidRPr="00B26803" w:rsidRDefault="00B26803" w:rsidP="00B26803">
      <w:pPr>
        <w:overflowPunct w:val="0"/>
        <w:autoSpaceDE w:val="0"/>
        <w:autoSpaceDN w:val="0"/>
        <w:adjustRightInd w:val="0"/>
        <w:spacing w:before="160" w:after="160"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</w:rPr>
      </w:pPr>
      <w:r w:rsidRPr="00B26803">
        <w:rPr>
          <w:rFonts w:ascii="Verdana" w:eastAsia="Times New Roman" w:hAnsi="Verdana" w:cs="Times New Roman"/>
          <w:b/>
          <w:sz w:val="20"/>
          <w:szCs w:val="20"/>
        </w:rPr>
        <w:t>Методология и основни понятия</w:t>
      </w:r>
    </w:p>
    <w:p w14:paraId="0985D169" w14:textId="77777777" w:rsidR="00B26803" w:rsidRPr="00B26803" w:rsidRDefault="00B26803" w:rsidP="00B26803">
      <w:pPr>
        <w:spacing w:after="160"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B26803">
        <w:rPr>
          <w:rFonts w:ascii="Verdana" w:eastAsia="Μοντέρνα" w:hAnsi="Verdana" w:cs="Times New Roman"/>
          <w:bCs/>
          <w:sz w:val="20"/>
          <w:szCs w:val="20"/>
          <w:lang w:eastAsia="bg-BG"/>
        </w:rPr>
        <w:t>Изследванията за цените в селското стопанство се провеждат в съответствие с основните изисквания по Методологията на Евростат за индексите на селскостопанските цени (Handbook for Agricultural Price Indices). По този начин се постига хармонизация в областта на статистиката на цените и индексите в селското стопанство с практиката в ЕС по отношение на:</w:t>
      </w:r>
    </w:p>
    <w:p w14:paraId="6DBF5580" w14:textId="77777777" w:rsidR="00B26803" w:rsidRPr="00B26803" w:rsidRDefault="00B26803" w:rsidP="00B2680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B26803">
        <w:rPr>
          <w:rFonts w:ascii="Verdana" w:eastAsia="Times New Roman" w:hAnsi="Verdana" w:cs="Times New Roman"/>
          <w:sz w:val="20"/>
          <w:szCs w:val="20"/>
        </w:rPr>
        <w:t>използваните дефиниции;</w:t>
      </w:r>
    </w:p>
    <w:p w14:paraId="603FFDB8" w14:textId="77777777" w:rsidR="00B26803" w:rsidRPr="00B26803" w:rsidRDefault="00B26803" w:rsidP="00B2680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B26803">
        <w:rPr>
          <w:rFonts w:ascii="Verdana" w:eastAsia="Times New Roman" w:hAnsi="Verdana" w:cs="Times New Roman"/>
          <w:sz w:val="20"/>
          <w:szCs w:val="20"/>
        </w:rPr>
        <w:t>механизмите за регистрация на цените;</w:t>
      </w:r>
    </w:p>
    <w:p w14:paraId="11F55D2E" w14:textId="77777777" w:rsidR="00B26803" w:rsidRPr="00B26803" w:rsidRDefault="00B26803" w:rsidP="00B2680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B26803">
        <w:rPr>
          <w:rFonts w:ascii="Verdana" w:eastAsia="Times New Roman" w:hAnsi="Verdana" w:cs="Times New Roman"/>
          <w:sz w:val="20"/>
          <w:szCs w:val="20"/>
        </w:rPr>
        <w:t>типа на изчисляваните индекси;</w:t>
      </w:r>
    </w:p>
    <w:p w14:paraId="0D045F51" w14:textId="77777777" w:rsidR="00B26803" w:rsidRPr="00B26803" w:rsidRDefault="00B26803" w:rsidP="00B2680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B26803">
        <w:rPr>
          <w:rFonts w:ascii="Verdana" w:eastAsia="Times New Roman" w:hAnsi="Verdana" w:cs="Times New Roman"/>
          <w:sz w:val="20"/>
          <w:szCs w:val="20"/>
        </w:rPr>
        <w:t>периодичността при провеждане на наблюденията;</w:t>
      </w:r>
    </w:p>
    <w:p w14:paraId="7BC96357" w14:textId="77777777" w:rsidR="00B26803" w:rsidRPr="00B26803" w:rsidRDefault="00B26803" w:rsidP="00B2680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B26803">
        <w:rPr>
          <w:rFonts w:ascii="Verdana" w:eastAsia="Times New Roman" w:hAnsi="Verdana" w:cs="Times New Roman"/>
          <w:sz w:val="20"/>
          <w:szCs w:val="20"/>
        </w:rPr>
        <w:t>използваните номенклатури;</w:t>
      </w:r>
    </w:p>
    <w:p w14:paraId="77F4F44B" w14:textId="77777777" w:rsidR="00B26803" w:rsidRDefault="00B26803" w:rsidP="00B2680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B26803">
        <w:rPr>
          <w:rFonts w:ascii="Verdana" w:eastAsia="Times New Roman" w:hAnsi="Verdana" w:cs="Times New Roman"/>
          <w:sz w:val="20"/>
          <w:szCs w:val="20"/>
        </w:rPr>
        <w:lastRenderedPageBreak/>
        <w:t>дефинирането на подбраните продукти чрез качествени, количествени, видови и други ценообразуващи характеристики.</w:t>
      </w:r>
    </w:p>
    <w:p w14:paraId="0B4CCC79" w14:textId="77777777" w:rsidR="00B26803" w:rsidRPr="00B26803" w:rsidRDefault="00B26803" w:rsidP="00B26803">
      <w:pPr>
        <w:overflowPunct w:val="0"/>
        <w:autoSpaceDE w:val="0"/>
        <w:autoSpaceDN w:val="0"/>
        <w:adjustRightInd w:val="0"/>
        <w:spacing w:before="160"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B26803">
        <w:rPr>
          <w:rFonts w:ascii="Verdana" w:eastAsia="Times New Roman" w:hAnsi="Verdana" w:cs="Times New Roman"/>
          <w:sz w:val="20"/>
          <w:szCs w:val="20"/>
        </w:rPr>
        <w:t>Обект на наблюдение са цените на производител на произведените от земеделските стопанства растителни и животински продукти и селскостопански животни и на стоките и услугите за текущо потребление, използвани в селското стопанство.</w:t>
      </w:r>
    </w:p>
    <w:p w14:paraId="1C4CEEBD" w14:textId="77777777" w:rsidR="00B26803" w:rsidRPr="00B26803" w:rsidRDefault="00B26803" w:rsidP="00B26803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B26803">
        <w:rPr>
          <w:rFonts w:ascii="Verdana" w:eastAsia="Times New Roman" w:hAnsi="Verdana" w:cs="Times New Roman"/>
          <w:sz w:val="20"/>
          <w:szCs w:val="20"/>
        </w:rPr>
        <w:t>Цената на производител в селското стопанство е цената, която земеделското стопанство получава за продадените от него селскостопански продукти/живи животни. Тя се отчита на първия пазарен етап от движението на стоките - „цена от производителя за пазара“. Цената на производител не включва получените от стопанството субсидии върху селскостопанските продукти/животни, транспортните разходи и данъците. Данъкът върху добавената стойност (ДДС) също се изключва при формирането на цената.</w:t>
      </w:r>
    </w:p>
    <w:p w14:paraId="4E6F85A7" w14:textId="77777777" w:rsidR="00B26803" w:rsidRPr="00B26803" w:rsidRDefault="00B26803" w:rsidP="00B26803">
      <w:pPr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B26803">
        <w:rPr>
          <w:rFonts w:ascii="Verdana" w:eastAsia="Μοντέρνα" w:hAnsi="Verdana" w:cs="Times New Roman"/>
          <w:bCs/>
          <w:sz w:val="20"/>
          <w:szCs w:val="20"/>
          <w:lang w:eastAsia="bg-BG"/>
        </w:rPr>
        <w:t>Изследването за цените на стоките и услугите за текущо потребление, използвани в селското стопанство (Input I), се осъществява чрез провеждането на пет наблюдения, в рамките на които се наблюдават цените на:</w:t>
      </w:r>
    </w:p>
    <w:p w14:paraId="27672BF7" w14:textId="77777777" w:rsidR="00B26803" w:rsidRPr="00B26803" w:rsidRDefault="00B26803" w:rsidP="00B2680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60" w:line="360" w:lineRule="auto"/>
        <w:ind w:left="0"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B26803">
        <w:rPr>
          <w:rFonts w:ascii="Verdana" w:eastAsia="Μοντέρνα" w:hAnsi="Verdana" w:cs="Times New Roman"/>
          <w:bCs/>
          <w:sz w:val="20"/>
          <w:szCs w:val="20"/>
          <w:lang w:eastAsia="bg-BG"/>
        </w:rPr>
        <w:t>минералните торове;</w:t>
      </w:r>
      <w:r w:rsidRPr="00B26803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3C0E6378" w14:textId="77777777" w:rsidR="00B26803" w:rsidRPr="00B26803" w:rsidRDefault="00B26803" w:rsidP="00B2680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B26803">
        <w:rPr>
          <w:rFonts w:ascii="Verdana" w:eastAsia="Μοντέρνα" w:hAnsi="Verdana" w:cs="Times New Roman"/>
          <w:bCs/>
          <w:sz w:val="20"/>
          <w:szCs w:val="20"/>
          <w:lang w:eastAsia="bg-BG"/>
        </w:rPr>
        <w:t>фуражите;</w:t>
      </w:r>
      <w:r w:rsidRPr="00B26803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0F0ACA0A" w14:textId="77777777" w:rsidR="00B26803" w:rsidRPr="00B26803" w:rsidRDefault="00B26803" w:rsidP="00B2680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B26803">
        <w:rPr>
          <w:rFonts w:ascii="Verdana" w:eastAsia="Μοντέρνα" w:hAnsi="Verdana" w:cs="Times New Roman"/>
          <w:bCs/>
          <w:sz w:val="20"/>
          <w:szCs w:val="20"/>
          <w:lang w:eastAsia="bg-BG"/>
        </w:rPr>
        <w:t>продуктите за растителна защита;</w:t>
      </w:r>
      <w:r w:rsidRPr="00B26803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2BF59423" w14:textId="77777777" w:rsidR="00B26803" w:rsidRPr="00B26803" w:rsidRDefault="00B26803" w:rsidP="00B2680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B26803">
        <w:rPr>
          <w:rFonts w:ascii="Verdana" w:eastAsia="Μοντέρνα" w:hAnsi="Verdana" w:cs="Times New Roman"/>
          <w:bCs/>
          <w:sz w:val="20"/>
          <w:szCs w:val="20"/>
          <w:lang w:eastAsia="bg-BG"/>
        </w:rPr>
        <w:t>ветеринарномедицинските продукти;</w:t>
      </w:r>
      <w:r w:rsidRPr="00B26803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0740C687" w14:textId="77777777" w:rsidR="00B26803" w:rsidRPr="00B26803" w:rsidRDefault="00B26803" w:rsidP="00B2680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B26803">
        <w:rPr>
          <w:rFonts w:ascii="Verdana" w:eastAsia="Μοντέρνα" w:hAnsi="Verdana" w:cs="Times New Roman"/>
          <w:bCs/>
          <w:sz w:val="20"/>
          <w:szCs w:val="20"/>
          <w:lang w:eastAsia="bg-BG"/>
        </w:rPr>
        <w:t>посевния и посадъчния материал.</w:t>
      </w:r>
      <w:r w:rsidRPr="00B26803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5B0CEB47" w14:textId="77777777" w:rsidR="00B26803" w:rsidRPr="00B26803" w:rsidRDefault="00B26803" w:rsidP="00B26803">
      <w:pPr>
        <w:overflowPunct w:val="0"/>
        <w:autoSpaceDE w:val="0"/>
        <w:autoSpaceDN w:val="0"/>
        <w:adjustRightInd w:val="0"/>
        <w:spacing w:before="160"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B26803">
        <w:rPr>
          <w:rFonts w:ascii="Verdana" w:eastAsia="Times New Roman" w:hAnsi="Verdana" w:cs="Times New Roman"/>
          <w:bCs/>
          <w:sz w:val="20"/>
          <w:szCs w:val="20"/>
        </w:rPr>
        <w:t>Наблюдаваната цена</w:t>
      </w:r>
      <w:r w:rsidRPr="00B26803">
        <w:rPr>
          <w:rFonts w:ascii="Verdana" w:eastAsia="Times New Roman" w:hAnsi="Verdana" w:cs="Times New Roman"/>
          <w:sz w:val="20"/>
          <w:szCs w:val="20"/>
        </w:rPr>
        <w:t xml:space="preserve"> е цената, която купувачът действително е платил за средствата за закупуване на стоките и услугите за текущо потребление. Тя включва данъците и таксите и изключва субсидиите (ако има такива) и приспадаемия ДДС. </w:t>
      </w:r>
    </w:p>
    <w:p w14:paraId="19AAF284" w14:textId="77777777" w:rsidR="00B26803" w:rsidRPr="00B26803" w:rsidRDefault="00B26803" w:rsidP="00B26803">
      <w:pPr>
        <w:overflowPunct w:val="0"/>
        <w:autoSpaceDE w:val="0"/>
        <w:autoSpaceDN w:val="0"/>
        <w:adjustRightInd w:val="0"/>
        <w:spacing w:before="160" w:after="160"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</w:rPr>
      </w:pPr>
      <w:r w:rsidRPr="00B26803">
        <w:rPr>
          <w:rFonts w:ascii="Verdana" w:eastAsia="Times New Roman" w:hAnsi="Verdana" w:cs="Times New Roman"/>
          <w:b/>
          <w:sz w:val="20"/>
          <w:szCs w:val="20"/>
        </w:rPr>
        <w:t>Единици на наблюдение</w:t>
      </w:r>
    </w:p>
    <w:p w14:paraId="4E265EC2" w14:textId="77777777" w:rsidR="00B26803" w:rsidRPr="00B26803" w:rsidRDefault="00B26803" w:rsidP="00B26803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B26803">
        <w:rPr>
          <w:rFonts w:ascii="Verdana" w:eastAsia="Times New Roman" w:hAnsi="Verdana" w:cs="Times New Roman"/>
          <w:sz w:val="20"/>
          <w:szCs w:val="20"/>
        </w:rPr>
        <w:t>Единиците за наблюдение в рамките на изследванията на селскостопанските цени са земеделските стопанства - юридически и физически лица и селскостопанските и ветеринарните аптеки. За всяко от наблюденията се формира списък от респонденти, като през годините се поддържа стабилен брой регистрации на цени по продукти/категории животни и средства за производство.</w:t>
      </w:r>
    </w:p>
    <w:p w14:paraId="310E2A25" w14:textId="77777777" w:rsidR="00B26803" w:rsidRPr="00B26803" w:rsidRDefault="00B26803" w:rsidP="00B26803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B26803">
        <w:rPr>
          <w:rFonts w:ascii="Verdana" w:eastAsia="Times New Roman" w:hAnsi="Verdana" w:cs="Times New Roman"/>
          <w:sz w:val="20"/>
          <w:szCs w:val="20"/>
        </w:rPr>
        <w:t xml:space="preserve">Наблюденията са изчерпателни и включват всички единици над определен стойностен праг. Критерий при подбора е стойността на продажбите на селскостопански продукти/животни - за цените на производител в селското стопанство, и стойността на разходите за покупки на стоки и услуги за междинно </w:t>
      </w:r>
      <w:r w:rsidRPr="00B26803">
        <w:rPr>
          <w:rFonts w:ascii="Verdana" w:eastAsia="Times New Roman" w:hAnsi="Verdana" w:cs="Times New Roman"/>
          <w:sz w:val="20"/>
          <w:szCs w:val="20"/>
        </w:rPr>
        <w:lastRenderedPageBreak/>
        <w:t>потребление - за цените на стоките и услугите за текущо потребление, използвани в селското стопанство. За осигуряване на представителност на цените, освен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B26803">
        <w:rPr>
          <w:rFonts w:ascii="Verdana" w:eastAsia="Times New Roman" w:hAnsi="Verdana" w:cs="Times New Roman"/>
          <w:sz w:val="20"/>
          <w:szCs w:val="20"/>
        </w:rPr>
        <w:t>поддържането на определен брой регистрации в отчетния период, се осигурява обхват на поне 50% от стойността на продажбите за всеки отделен продукт/категория животни или от стойността на покупките на стоки и услуги за междинно потребление за съответната година.</w:t>
      </w:r>
    </w:p>
    <w:p w14:paraId="077395FA" w14:textId="77777777" w:rsidR="00B26803" w:rsidRPr="00B26803" w:rsidRDefault="00B26803" w:rsidP="00B26803">
      <w:pPr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B26803">
        <w:rPr>
          <w:rFonts w:ascii="Verdana" w:eastAsia="Μοντέρνα" w:hAnsi="Verdana" w:cs="Times New Roman"/>
          <w:b/>
          <w:sz w:val="20"/>
          <w:szCs w:val="20"/>
          <w:lang w:eastAsia="bg-BG"/>
        </w:rPr>
        <w:t>Източници на информация</w:t>
      </w:r>
    </w:p>
    <w:p w14:paraId="784D44B3" w14:textId="77777777" w:rsidR="00B26803" w:rsidRPr="00B26803" w:rsidRDefault="00B26803" w:rsidP="00B26803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B26803">
        <w:rPr>
          <w:rFonts w:ascii="Verdana" w:eastAsia="Μοντέρνα" w:hAnsi="Verdana" w:cs="Times New Roman"/>
          <w:sz w:val="20"/>
          <w:szCs w:val="20"/>
          <w:lang w:eastAsia="bg-BG"/>
        </w:rPr>
        <w:t>Източник на информация са еднократни статистически формуляри за събиране на данни за качествените и количествените характеристики на селскостопанските продукти/категории животни и стоки и услуги за текущо потребление, както и тримесечни въпросници за цените на производител на селскостопански продукти/живите животни и за цените на стоките и услугите за текущо потребление в селското стопанство.</w:t>
      </w:r>
    </w:p>
    <w:p w14:paraId="47517FA9" w14:textId="77777777" w:rsidR="00B26803" w:rsidRPr="00B26803" w:rsidRDefault="00B26803" w:rsidP="00B26803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B26803">
        <w:rPr>
          <w:rFonts w:ascii="Verdana" w:eastAsia="Μοντέρνα" w:hAnsi="Verdana" w:cs="Times New Roman"/>
          <w:sz w:val="20"/>
          <w:szCs w:val="20"/>
          <w:lang w:eastAsia="bg-BG"/>
        </w:rPr>
        <w:t>С еднократните въпросници се осигурява информация за изграждането на номенклатура на наблюденията. Актуализация на номенклатурите се извършва периодично - обикновено в годините, завършващи на 0 и на 5, при смяна на базата на Евростат.</w:t>
      </w:r>
    </w:p>
    <w:p w14:paraId="1C9B6152" w14:textId="77777777" w:rsidR="00B26803" w:rsidRPr="00B26803" w:rsidRDefault="00B26803" w:rsidP="00B26803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B26803">
        <w:rPr>
          <w:rFonts w:ascii="Verdana" w:eastAsia="Μοντέρνα" w:hAnsi="Verdana" w:cs="Times New Roman"/>
          <w:sz w:val="20"/>
          <w:szCs w:val="20"/>
          <w:lang w:eastAsia="bg-BG"/>
        </w:rPr>
        <w:t>С тримесечните въпросници се осигурява регулярно информация за цените на включените в номенклатурите на наблюденията селскостопански продукти/категории животни и стоки и услуги за текущо потребление в селското стопанство.</w:t>
      </w:r>
    </w:p>
    <w:p w14:paraId="0FF141FC" w14:textId="77777777" w:rsidR="00B26803" w:rsidRPr="00B26803" w:rsidRDefault="00B26803" w:rsidP="00B26803">
      <w:pPr>
        <w:overflowPunct w:val="0"/>
        <w:autoSpaceDE w:val="0"/>
        <w:autoSpaceDN w:val="0"/>
        <w:adjustRightInd w:val="0"/>
        <w:spacing w:before="160" w:after="160" w:line="360" w:lineRule="auto"/>
        <w:ind w:firstLine="567"/>
        <w:textAlignment w:val="baseline"/>
        <w:rPr>
          <w:rFonts w:ascii="Verdana" w:eastAsia="Times New Roman" w:hAnsi="Verdana" w:cs="Times New Roman"/>
          <w:b/>
          <w:sz w:val="20"/>
          <w:szCs w:val="20"/>
        </w:rPr>
      </w:pPr>
      <w:r w:rsidRPr="00B26803">
        <w:rPr>
          <w:rFonts w:ascii="Verdana" w:eastAsia="Times New Roman" w:hAnsi="Verdana" w:cs="Times New Roman"/>
          <w:b/>
          <w:sz w:val="20"/>
          <w:szCs w:val="20"/>
        </w:rPr>
        <w:t>Изчисляване на средни цени</w:t>
      </w:r>
    </w:p>
    <w:p w14:paraId="357D270E" w14:textId="77777777" w:rsidR="00B26803" w:rsidRPr="00B26803" w:rsidRDefault="00B26803" w:rsidP="00B26803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B26803">
        <w:rPr>
          <w:rFonts w:ascii="Verdana" w:eastAsia="Times New Roman" w:hAnsi="Verdana" w:cs="Times New Roman"/>
          <w:sz w:val="20"/>
          <w:szCs w:val="20"/>
        </w:rPr>
        <w:t>В рамките на тримесечните изследвания се изчисляват средни месечни и тримесечни цени. Месечните цени се изчисляват като средни аритметични стойности от всички регистрирани цени. Тримесечните цени се изчисляват като средни аритметични стойности от месечните.</w:t>
      </w:r>
    </w:p>
    <w:p w14:paraId="1D501B01" w14:textId="77777777" w:rsidR="00B26803" w:rsidRPr="00B26803" w:rsidRDefault="00B26803" w:rsidP="00B26803">
      <w:pPr>
        <w:overflowPunct w:val="0"/>
        <w:autoSpaceDE w:val="0"/>
        <w:autoSpaceDN w:val="0"/>
        <w:adjustRightInd w:val="0"/>
        <w:spacing w:before="160" w:after="160" w:line="360" w:lineRule="auto"/>
        <w:ind w:firstLine="567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B26803">
        <w:rPr>
          <w:rFonts w:ascii="Verdana" w:eastAsia="Times New Roman" w:hAnsi="Verdana" w:cs="Times New Roman"/>
          <w:b/>
          <w:sz w:val="20"/>
          <w:szCs w:val="20"/>
        </w:rPr>
        <w:t>Изчисляване на индекси</w:t>
      </w:r>
    </w:p>
    <w:p w14:paraId="2528C3D1" w14:textId="77777777" w:rsidR="00B26803" w:rsidRPr="00B26803" w:rsidRDefault="00B26803" w:rsidP="00B26803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B26803">
        <w:rPr>
          <w:rFonts w:ascii="Verdana" w:eastAsia="Times New Roman" w:hAnsi="Verdana" w:cs="Times New Roman"/>
          <w:sz w:val="20"/>
          <w:szCs w:val="20"/>
        </w:rPr>
        <w:t xml:space="preserve">Изчисляването на ценовите индекси се извършва по формулата на Ласпер. Този тип индекс има постоянна теглова структура, като базисният период за теглата и цените е един и същ. Като тегла за изчисляването на индексите на цените на производител в селското стопанство се използват стойностите на продажбите на селскостопанска продукция, а за индексите на цените на стоките и услугите за текущо потребление, използвани в селското стопанство - стойностите на покупките за </w:t>
      </w:r>
      <w:r w:rsidRPr="00B26803">
        <w:rPr>
          <w:rFonts w:ascii="Verdana" w:eastAsia="Times New Roman" w:hAnsi="Verdana" w:cs="Times New Roman"/>
          <w:sz w:val="20"/>
          <w:szCs w:val="20"/>
        </w:rPr>
        <w:lastRenderedPageBreak/>
        <w:t>междинно потребление. Теглата се изчисляват в рамките на сателитните икономически сметки за селското стопанство.</w:t>
      </w:r>
    </w:p>
    <w:p w14:paraId="27ECE339" w14:textId="77777777" w:rsidR="003749A6" w:rsidRPr="003749A6" w:rsidRDefault="003749A6" w:rsidP="003749A6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3749A6">
        <w:rPr>
          <w:rFonts w:ascii="Verdana" w:eastAsia="Times New Roman" w:hAnsi="Verdana" w:cs="Times New Roman"/>
          <w:sz w:val="20"/>
          <w:szCs w:val="20"/>
        </w:rPr>
        <w:t>Индексите се изчисляват при три бази: предходна година, съответно тримесечие на предходната година и година, завършваща на 0 или 5 (база на Евростат).</w:t>
      </w:r>
    </w:p>
    <w:p w14:paraId="45D5C152" w14:textId="77777777" w:rsidR="003749A6" w:rsidRPr="003749A6" w:rsidRDefault="003749A6" w:rsidP="003749A6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3749A6">
        <w:rPr>
          <w:rFonts w:ascii="Verdana" w:eastAsia="Times New Roman" w:hAnsi="Verdana" w:cs="Times New Roman"/>
          <w:sz w:val="20"/>
          <w:szCs w:val="20"/>
        </w:rPr>
        <w:t xml:space="preserve">За изчисляването на общия индекс на стоките и услугите за текущо потребление (Input </w:t>
      </w:r>
      <w:r w:rsidRPr="003749A6">
        <w:rPr>
          <w:rFonts w:ascii="Verdana" w:eastAsia="Times New Roman" w:hAnsi="Verdana" w:cs="Times New Roman"/>
          <w:sz w:val="20"/>
          <w:szCs w:val="20"/>
          <w:lang w:val="en-US"/>
        </w:rPr>
        <w:t>I</w:t>
      </w:r>
      <w:r w:rsidRPr="003749A6">
        <w:rPr>
          <w:rFonts w:ascii="Verdana" w:eastAsia="Times New Roman" w:hAnsi="Verdana" w:cs="Times New Roman"/>
          <w:sz w:val="20"/>
          <w:szCs w:val="20"/>
        </w:rPr>
        <w:t>) освен индексите, изчислени за всяка от петте групи продукти, се използват и индекси на стоки и услуги, отчетени в рамките на наблюдението на потребителските цени.</w:t>
      </w:r>
    </w:p>
    <w:p w14:paraId="346648CC" w14:textId="77777777" w:rsidR="003749A6" w:rsidRPr="003749A6" w:rsidRDefault="003749A6" w:rsidP="003749A6">
      <w:pPr>
        <w:overflowPunct w:val="0"/>
        <w:autoSpaceDE w:val="0"/>
        <w:autoSpaceDN w:val="0"/>
        <w:adjustRightInd w:val="0"/>
        <w:spacing w:before="160" w:after="160"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3749A6">
        <w:rPr>
          <w:rFonts w:ascii="Verdana" w:eastAsia="Times New Roman" w:hAnsi="Verdana" w:cs="Times New Roman"/>
          <w:b/>
          <w:bCs/>
          <w:sz w:val="20"/>
          <w:szCs w:val="20"/>
        </w:rPr>
        <w:t>Използвани класификации</w:t>
      </w:r>
    </w:p>
    <w:p w14:paraId="53038410" w14:textId="77777777" w:rsidR="003749A6" w:rsidRPr="003749A6" w:rsidRDefault="003749A6" w:rsidP="003749A6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3749A6">
        <w:rPr>
          <w:rFonts w:ascii="Verdana" w:eastAsia="Times New Roman" w:hAnsi="Verdana" w:cs="Times New Roman"/>
          <w:sz w:val="20"/>
          <w:szCs w:val="20"/>
        </w:rPr>
        <w:t>За изчисляването на индексите на цените на производител в селското стопанство е използвана Номенклатура на продукцията в селското, горското и рибното стопанство в България (ПРОДАГРО). ПРОДАГРО се използва като база за разпад на продуктите за наблюдение съгласно техните качествени и количествени характеристики. За наблюденията на цените на стоките и услугите за текущо потребление се използват собствени класификации, изградени в рамките на еднократните проучвания за съставяне на списък с представителните продукти. За изчисляване и предоставяне на Евростат на хармонизирани индекси на цените в селското стопанство се използва класификацията PRAG (класификация на селскостопанските цени в базата данни на Евростат New CRONOS).</w:t>
      </w:r>
    </w:p>
    <w:p w14:paraId="48EE3E5E" w14:textId="77777777" w:rsidR="003749A6" w:rsidRPr="003749A6" w:rsidRDefault="003749A6" w:rsidP="003749A6">
      <w:pPr>
        <w:numPr>
          <w:ilvl w:val="12"/>
          <w:numId w:val="0"/>
        </w:numPr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3749A6">
        <w:rPr>
          <w:rFonts w:ascii="Verdana" w:eastAsia="Μοντέρνα" w:hAnsi="Verdana" w:cs="Times New Roman"/>
          <w:b/>
          <w:sz w:val="20"/>
          <w:szCs w:val="20"/>
          <w:lang w:eastAsia="bg-BG"/>
        </w:rPr>
        <w:t>Отчитане на влиянието на качеството върху цените на селскостопанските продукти</w:t>
      </w:r>
    </w:p>
    <w:p w14:paraId="76DB6CD8" w14:textId="77777777" w:rsidR="003749A6" w:rsidRPr="003749A6" w:rsidRDefault="003749A6" w:rsidP="003749A6">
      <w:pPr>
        <w:spacing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3749A6">
        <w:rPr>
          <w:rFonts w:ascii="Verdana" w:eastAsia="Μοντέρνα" w:hAnsi="Verdana" w:cs="Times New Roman"/>
          <w:sz w:val="20"/>
          <w:szCs w:val="20"/>
          <w:lang w:eastAsia="bg-BG"/>
        </w:rPr>
        <w:t>За да бъдат елиминирани различията в цените, свързани с измененията в качеството, вида, количеството и опаковките, подбраните продукти са дефинирани чрез качествени, количествени, видови и други характеристики, които оказват влияние върху изменението на цените. Когато даден конкретен продукт отпада от изследването, той се заменя с нов, с близки характеристики на отпадналия от изследването. Новият продукт също трябва да бъде представителен.</w:t>
      </w:r>
    </w:p>
    <w:p w14:paraId="5AEB8C5C" w14:textId="77777777" w:rsidR="003749A6" w:rsidRPr="003749A6" w:rsidRDefault="003749A6" w:rsidP="003749A6">
      <w:pPr>
        <w:overflowPunct w:val="0"/>
        <w:autoSpaceDE w:val="0"/>
        <w:autoSpaceDN w:val="0"/>
        <w:adjustRightInd w:val="0"/>
        <w:spacing w:before="160" w:after="160"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3749A6">
        <w:rPr>
          <w:rFonts w:ascii="Verdana" w:eastAsia="Times New Roman" w:hAnsi="Verdana" w:cs="Times New Roman"/>
          <w:b/>
          <w:bCs/>
          <w:sz w:val="20"/>
          <w:szCs w:val="20"/>
        </w:rPr>
        <w:t>Изчисляване на индекси на стоките и услугите с инвестиционно предназначение, използвани в селското стопанство (Input II)</w:t>
      </w:r>
    </w:p>
    <w:p w14:paraId="197482DC" w14:textId="77777777" w:rsidR="003749A6" w:rsidRPr="003749A6" w:rsidRDefault="003749A6" w:rsidP="003749A6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3749A6">
        <w:rPr>
          <w:rFonts w:ascii="Verdana" w:eastAsia="Times New Roman" w:hAnsi="Verdana" w:cs="Times New Roman"/>
          <w:sz w:val="20"/>
          <w:szCs w:val="20"/>
        </w:rPr>
        <w:t xml:space="preserve">Изчисляването на ценови индекс на стоките и услугите с инвестиционно предназначение в селското стопанство също се извършва по формулата на Ласпер, като използваните тегла са стойностите на направените от земеделските стопанства покупки на стоки и услуги с инвестиционно предназначение, изчислени в рамките на </w:t>
      </w:r>
      <w:r w:rsidRPr="003749A6">
        <w:rPr>
          <w:rFonts w:ascii="Verdana" w:eastAsia="Times New Roman" w:hAnsi="Verdana" w:cs="Times New Roman"/>
          <w:sz w:val="20"/>
          <w:szCs w:val="20"/>
        </w:rPr>
        <w:lastRenderedPageBreak/>
        <w:t>сателитните икономически сметки за селското стопанство. За изчисляването на общия индекс на стоките и услугите с инвестиционно предназначение се използва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3749A6">
        <w:rPr>
          <w:rFonts w:ascii="Verdana" w:eastAsia="Times New Roman" w:hAnsi="Verdana" w:cs="Times New Roman"/>
          <w:sz w:val="20"/>
          <w:szCs w:val="20"/>
        </w:rPr>
        <w:t>информация от изследвания, провеждани от НСИ, в областта на статистиката на потребителските цени, външната търговия и краткосрочната бизнес статистика.</w:t>
      </w:r>
    </w:p>
    <w:p w14:paraId="25CCF8CE" w14:textId="77777777" w:rsidR="003749A6" w:rsidRPr="003749A6" w:rsidRDefault="003749A6" w:rsidP="003749A6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</w:pPr>
      <w:r w:rsidRPr="003749A6">
        <w:rPr>
          <w:rFonts w:ascii="Verdana" w:eastAsia="Times New Roman" w:hAnsi="Verdana" w:cs="Times New Roman"/>
          <w:sz w:val="20"/>
          <w:szCs w:val="20"/>
        </w:rPr>
        <w:t>На базата на изчислените индекси на стоките и услугите за текущо потребление и на стоките и услугите с инвестиционно предназначение се изчислява общ индекс на цените на средствата за производство в селското стопанство (Total Input).</w:t>
      </w:r>
    </w:p>
    <w:sectPr w:rsidR="003749A6" w:rsidRPr="003749A6" w:rsidSect="006A4C8F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567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5137E" w14:textId="77777777" w:rsidR="009D09F7" w:rsidRDefault="009D09F7" w:rsidP="00D83F28">
      <w:r>
        <w:separator/>
      </w:r>
    </w:p>
  </w:endnote>
  <w:endnote w:type="continuationSeparator" w:id="0">
    <w:p w14:paraId="2EC5EE33" w14:textId="77777777" w:rsidR="009D09F7" w:rsidRDefault="009D09F7" w:rsidP="00D8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1D62A" w14:textId="77777777" w:rsidR="00D83F28" w:rsidRDefault="00D83F28" w:rsidP="008E6CB5">
    <w:pPr>
      <w:pStyle w:val="BodyText"/>
      <w:tabs>
        <w:tab w:val="left" w:pos="3375"/>
      </w:tabs>
      <w:spacing w:before="196"/>
      <w:jc w:val="center"/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579B60" wp14:editId="49F08DD0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DF2152" w14:textId="72472D1A" w:rsidR="00D83F28" w:rsidRPr="00DD11CB" w:rsidRDefault="00D83F28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E1E71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5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6579B60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6" type="#_x0000_t176" style="position:absolute;left:0;text-align:left;margin-left:463.1pt;margin-top:1.05pt;width:34.5pt;height:34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yQDyQIAANk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" filled="f" fillcolor="#5c83b4" stroked="f" strokecolor="#737373">
              <v:textbox>
                <w:txbxContent>
                  <w:p w14:paraId="4ADF2152" w14:textId="72472D1A" w:rsidR="00D83F28" w:rsidRPr="00DD11CB" w:rsidRDefault="00D83F28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7E1E71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5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C7D3988" wp14:editId="5B14EF7F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29619D" id="Rectangle 7" o:spid="_x0000_s1026" style="position:absolute;margin-left:470.7pt;margin-top:-.4pt;width:22.5pt;height:98.2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4D34B3DA" wp14:editId="79E48E6E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A6DF4B" id="Graphic 8" o:spid="_x0000_s1026" style="position:absolute;margin-left:0;margin-top:8.8pt;width:477.7pt;height:.1pt;z-index:-25165107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="00F76D42">
      <w:rPr>
        <w:rFonts w:ascii="Verdana" w:hAnsi="Verdana"/>
        <w:color w:val="31312F"/>
        <w:sz w:val="16"/>
        <w:szCs w:val="16"/>
      </w:rPr>
      <w:t>ул. „</w:t>
    </w:r>
    <w:r w:rsidRPr="00A7142A">
      <w:rPr>
        <w:rFonts w:ascii="Verdana" w:hAnsi="Verdana"/>
        <w:color w:val="31312F"/>
        <w:sz w:val="16"/>
        <w:szCs w:val="16"/>
      </w:rPr>
      <w:t>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7DDDD" w14:textId="77777777" w:rsidR="00D83F28" w:rsidRDefault="00D83F28" w:rsidP="00D83F28">
    <w:pPr>
      <w:pStyle w:val="Footer"/>
      <w:tabs>
        <w:tab w:val="clear" w:pos="4536"/>
        <w:tab w:val="clear" w:pos="9072"/>
      </w:tabs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2D2EEC2" wp14:editId="111E458C">
              <wp:simplePos x="0" y="0"/>
              <wp:positionH relativeFrom="rightMargin">
                <wp:posOffset>62534</wp:posOffset>
              </wp:positionH>
              <wp:positionV relativeFrom="paragraph">
                <wp:posOffset>27940</wp:posOffset>
              </wp:positionV>
              <wp:extent cx="438150" cy="441325"/>
              <wp:effectExtent l="0" t="0" r="0" b="0"/>
              <wp:wrapNone/>
              <wp:docPr id="29" name="Flowchart: Alternate Process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755813" w14:textId="2B3096A3" w:rsidR="00D83F28" w:rsidRPr="00DD11CB" w:rsidRDefault="00D83F28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E1E71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2D2EEC2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9" o:spid="_x0000_s1028" type="#_x0000_t176" style="position:absolute;margin-left:4.9pt;margin-top:2.2pt;width:34.5pt;height:34.75pt;z-index:25167155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" filled="f" fillcolor="#5c83b4" stroked="f" strokecolor="#737373">
              <v:textbox>
                <w:txbxContent>
                  <w:p w14:paraId="50755813" w14:textId="2B3096A3" w:rsidR="00D83F28" w:rsidRPr="00DD11CB" w:rsidRDefault="00D83F28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7E1E71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515EC0C2" wp14:editId="3B15B575">
              <wp:simplePos x="0" y="0"/>
              <wp:positionH relativeFrom="margin">
                <wp:posOffset>5911850</wp:posOffset>
              </wp:positionH>
              <wp:positionV relativeFrom="paragraph">
                <wp:posOffset>0</wp:posOffset>
              </wp:positionV>
              <wp:extent cx="285750" cy="1247775"/>
              <wp:effectExtent l="0" t="0" r="0" b="9525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933CDB" id="Rectangle 28" o:spid="_x0000_s1026" style="position:absolute;margin-left:465.5pt;margin-top:0;width:22.5pt;height:98.25pt;z-index:-2516469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" fillcolor="#a5a5a5 [3206]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21F59" w14:textId="77777777" w:rsidR="009D09F7" w:rsidRDefault="009D09F7" w:rsidP="00D83F28">
      <w:r>
        <w:separator/>
      </w:r>
    </w:p>
  </w:footnote>
  <w:footnote w:type="continuationSeparator" w:id="0">
    <w:p w14:paraId="4CF9BED0" w14:textId="77777777" w:rsidR="009D09F7" w:rsidRDefault="009D09F7" w:rsidP="00D83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4CCE6" w14:textId="77777777" w:rsidR="00B65C3A" w:rsidRDefault="00B65C3A" w:rsidP="00D83F28">
    <w:pPr>
      <w:spacing w:after="240"/>
      <w:jc w:val="center"/>
      <w:rPr>
        <w:rFonts w:ascii="Verdana" w:eastAsia="Calibri" w:hAnsi="Verdana" w:cs="Times New Roman"/>
        <w:b/>
        <w:sz w:val="20"/>
        <w:szCs w:val="20"/>
      </w:rPr>
    </w:pPr>
  </w:p>
  <w:p w14:paraId="6BA555A4" w14:textId="77777777" w:rsidR="00B65C3A" w:rsidRDefault="00FF00C2" w:rsidP="00B65C3A">
    <w:pPr>
      <w:spacing w:line="360" w:lineRule="auto"/>
      <w:jc w:val="center"/>
      <w:rPr>
        <w:rFonts w:ascii="Verdana" w:eastAsia="Calibri" w:hAnsi="Verdana" w:cs="Times New Roman"/>
        <w:b/>
        <w:sz w:val="20"/>
        <w:szCs w:val="20"/>
      </w:rPr>
    </w:pP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0779FA06" wp14:editId="6D796D00">
              <wp:simplePos x="0" y="0"/>
              <wp:positionH relativeFrom="margin">
                <wp:align>center</wp:align>
              </wp:positionH>
              <wp:positionV relativeFrom="paragraph">
                <wp:posOffset>551870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ABBEEA" id="Graphic 7" o:spid="_x0000_s1026" style="position:absolute;margin-left:0;margin-top:43.45pt;width:477.7pt;height:.1pt;z-index:-25164288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B65C3A" w:rsidRPr="00B65C3A">
      <w:rPr>
        <w:rFonts w:ascii="Verdana" w:eastAsia="Calibri" w:hAnsi="Verdana" w:cs="Times New Roman"/>
        <w:b/>
        <w:sz w:val="20"/>
        <w:szCs w:val="20"/>
      </w:rPr>
      <w:t>ИНДЕКСИ НА ЦЕНИТЕ В СЕЛСКОТО СТОПАНСТВО ЗА</w:t>
    </w:r>
    <w:r w:rsidR="00B65C3A" w:rsidRPr="00B65C3A">
      <w:rPr>
        <w:rFonts w:ascii="Verdana" w:eastAsia="Calibri" w:hAnsi="Verdana" w:cs="Times New Roman"/>
        <w:b/>
        <w:sz w:val="20"/>
        <w:szCs w:val="20"/>
      </w:rPr>
      <w:br/>
    </w:r>
    <w:r w:rsidR="005247FB">
      <w:rPr>
        <w:rFonts w:ascii="Verdana" w:eastAsia="Calibri" w:hAnsi="Verdana" w:cs="Times New Roman"/>
        <w:b/>
        <w:sz w:val="20"/>
        <w:szCs w:val="20"/>
      </w:rPr>
      <w:t>ЧЕТВЪРТО</w:t>
    </w:r>
    <w:r w:rsidR="00B65C3A" w:rsidRPr="00B65C3A">
      <w:rPr>
        <w:rFonts w:ascii="Verdana" w:eastAsia="Calibri" w:hAnsi="Verdana" w:cs="Times New Roman"/>
        <w:b/>
        <w:sz w:val="20"/>
        <w:szCs w:val="20"/>
      </w:rPr>
      <w:t xml:space="preserve"> ТРИМЕСЕЧИЕ НА 2024 ГОДИНА</w:t>
    </w:r>
  </w:p>
  <w:p w14:paraId="40D3565C" w14:textId="77777777" w:rsidR="00D83F28" w:rsidRPr="00B65C3A" w:rsidRDefault="00D83F28" w:rsidP="00B65C3A">
    <w:pPr>
      <w:spacing w:line="360" w:lineRule="auto"/>
      <w:jc w:val="center"/>
      <w:rPr>
        <w:rFonts w:ascii="Verdana" w:eastAsia="Calibri" w:hAnsi="Verdana" w:cs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9DE71" w14:textId="77777777" w:rsidR="00D83F28" w:rsidRPr="00D83F28" w:rsidRDefault="00F76D42" w:rsidP="00D83F28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61312" behindDoc="0" locked="0" layoutInCell="1" allowOverlap="1" wp14:anchorId="503902CD" wp14:editId="362D6198">
          <wp:simplePos x="0" y="0"/>
          <wp:positionH relativeFrom="margin">
            <wp:align>right</wp:align>
          </wp:positionH>
          <wp:positionV relativeFrom="topMargin">
            <wp:posOffset>392154</wp:posOffset>
          </wp:positionV>
          <wp:extent cx="816610" cy="824230"/>
          <wp:effectExtent l="0" t="0" r="2540" b="0"/>
          <wp:wrapSquare wrapText="bothSides"/>
          <wp:docPr id="255" name="Picture 25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605C602" wp14:editId="268A00A3">
              <wp:simplePos x="0" y="0"/>
              <wp:positionH relativeFrom="margin">
                <wp:posOffset>709737</wp:posOffset>
              </wp:positionH>
              <wp:positionV relativeFrom="paragraph">
                <wp:posOffset>221974</wp:posOffset>
              </wp:positionV>
              <wp:extent cx="3633470" cy="600075"/>
              <wp:effectExtent l="0" t="0" r="508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347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5A19EB" w14:textId="77777777" w:rsidR="00D83F28" w:rsidRDefault="00D83F28" w:rsidP="00D60CD2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08A136FF" w14:textId="77777777" w:rsidR="00D83F28" w:rsidRPr="00D83F28" w:rsidRDefault="00D83F28" w:rsidP="00D83F28">
                          <w:pPr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</w:pPr>
                          <w:r w:rsidRPr="00D83F28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  <w:p w14:paraId="2BC79A52" w14:textId="77777777" w:rsidR="00D83F28" w:rsidRPr="00FD731D" w:rsidRDefault="00D83F28" w:rsidP="00D83F28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903E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9pt;margin-top:17.5pt;width:286.1pt;height:4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" stroked="f">
              <v:textbox>
                <w:txbxContent>
                  <w:p w:rsidR="00D83F28" w:rsidRDefault="00D83F28" w:rsidP="00D60CD2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D83F28" w:rsidRPr="00D83F28" w:rsidRDefault="00D83F28" w:rsidP="00D83F28">
                    <w:pPr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</w:pPr>
                    <w:r w:rsidRPr="00D83F28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  <w:p w:rsidR="00D83F28" w:rsidRPr="00FD731D" w:rsidRDefault="00D83F28" w:rsidP="00D83F28">
                    <w:pPr>
                      <w:rPr>
                        <w:b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174732C0" wp14:editId="2172B8CF">
              <wp:simplePos x="0" y="0"/>
              <wp:positionH relativeFrom="margin">
                <wp:align>center</wp:align>
              </wp:positionH>
              <wp:positionV relativeFrom="paragraph">
                <wp:posOffset>925554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8ACA6C" id="Graphic 7" o:spid="_x0000_s1026" style="position:absolute;margin-left:0;margin-top:72.9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928947F" wp14:editId="34D5A7ED">
              <wp:simplePos x="0" y="0"/>
              <wp:positionH relativeFrom="column">
                <wp:posOffset>624205</wp:posOffset>
              </wp:positionH>
              <wp:positionV relativeFrom="paragraph">
                <wp:posOffset>186690</wp:posOffset>
              </wp:positionV>
              <wp:extent cx="5080" cy="62992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0EA5FE" id="Graphic 1" o:spid="_x0000_s1026" style="position:absolute;margin-left:49.15pt;margin-top:14.7pt;width:.4pt;height:49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" path="m4686,l,,,629754r4686,l4686,xe" fillcolor="#13110c" stroked="f">
              <v:path arrowok="t"/>
              <w10:wrap type="through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0288" behindDoc="0" locked="0" layoutInCell="1" allowOverlap="1" wp14:anchorId="0397F622" wp14:editId="77CA3151">
          <wp:simplePos x="0" y="0"/>
          <wp:positionH relativeFrom="margin">
            <wp:posOffset>-46024</wp:posOffset>
          </wp:positionH>
          <wp:positionV relativeFrom="paragraph">
            <wp:posOffset>48260</wp:posOffset>
          </wp:positionV>
          <wp:extent cx="581025" cy="809625"/>
          <wp:effectExtent l="0" t="0" r="9525" b="9525"/>
          <wp:wrapNone/>
          <wp:docPr id="25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62901"/>
    <w:multiLevelType w:val="hybridMultilevel"/>
    <w:tmpl w:val="341C9E14"/>
    <w:lvl w:ilvl="0" w:tplc="ED80F3D0">
      <w:start w:val="1"/>
      <w:numFmt w:val="bullet"/>
      <w:lvlText w:val=""/>
      <w:lvlJc w:val="left"/>
      <w:pPr>
        <w:tabs>
          <w:tab w:val="num" w:pos="1072"/>
        </w:tabs>
        <w:ind w:left="1072" w:hanging="3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28"/>
    <w:rsid w:val="00127576"/>
    <w:rsid w:val="00144F2A"/>
    <w:rsid w:val="00170F30"/>
    <w:rsid w:val="001808C5"/>
    <w:rsid w:val="001F201A"/>
    <w:rsid w:val="00266E6D"/>
    <w:rsid w:val="00307BDE"/>
    <w:rsid w:val="00326D3E"/>
    <w:rsid w:val="0033597F"/>
    <w:rsid w:val="00350F0B"/>
    <w:rsid w:val="003749A6"/>
    <w:rsid w:val="003B647A"/>
    <w:rsid w:val="003D7E49"/>
    <w:rsid w:val="003E5792"/>
    <w:rsid w:val="003E75E1"/>
    <w:rsid w:val="004441B0"/>
    <w:rsid w:val="004F5AD3"/>
    <w:rsid w:val="005044B9"/>
    <w:rsid w:val="00520C82"/>
    <w:rsid w:val="005247FB"/>
    <w:rsid w:val="005353CB"/>
    <w:rsid w:val="005534F7"/>
    <w:rsid w:val="00643044"/>
    <w:rsid w:val="00697631"/>
    <w:rsid w:val="006A4C8F"/>
    <w:rsid w:val="006B1397"/>
    <w:rsid w:val="006C119C"/>
    <w:rsid w:val="006D2AB3"/>
    <w:rsid w:val="00723040"/>
    <w:rsid w:val="00794C11"/>
    <w:rsid w:val="007E1E71"/>
    <w:rsid w:val="00804C61"/>
    <w:rsid w:val="00870A93"/>
    <w:rsid w:val="008E6CB5"/>
    <w:rsid w:val="009757F5"/>
    <w:rsid w:val="009C52D9"/>
    <w:rsid w:val="009D09F7"/>
    <w:rsid w:val="00A52BAB"/>
    <w:rsid w:val="00AE3A21"/>
    <w:rsid w:val="00B24143"/>
    <w:rsid w:val="00B26803"/>
    <w:rsid w:val="00B65C3A"/>
    <w:rsid w:val="00B969FF"/>
    <w:rsid w:val="00BA006A"/>
    <w:rsid w:val="00D07C00"/>
    <w:rsid w:val="00D1621F"/>
    <w:rsid w:val="00D40945"/>
    <w:rsid w:val="00D4474A"/>
    <w:rsid w:val="00D60CD2"/>
    <w:rsid w:val="00D83F28"/>
    <w:rsid w:val="00E569C8"/>
    <w:rsid w:val="00EF4FC0"/>
    <w:rsid w:val="00F76D42"/>
    <w:rsid w:val="00FE3527"/>
    <w:rsid w:val="00FF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A8E1F6"/>
  <w15:chartTrackingRefBased/>
  <w15:docId w15:val="{9E07E5B6-A708-401D-92EA-F96A953E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A93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F2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F2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3F2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F28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D83F28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83F28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870A93"/>
    <w:pPr>
      <w:spacing w:after="0" w:line="240" w:lineRule="auto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441B0"/>
    <w:pPr>
      <w:spacing w:after="0" w:line="240" w:lineRule="auto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409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09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094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9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945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9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9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VIARA\&#1055;&#1088;&#1077;&#1089;&#1089;&#1098;&#1086;&#1073;&#1097;&#1077;&#1085;&#1080;&#1077;\4-&#1090;&#1086;%202024\Grafiki_2024_4_BG_ENG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r>
              <a:rPr lang="bg-BG" sz="800" baseline="0">
                <a:latin typeface="Verdana" panose="020B0604030504040204" pitchFamily="34" charset="0"/>
                <a:ea typeface="Verdana" panose="020B0604030504040204" pitchFamily="34" charset="0"/>
              </a:rPr>
              <a:t>%</a:t>
            </a:r>
          </a:p>
        </c:rich>
      </c:tx>
      <c:layout>
        <c:manualLayout>
          <c:xMode val="edge"/>
          <c:yMode val="edge"/>
          <c:x val="6.1709088273561509E-2"/>
          <c:y val="5.139653923350079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Verdana" panose="020B0604030504040204" pitchFamily="34" charset="0"/>
              <a:ea typeface="Verdana" panose="020B0604030504040204" pitchFamily="34" charset="0"/>
              <a:cs typeface="+mn-cs"/>
            </a:defRPr>
          </a:pPr>
          <a:endParaRPr lang="bg-BG"/>
        </a:p>
      </c:txPr>
    </c:title>
    <c:autoTitleDeleted val="0"/>
    <c:plotArea>
      <c:layout>
        <c:manualLayout>
          <c:layoutTarget val="inner"/>
          <c:xMode val="edge"/>
          <c:yMode val="edge"/>
          <c:x val="7.6406415489964311E-2"/>
          <c:y val="0.12122373843541051"/>
          <c:w val="0.8557601207458676"/>
          <c:h val="0.61064020170345223"/>
        </c:manualLayout>
      </c:layout>
      <c:lineChart>
        <c:grouping val="standard"/>
        <c:varyColors val="0"/>
        <c:ser>
          <c:idx val="0"/>
          <c:order val="0"/>
          <c:tx>
            <c:strRef>
              <c:f>Graf_2024_1_BG!$A$5</c:f>
              <c:strCache>
                <c:ptCount val="1"/>
                <c:pt idx="0">
                  <c:v>Общо</c:v>
                </c:pt>
              </c:strCache>
            </c:strRef>
          </c:tx>
          <c:spPr>
            <a:ln w="23495" cap="rnd">
              <a:solidFill>
                <a:schemeClr val="tx2"/>
              </a:solidFill>
              <a:round/>
            </a:ln>
            <a:effectLst/>
          </c:spPr>
          <c:marker>
            <c:symbol val="none"/>
          </c:marker>
          <c:cat>
            <c:strRef>
              <c:f>Graf_2024_1_BG!$B$4:$U$4</c:f>
              <c:strCache>
                <c:ptCount val="20"/>
                <c:pt idx="0">
                  <c:v>I 2020</c:v>
                </c:pt>
                <c:pt idx="1">
                  <c:v>II 2020</c:v>
                </c:pt>
                <c:pt idx="2">
                  <c:v>III 2020</c:v>
                </c:pt>
                <c:pt idx="3">
                  <c:v>IV 2020</c:v>
                </c:pt>
                <c:pt idx="4">
                  <c:v>I 2021</c:v>
                </c:pt>
                <c:pt idx="5">
                  <c:v>II 2021</c:v>
                </c:pt>
                <c:pt idx="6">
                  <c:v>III 2021</c:v>
                </c:pt>
                <c:pt idx="7">
                  <c:v>IV 2021</c:v>
                </c:pt>
                <c:pt idx="8">
                  <c:v>I 2022</c:v>
                </c:pt>
                <c:pt idx="9">
                  <c:v>II 2022</c:v>
                </c:pt>
                <c:pt idx="10">
                  <c:v>III 2022</c:v>
                </c:pt>
                <c:pt idx="11">
                  <c:v>IV 2022</c:v>
                </c:pt>
                <c:pt idx="12">
                  <c:v>I 2023</c:v>
                </c:pt>
                <c:pt idx="13">
                  <c:v>II 2023</c:v>
                </c:pt>
                <c:pt idx="14">
                  <c:v>III 2023</c:v>
                </c:pt>
                <c:pt idx="15">
                  <c:v>IV 2023</c:v>
                </c:pt>
                <c:pt idx="16">
                  <c:v>I 2024</c:v>
                </c:pt>
                <c:pt idx="17">
                  <c:v>II 2024</c:v>
                </c:pt>
                <c:pt idx="18">
                  <c:v>III 2024</c:v>
                </c:pt>
                <c:pt idx="19">
                  <c:v>IV 2024</c:v>
                </c:pt>
              </c:strCache>
            </c:strRef>
          </c:cat>
          <c:val>
            <c:numRef>
              <c:f>Graf_2024_1_BG!$B$5:$U$5</c:f>
              <c:numCache>
                <c:formatCode>0.0</c:formatCode>
                <c:ptCount val="20"/>
                <c:pt idx="0">
                  <c:v>99.286179305796281</c:v>
                </c:pt>
                <c:pt idx="1">
                  <c:v>98.677409451813261</c:v>
                </c:pt>
                <c:pt idx="2">
                  <c:v>96.65654484980675</c:v>
                </c:pt>
                <c:pt idx="3">
                  <c:v>105.10089148391795</c:v>
                </c:pt>
                <c:pt idx="4">
                  <c:v>116.24018584465674</c:v>
                </c:pt>
                <c:pt idx="5">
                  <c:v>109.57059260463198</c:v>
                </c:pt>
                <c:pt idx="6">
                  <c:v>114.865411220976</c:v>
                </c:pt>
                <c:pt idx="7">
                  <c:v>131.36456063383207</c:v>
                </c:pt>
                <c:pt idx="8">
                  <c:v>146.48758382418228</c:v>
                </c:pt>
                <c:pt idx="9">
                  <c:v>150.54505813148742</c:v>
                </c:pt>
                <c:pt idx="10">
                  <c:v>162.78021198827551</c:v>
                </c:pt>
                <c:pt idx="11">
                  <c:v>157.24346284929646</c:v>
                </c:pt>
                <c:pt idx="12">
                  <c:v>150.56933458003357</c:v>
                </c:pt>
                <c:pt idx="13">
                  <c:v>138.65685265394794</c:v>
                </c:pt>
                <c:pt idx="14">
                  <c:v>119.90557451191961</c:v>
                </c:pt>
                <c:pt idx="15">
                  <c:v>121.25759534681615</c:v>
                </c:pt>
                <c:pt idx="16">
                  <c:v>123.09890604469226</c:v>
                </c:pt>
                <c:pt idx="17">
                  <c:v>129.755778870623</c:v>
                </c:pt>
                <c:pt idx="18" formatCode="General">
                  <c:v>119.2</c:v>
                </c:pt>
                <c:pt idx="19" formatCode="General">
                  <c:v>131.9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A93-4FAA-8D88-988A9F191A9E}"/>
            </c:ext>
          </c:extLst>
        </c:ser>
        <c:ser>
          <c:idx val="1"/>
          <c:order val="1"/>
          <c:tx>
            <c:strRef>
              <c:f>Graf_2024_1_BG!$A$6</c:f>
              <c:strCache>
                <c:ptCount val="1"/>
                <c:pt idx="0">
                  <c:v>Растениевъдство</c:v>
                </c:pt>
              </c:strCache>
            </c:strRef>
          </c:tx>
          <c:spPr>
            <a:ln w="23495" cap="rnd">
              <a:solidFill>
                <a:srgbClr val="00B050"/>
              </a:solidFill>
              <a:round/>
            </a:ln>
            <a:effectLst/>
          </c:spPr>
          <c:marker>
            <c:symbol val="none"/>
          </c:marker>
          <c:cat>
            <c:strRef>
              <c:f>Graf_2024_1_BG!$B$4:$U$4</c:f>
              <c:strCache>
                <c:ptCount val="20"/>
                <c:pt idx="0">
                  <c:v>I 2020</c:v>
                </c:pt>
                <c:pt idx="1">
                  <c:v>II 2020</c:v>
                </c:pt>
                <c:pt idx="2">
                  <c:v>III 2020</c:v>
                </c:pt>
                <c:pt idx="3">
                  <c:v>IV 2020</c:v>
                </c:pt>
                <c:pt idx="4">
                  <c:v>I 2021</c:v>
                </c:pt>
                <c:pt idx="5">
                  <c:v>II 2021</c:v>
                </c:pt>
                <c:pt idx="6">
                  <c:v>III 2021</c:v>
                </c:pt>
                <c:pt idx="7">
                  <c:v>IV 2021</c:v>
                </c:pt>
                <c:pt idx="8">
                  <c:v>I 2022</c:v>
                </c:pt>
                <c:pt idx="9">
                  <c:v>II 2022</c:v>
                </c:pt>
                <c:pt idx="10">
                  <c:v>III 2022</c:v>
                </c:pt>
                <c:pt idx="11">
                  <c:v>IV 2022</c:v>
                </c:pt>
                <c:pt idx="12">
                  <c:v>I 2023</c:v>
                </c:pt>
                <c:pt idx="13">
                  <c:v>II 2023</c:v>
                </c:pt>
                <c:pt idx="14">
                  <c:v>III 2023</c:v>
                </c:pt>
                <c:pt idx="15">
                  <c:v>IV 2023</c:v>
                </c:pt>
                <c:pt idx="16">
                  <c:v>I 2024</c:v>
                </c:pt>
                <c:pt idx="17">
                  <c:v>II 2024</c:v>
                </c:pt>
                <c:pt idx="18">
                  <c:v>III 2024</c:v>
                </c:pt>
                <c:pt idx="19">
                  <c:v>IV 2024</c:v>
                </c:pt>
              </c:strCache>
            </c:strRef>
          </c:cat>
          <c:val>
            <c:numRef>
              <c:f>Graf_2024_1_BG!$B$6:$U$6</c:f>
              <c:numCache>
                <c:formatCode>0.0</c:formatCode>
                <c:ptCount val="20"/>
                <c:pt idx="0">
                  <c:v>97.187536679702006</c:v>
                </c:pt>
                <c:pt idx="1">
                  <c:v>98.450362102451081</c:v>
                </c:pt>
                <c:pt idx="2">
                  <c:v>96.09165485265396</c:v>
                </c:pt>
                <c:pt idx="3">
                  <c:v>106.79418464176386</c:v>
                </c:pt>
                <c:pt idx="4">
                  <c:v>124.49810412983733</c:v>
                </c:pt>
                <c:pt idx="5">
                  <c:v>118.21371742045582</c:v>
                </c:pt>
                <c:pt idx="6">
                  <c:v>117.65927290751047</c:v>
                </c:pt>
                <c:pt idx="7">
                  <c:v>138.61455013772155</c:v>
                </c:pt>
                <c:pt idx="8">
                  <c:v>163.32958183454519</c:v>
                </c:pt>
                <c:pt idx="9">
                  <c:v>171.99566840076892</c:v>
                </c:pt>
                <c:pt idx="10">
                  <c:v>169.18232256416542</c:v>
                </c:pt>
                <c:pt idx="11">
                  <c:v>160.9291500516737</c:v>
                </c:pt>
                <c:pt idx="12">
                  <c:v>152.59993563175735</c:v>
                </c:pt>
                <c:pt idx="13">
                  <c:v>137.52446902054976</c:v>
                </c:pt>
                <c:pt idx="14">
                  <c:v>116.51920813629141</c:v>
                </c:pt>
                <c:pt idx="15">
                  <c:v>116.99064442360702</c:v>
                </c:pt>
                <c:pt idx="16">
                  <c:v>112.91093590760528</c:v>
                </c:pt>
                <c:pt idx="17">
                  <c:v>122.18826530736888</c:v>
                </c:pt>
                <c:pt idx="18">
                  <c:v>116.24290546809786</c:v>
                </c:pt>
                <c:pt idx="19">
                  <c:v>129.28450569859564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A93-4FAA-8D88-988A9F191A9E}"/>
            </c:ext>
          </c:extLst>
        </c:ser>
        <c:ser>
          <c:idx val="2"/>
          <c:order val="2"/>
          <c:tx>
            <c:strRef>
              <c:f>Graf_2024_1_BG!$A$7</c:f>
              <c:strCache>
                <c:ptCount val="1"/>
                <c:pt idx="0">
                  <c:v>Животновъдство</c:v>
                </c:pt>
              </c:strCache>
            </c:strRef>
          </c:tx>
          <c:spPr>
            <a:ln w="23495" cap="rnd">
              <a:solidFill>
                <a:srgbClr val="FFC000"/>
              </a:solidFill>
              <a:round/>
            </a:ln>
            <a:effectLst/>
          </c:spPr>
          <c:marker>
            <c:symbol val="none"/>
          </c:marker>
          <c:cat>
            <c:strRef>
              <c:f>Graf_2024_1_BG!$B$4:$U$4</c:f>
              <c:strCache>
                <c:ptCount val="20"/>
                <c:pt idx="0">
                  <c:v>I 2020</c:v>
                </c:pt>
                <c:pt idx="1">
                  <c:v>II 2020</c:v>
                </c:pt>
                <c:pt idx="2">
                  <c:v>III 2020</c:v>
                </c:pt>
                <c:pt idx="3">
                  <c:v>IV 2020</c:v>
                </c:pt>
                <c:pt idx="4">
                  <c:v>I 2021</c:v>
                </c:pt>
                <c:pt idx="5">
                  <c:v>II 2021</c:v>
                </c:pt>
                <c:pt idx="6">
                  <c:v>III 2021</c:v>
                </c:pt>
                <c:pt idx="7">
                  <c:v>IV 2021</c:v>
                </c:pt>
                <c:pt idx="8">
                  <c:v>I 2022</c:v>
                </c:pt>
                <c:pt idx="9">
                  <c:v>II 2022</c:v>
                </c:pt>
                <c:pt idx="10">
                  <c:v>III 2022</c:v>
                </c:pt>
                <c:pt idx="11">
                  <c:v>IV 2022</c:v>
                </c:pt>
                <c:pt idx="12">
                  <c:v>I 2023</c:v>
                </c:pt>
                <c:pt idx="13">
                  <c:v>II 2023</c:v>
                </c:pt>
                <c:pt idx="14">
                  <c:v>III 2023</c:v>
                </c:pt>
                <c:pt idx="15">
                  <c:v>IV 2023</c:v>
                </c:pt>
                <c:pt idx="16">
                  <c:v>I 2024</c:v>
                </c:pt>
                <c:pt idx="17">
                  <c:v>II 2024</c:v>
                </c:pt>
                <c:pt idx="18">
                  <c:v>III 2024</c:v>
                </c:pt>
                <c:pt idx="19">
                  <c:v>IV 2024</c:v>
                </c:pt>
              </c:strCache>
            </c:strRef>
          </c:cat>
          <c:val>
            <c:numRef>
              <c:f>Graf_2024_1_BG!$B$7:$U$7</c:f>
              <c:numCache>
                <c:formatCode>0.0</c:formatCode>
                <c:ptCount val="20"/>
                <c:pt idx="0">
                  <c:v>103.80149094789606</c:v>
                </c:pt>
                <c:pt idx="1">
                  <c:v>98.950184914306377</c:v>
                </c:pt>
                <c:pt idx="2">
                  <c:v>99.721150384952466</c:v>
                </c:pt>
                <c:pt idx="3">
                  <c:v>98.042152859577925</c:v>
                </c:pt>
                <c:pt idx="4">
                  <c:v>98.472951867341308</c:v>
                </c:pt>
                <c:pt idx="5">
                  <c:v>99.186712873618873</c:v>
                </c:pt>
                <c:pt idx="6">
                  <c:v>99.708329254326685</c:v>
                </c:pt>
                <c:pt idx="7">
                  <c:v>101.14192570494239</c:v>
                </c:pt>
                <c:pt idx="8">
                  <c:v>110.25136678234033</c:v>
                </c:pt>
                <c:pt idx="9">
                  <c:v>124.77422154872052</c:v>
                </c:pt>
                <c:pt idx="10">
                  <c:v>128.04788603742244</c:v>
                </c:pt>
                <c:pt idx="11">
                  <c:v>141.87914008444713</c:v>
                </c:pt>
                <c:pt idx="12">
                  <c:v>146.20041704481116</c:v>
                </c:pt>
                <c:pt idx="13">
                  <c:v>140.01730222619597</c:v>
                </c:pt>
                <c:pt idx="14">
                  <c:v>138.27707549633973</c:v>
                </c:pt>
                <c:pt idx="15">
                  <c:v>139.04500041029303</c:v>
                </c:pt>
                <c:pt idx="16">
                  <c:v>145.01872202354079</c:v>
                </c:pt>
                <c:pt idx="17">
                  <c:v>138.84741556199333</c:v>
                </c:pt>
                <c:pt idx="18">
                  <c:v>135</c:v>
                </c:pt>
                <c:pt idx="19">
                  <c:v>142.88932449654831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A93-4FAA-8D88-988A9F191A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0139776"/>
        <c:axId val="60141952"/>
      </c:lineChart>
      <c:catAx>
        <c:axId val="60139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3175" cap="flat" cmpd="sng" algn="ctr">
            <a:solidFill>
              <a:schemeClr val="tx1"/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bg-BG"/>
          </a:p>
        </c:txPr>
        <c:crossAx val="60141952"/>
        <c:crossesAt val="60"/>
        <c:auto val="1"/>
        <c:lblAlgn val="ctr"/>
        <c:lblOffset val="100"/>
        <c:noMultiLvlLbl val="0"/>
      </c:catAx>
      <c:valAx>
        <c:axId val="60141952"/>
        <c:scaling>
          <c:orientation val="minMax"/>
          <c:min val="70"/>
        </c:scaling>
        <c:delete val="0"/>
        <c:axPos val="l"/>
        <c:majorGridlines>
          <c:spPr>
            <a:ln w="3175" cap="flat" cmpd="sng" algn="ctr">
              <a:solidFill>
                <a:schemeClr val="tx1"/>
              </a:solidFill>
              <a:round/>
            </a:ln>
            <a:effectLst/>
          </c:spPr>
        </c:majorGridlines>
        <c:numFmt formatCode="0" sourceLinked="0"/>
        <c:majorTickMark val="out"/>
        <c:minorTickMark val="none"/>
        <c:tickLblPos val="nextTo"/>
        <c:spPr>
          <a:noFill/>
          <a:ln w="0">
            <a:solidFill>
              <a:schemeClr val="tx1"/>
            </a:solidFill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bg-BG"/>
          </a:p>
        </c:txPr>
        <c:crossAx val="60139776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9736668861092821"/>
          <c:y val="0.90450144714492198"/>
          <c:w val="0.65359991422573316"/>
          <c:h val="7.093059879143012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r>
              <a:rPr lang="bg-BG" sz="800" baseline="0">
                <a:latin typeface="Verdana" panose="020B0604030504040204" pitchFamily="34" charset="0"/>
                <a:ea typeface="Verdana" panose="020B0604030504040204" pitchFamily="34" charset="0"/>
              </a:rPr>
              <a:t>%</a:t>
            </a:r>
          </a:p>
        </c:rich>
      </c:tx>
      <c:layout>
        <c:manualLayout>
          <c:xMode val="edge"/>
          <c:yMode val="edge"/>
          <c:x val="5.998625032540858E-2"/>
          <c:y val="5.775134219805699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Verdana" panose="020B0604030504040204" pitchFamily="34" charset="0"/>
              <a:ea typeface="Verdana" panose="020B0604030504040204" pitchFamily="34" charset="0"/>
              <a:cs typeface="+mn-cs"/>
            </a:defRPr>
          </a:pPr>
          <a:endParaRPr lang="bg-BG"/>
        </a:p>
      </c:txPr>
    </c:title>
    <c:autoTitleDeleted val="0"/>
    <c:plotArea>
      <c:layout>
        <c:manualLayout>
          <c:layoutTarget val="inner"/>
          <c:xMode val="edge"/>
          <c:yMode val="edge"/>
          <c:x val="6.7302730775674321E-2"/>
          <c:y val="0.1108009093005634"/>
          <c:w val="0.90016793486579838"/>
          <c:h val="0.57279675814581754"/>
        </c:manualLayout>
      </c:layout>
      <c:lineChart>
        <c:grouping val="standard"/>
        <c:varyColors val="0"/>
        <c:ser>
          <c:idx val="7"/>
          <c:order val="0"/>
          <c:tx>
            <c:strRef>
              <c:f>Graf_2024_1_BG!$A$41</c:f>
              <c:strCache>
                <c:ptCount val="1"/>
                <c:pt idx="0">
                  <c:v>Общо</c:v>
                </c:pt>
              </c:strCache>
            </c:strRef>
          </c:tx>
          <c:spPr>
            <a:ln w="2349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strRef>
              <c:f>Graf_2024_1_BG!$B$40:$U$40</c:f>
              <c:strCache>
                <c:ptCount val="20"/>
                <c:pt idx="0">
                  <c:v>I 2020</c:v>
                </c:pt>
                <c:pt idx="1">
                  <c:v>II 2020</c:v>
                </c:pt>
                <c:pt idx="2">
                  <c:v>III 2020</c:v>
                </c:pt>
                <c:pt idx="3">
                  <c:v>IV 2020</c:v>
                </c:pt>
                <c:pt idx="4">
                  <c:v>I 2021</c:v>
                </c:pt>
                <c:pt idx="5">
                  <c:v>II 2021</c:v>
                </c:pt>
                <c:pt idx="6">
                  <c:v>III 2021</c:v>
                </c:pt>
                <c:pt idx="7">
                  <c:v>IV 2021</c:v>
                </c:pt>
                <c:pt idx="8">
                  <c:v>I 2022</c:v>
                </c:pt>
                <c:pt idx="9">
                  <c:v>II 2022</c:v>
                </c:pt>
                <c:pt idx="10">
                  <c:v>III 2022</c:v>
                </c:pt>
                <c:pt idx="11">
                  <c:v>IV 2022</c:v>
                </c:pt>
                <c:pt idx="12">
                  <c:v>I 2023</c:v>
                </c:pt>
                <c:pt idx="13">
                  <c:v>II 2023</c:v>
                </c:pt>
                <c:pt idx="14">
                  <c:v>III 2023</c:v>
                </c:pt>
                <c:pt idx="15">
                  <c:v>IV 2023</c:v>
                </c:pt>
                <c:pt idx="16">
                  <c:v>I 2024</c:v>
                </c:pt>
                <c:pt idx="17">
                  <c:v>II 2024</c:v>
                </c:pt>
                <c:pt idx="18">
                  <c:v>III 2024</c:v>
                </c:pt>
                <c:pt idx="19">
                  <c:v>IV 2024</c:v>
                </c:pt>
              </c:strCache>
            </c:strRef>
          </c:cat>
          <c:val>
            <c:numRef>
              <c:f>Graf_2024_1_BG!$B$41:$U$41</c:f>
              <c:numCache>
                <c:formatCode>0.0</c:formatCode>
                <c:ptCount val="20"/>
                <c:pt idx="0">
                  <c:v>102.4</c:v>
                </c:pt>
                <c:pt idx="1">
                  <c:v>99.3</c:v>
                </c:pt>
                <c:pt idx="2">
                  <c:v>99.1</c:v>
                </c:pt>
                <c:pt idx="3">
                  <c:v>99.2</c:v>
                </c:pt>
                <c:pt idx="4">
                  <c:v>103.3</c:v>
                </c:pt>
                <c:pt idx="5">
                  <c:v>107.3</c:v>
                </c:pt>
                <c:pt idx="6">
                  <c:v>112.2</c:v>
                </c:pt>
                <c:pt idx="7">
                  <c:v>123.2</c:v>
                </c:pt>
                <c:pt idx="8">
                  <c:v>137.1</c:v>
                </c:pt>
                <c:pt idx="9">
                  <c:v>151.30000000000001</c:v>
                </c:pt>
                <c:pt idx="10">
                  <c:v>157.30000000000001</c:v>
                </c:pt>
                <c:pt idx="11">
                  <c:v>155.80000000000001</c:v>
                </c:pt>
                <c:pt idx="12">
                  <c:v>147.1</c:v>
                </c:pt>
                <c:pt idx="13" formatCode="General">
                  <c:v>142.1</c:v>
                </c:pt>
                <c:pt idx="14" formatCode="General">
                  <c:v>137.80000000000001</c:v>
                </c:pt>
                <c:pt idx="15" formatCode="General">
                  <c:v>138.5</c:v>
                </c:pt>
                <c:pt idx="16" formatCode="General">
                  <c:v>137</c:v>
                </c:pt>
                <c:pt idx="17" formatCode="General">
                  <c:v>137.69999999999999</c:v>
                </c:pt>
                <c:pt idx="18" formatCode="General">
                  <c:v>138.1</c:v>
                </c:pt>
                <c:pt idx="19" formatCode="General">
                  <c:v>136.1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810-4333-AC88-8DCF7A7BB92F}"/>
            </c:ext>
          </c:extLst>
        </c:ser>
        <c:ser>
          <c:idx val="8"/>
          <c:order val="1"/>
          <c:tx>
            <c:strRef>
              <c:f>Graf_2024_1_BG!$A$42</c:f>
              <c:strCache>
                <c:ptCount val="1"/>
                <c:pt idx="0">
                  <c:v>Посевен и посадъчен материал</c:v>
                </c:pt>
              </c:strCache>
            </c:strRef>
          </c:tx>
          <c:spPr>
            <a:ln w="23495" cap="rnd">
              <a:solidFill>
                <a:schemeClr val="accent6">
                  <a:lumMod val="5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Graf_2024_1_BG!$B$40:$U$40</c:f>
              <c:strCache>
                <c:ptCount val="20"/>
                <c:pt idx="0">
                  <c:v>I 2020</c:v>
                </c:pt>
                <c:pt idx="1">
                  <c:v>II 2020</c:v>
                </c:pt>
                <c:pt idx="2">
                  <c:v>III 2020</c:v>
                </c:pt>
                <c:pt idx="3">
                  <c:v>IV 2020</c:v>
                </c:pt>
                <c:pt idx="4">
                  <c:v>I 2021</c:v>
                </c:pt>
                <c:pt idx="5">
                  <c:v>II 2021</c:v>
                </c:pt>
                <c:pt idx="6">
                  <c:v>III 2021</c:v>
                </c:pt>
                <c:pt idx="7">
                  <c:v>IV 2021</c:v>
                </c:pt>
                <c:pt idx="8">
                  <c:v>I 2022</c:v>
                </c:pt>
                <c:pt idx="9">
                  <c:v>II 2022</c:v>
                </c:pt>
                <c:pt idx="10">
                  <c:v>III 2022</c:v>
                </c:pt>
                <c:pt idx="11">
                  <c:v>IV 2022</c:v>
                </c:pt>
                <c:pt idx="12">
                  <c:v>I 2023</c:v>
                </c:pt>
                <c:pt idx="13">
                  <c:v>II 2023</c:v>
                </c:pt>
                <c:pt idx="14">
                  <c:v>III 2023</c:v>
                </c:pt>
                <c:pt idx="15">
                  <c:v>IV 2023</c:v>
                </c:pt>
                <c:pt idx="16">
                  <c:v>I 2024</c:v>
                </c:pt>
                <c:pt idx="17">
                  <c:v>II 2024</c:v>
                </c:pt>
                <c:pt idx="18">
                  <c:v>III 2024</c:v>
                </c:pt>
                <c:pt idx="19">
                  <c:v>IV 2024</c:v>
                </c:pt>
              </c:strCache>
            </c:strRef>
          </c:cat>
          <c:val>
            <c:numRef>
              <c:f>Graf_2024_1_BG!$B$42:$U$42</c:f>
              <c:numCache>
                <c:formatCode>0.0</c:formatCode>
                <c:ptCount val="20"/>
                <c:pt idx="0">
                  <c:v>97.4</c:v>
                </c:pt>
                <c:pt idx="1">
                  <c:v>102.3</c:v>
                </c:pt>
                <c:pt idx="2">
                  <c:v>103.6</c:v>
                </c:pt>
                <c:pt idx="3">
                  <c:v>96.7</c:v>
                </c:pt>
                <c:pt idx="4">
                  <c:v>98</c:v>
                </c:pt>
                <c:pt idx="5">
                  <c:v>106.4</c:v>
                </c:pt>
                <c:pt idx="6">
                  <c:v>103.6</c:v>
                </c:pt>
                <c:pt idx="7">
                  <c:v>105.4</c:v>
                </c:pt>
                <c:pt idx="8">
                  <c:v>110.9</c:v>
                </c:pt>
                <c:pt idx="9">
                  <c:v>113.4</c:v>
                </c:pt>
                <c:pt idx="10">
                  <c:v>124.1</c:v>
                </c:pt>
                <c:pt idx="11">
                  <c:v>131.80000000000001</c:v>
                </c:pt>
                <c:pt idx="12">
                  <c:v>138.1</c:v>
                </c:pt>
                <c:pt idx="13">
                  <c:v>135</c:v>
                </c:pt>
                <c:pt idx="14">
                  <c:v>137.19999999999999</c:v>
                </c:pt>
                <c:pt idx="15" formatCode="General">
                  <c:v>141.19999999999999</c:v>
                </c:pt>
                <c:pt idx="16" formatCode="General">
                  <c:v>144</c:v>
                </c:pt>
                <c:pt idx="17" formatCode="General">
                  <c:v>146.19999999999999</c:v>
                </c:pt>
                <c:pt idx="18" formatCode="General">
                  <c:v>157.69999999999999</c:v>
                </c:pt>
                <c:pt idx="19" formatCode="General">
                  <c:v>146.4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810-4333-AC88-8DCF7A7BB92F}"/>
            </c:ext>
          </c:extLst>
        </c:ser>
        <c:ser>
          <c:idx val="9"/>
          <c:order val="2"/>
          <c:tx>
            <c:strRef>
              <c:f>Graf_2024_1_BG!$A$43</c:f>
              <c:strCache>
                <c:ptCount val="1"/>
                <c:pt idx="0">
                  <c:v>Електроенергия, горива и други</c:v>
                </c:pt>
              </c:strCache>
            </c:strRef>
          </c:tx>
          <c:spPr>
            <a:ln w="2349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strRef>
              <c:f>Graf_2024_1_BG!$B$40:$U$40</c:f>
              <c:strCache>
                <c:ptCount val="20"/>
                <c:pt idx="0">
                  <c:v>I 2020</c:v>
                </c:pt>
                <c:pt idx="1">
                  <c:v>II 2020</c:v>
                </c:pt>
                <c:pt idx="2">
                  <c:v>III 2020</c:v>
                </c:pt>
                <c:pt idx="3">
                  <c:v>IV 2020</c:v>
                </c:pt>
                <c:pt idx="4">
                  <c:v>I 2021</c:v>
                </c:pt>
                <c:pt idx="5">
                  <c:v>II 2021</c:v>
                </c:pt>
                <c:pt idx="6">
                  <c:v>III 2021</c:v>
                </c:pt>
                <c:pt idx="7">
                  <c:v>IV 2021</c:v>
                </c:pt>
                <c:pt idx="8">
                  <c:v>I 2022</c:v>
                </c:pt>
                <c:pt idx="9">
                  <c:v>II 2022</c:v>
                </c:pt>
                <c:pt idx="10">
                  <c:v>III 2022</c:v>
                </c:pt>
                <c:pt idx="11">
                  <c:v>IV 2022</c:v>
                </c:pt>
                <c:pt idx="12">
                  <c:v>I 2023</c:v>
                </c:pt>
                <c:pt idx="13">
                  <c:v>II 2023</c:v>
                </c:pt>
                <c:pt idx="14">
                  <c:v>III 2023</c:v>
                </c:pt>
                <c:pt idx="15">
                  <c:v>IV 2023</c:v>
                </c:pt>
                <c:pt idx="16">
                  <c:v>I 2024</c:v>
                </c:pt>
                <c:pt idx="17">
                  <c:v>II 2024</c:v>
                </c:pt>
                <c:pt idx="18">
                  <c:v>III 2024</c:v>
                </c:pt>
                <c:pt idx="19">
                  <c:v>IV 2024</c:v>
                </c:pt>
              </c:strCache>
            </c:strRef>
          </c:cat>
          <c:val>
            <c:numRef>
              <c:f>Graf_2024_1_BG!$B$43:$U$43</c:f>
              <c:numCache>
                <c:formatCode>0.0</c:formatCode>
                <c:ptCount val="20"/>
                <c:pt idx="0">
                  <c:v>111.6</c:v>
                </c:pt>
                <c:pt idx="1">
                  <c:v>94.9</c:v>
                </c:pt>
                <c:pt idx="2">
                  <c:v>96.2</c:v>
                </c:pt>
                <c:pt idx="3">
                  <c:v>97.3</c:v>
                </c:pt>
                <c:pt idx="4">
                  <c:v>103.4</c:v>
                </c:pt>
                <c:pt idx="5">
                  <c:v>109.9</c:v>
                </c:pt>
                <c:pt idx="6">
                  <c:v>116.2</c:v>
                </c:pt>
                <c:pt idx="7">
                  <c:v>123.3</c:v>
                </c:pt>
                <c:pt idx="8">
                  <c:v>131.6</c:v>
                </c:pt>
                <c:pt idx="9">
                  <c:v>153.1</c:v>
                </c:pt>
                <c:pt idx="10">
                  <c:v>157.4</c:v>
                </c:pt>
                <c:pt idx="11">
                  <c:v>144</c:v>
                </c:pt>
                <c:pt idx="12">
                  <c:v>133.30000000000001</c:v>
                </c:pt>
                <c:pt idx="13" formatCode="General">
                  <c:v>131.80000000000001</c:v>
                </c:pt>
                <c:pt idx="14" formatCode="General">
                  <c:v>137.69999999999999</c:v>
                </c:pt>
                <c:pt idx="15" formatCode="General">
                  <c:v>140.19999999999999</c:v>
                </c:pt>
                <c:pt idx="16" formatCode="General">
                  <c:v>138.19999999999999</c:v>
                </c:pt>
                <c:pt idx="17" formatCode="General">
                  <c:v>139.9</c:v>
                </c:pt>
                <c:pt idx="18" formatCode="General">
                  <c:v>135.30000000000001</c:v>
                </c:pt>
                <c:pt idx="19" formatCode="General">
                  <c:v>131.6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810-4333-AC88-8DCF7A7BB92F}"/>
            </c:ext>
          </c:extLst>
        </c:ser>
        <c:ser>
          <c:idx val="10"/>
          <c:order val="3"/>
          <c:tx>
            <c:strRef>
              <c:f>Graf_2024_1_BG!$A$44</c:f>
              <c:strCache>
                <c:ptCount val="1"/>
                <c:pt idx="0">
                  <c:v>Минерални торове</c:v>
                </c:pt>
              </c:strCache>
            </c:strRef>
          </c:tx>
          <c:spPr>
            <a:ln w="23495" cap="rnd">
              <a:solidFill>
                <a:schemeClr val="tx2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Graf_2024_1_BG!$B$40:$U$40</c:f>
              <c:strCache>
                <c:ptCount val="20"/>
                <c:pt idx="0">
                  <c:v>I 2020</c:v>
                </c:pt>
                <c:pt idx="1">
                  <c:v>II 2020</c:v>
                </c:pt>
                <c:pt idx="2">
                  <c:v>III 2020</c:v>
                </c:pt>
                <c:pt idx="3">
                  <c:v>IV 2020</c:v>
                </c:pt>
                <c:pt idx="4">
                  <c:v>I 2021</c:v>
                </c:pt>
                <c:pt idx="5">
                  <c:v>II 2021</c:v>
                </c:pt>
                <c:pt idx="6">
                  <c:v>III 2021</c:v>
                </c:pt>
                <c:pt idx="7">
                  <c:v>IV 2021</c:v>
                </c:pt>
                <c:pt idx="8">
                  <c:v>I 2022</c:v>
                </c:pt>
                <c:pt idx="9">
                  <c:v>II 2022</c:v>
                </c:pt>
                <c:pt idx="10">
                  <c:v>III 2022</c:v>
                </c:pt>
                <c:pt idx="11">
                  <c:v>IV 2022</c:v>
                </c:pt>
                <c:pt idx="12">
                  <c:v>I 2023</c:v>
                </c:pt>
                <c:pt idx="13">
                  <c:v>II 2023</c:v>
                </c:pt>
                <c:pt idx="14">
                  <c:v>III 2023</c:v>
                </c:pt>
                <c:pt idx="15">
                  <c:v>IV 2023</c:v>
                </c:pt>
                <c:pt idx="16">
                  <c:v>I 2024</c:v>
                </c:pt>
                <c:pt idx="17">
                  <c:v>II 2024</c:v>
                </c:pt>
                <c:pt idx="18">
                  <c:v>III 2024</c:v>
                </c:pt>
                <c:pt idx="19">
                  <c:v>IV 2024</c:v>
                </c:pt>
              </c:strCache>
            </c:strRef>
          </c:cat>
          <c:val>
            <c:numRef>
              <c:f>Graf_2024_1_BG!$B$44:$U$44</c:f>
              <c:numCache>
                <c:formatCode>0.0</c:formatCode>
                <c:ptCount val="20"/>
                <c:pt idx="0">
                  <c:v>101</c:v>
                </c:pt>
                <c:pt idx="1">
                  <c:v>102</c:v>
                </c:pt>
                <c:pt idx="2">
                  <c:v>100.6</c:v>
                </c:pt>
                <c:pt idx="3">
                  <c:v>96.4</c:v>
                </c:pt>
                <c:pt idx="4">
                  <c:v>106.4</c:v>
                </c:pt>
                <c:pt idx="5">
                  <c:v>115.1</c:v>
                </c:pt>
                <c:pt idx="6">
                  <c:v>141.80000000000001</c:v>
                </c:pt>
                <c:pt idx="7">
                  <c:v>198</c:v>
                </c:pt>
                <c:pt idx="8">
                  <c:v>261</c:v>
                </c:pt>
                <c:pt idx="9">
                  <c:v>284.3</c:v>
                </c:pt>
                <c:pt idx="10">
                  <c:v>304.3</c:v>
                </c:pt>
                <c:pt idx="11">
                  <c:v>300.89999999999998</c:v>
                </c:pt>
                <c:pt idx="12">
                  <c:v>246.7</c:v>
                </c:pt>
                <c:pt idx="13" formatCode="General">
                  <c:v>210.1</c:v>
                </c:pt>
                <c:pt idx="14" formatCode="General">
                  <c:v>168.6</c:v>
                </c:pt>
                <c:pt idx="15" formatCode="General">
                  <c:v>166.9</c:v>
                </c:pt>
                <c:pt idx="16" formatCode="General">
                  <c:v>151.19999999999999</c:v>
                </c:pt>
                <c:pt idx="17" formatCode="General">
                  <c:v>154.4</c:v>
                </c:pt>
                <c:pt idx="18" formatCode="General">
                  <c:v>152.80000000000001</c:v>
                </c:pt>
                <c:pt idx="19" formatCode="General">
                  <c:v>146.80000000000001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810-4333-AC88-8DCF7A7BB92F}"/>
            </c:ext>
          </c:extLst>
        </c:ser>
        <c:ser>
          <c:idx val="11"/>
          <c:order val="4"/>
          <c:tx>
            <c:strRef>
              <c:f>Graf_2024_1_BG!$A$45</c:f>
              <c:strCache>
                <c:ptCount val="1"/>
                <c:pt idx="0">
                  <c:v>Продукти за растителна защита</c:v>
                </c:pt>
              </c:strCache>
            </c:strRef>
          </c:tx>
          <c:spPr>
            <a:ln w="22225" cap="rnd">
              <a:solidFill>
                <a:srgbClr val="FFC000"/>
              </a:solidFill>
              <a:round/>
            </a:ln>
            <a:effectLst/>
          </c:spPr>
          <c:marker>
            <c:symbol val="none"/>
          </c:marker>
          <c:cat>
            <c:strRef>
              <c:f>Graf_2024_1_BG!$B$40:$U$40</c:f>
              <c:strCache>
                <c:ptCount val="20"/>
                <c:pt idx="0">
                  <c:v>I 2020</c:v>
                </c:pt>
                <c:pt idx="1">
                  <c:v>II 2020</c:v>
                </c:pt>
                <c:pt idx="2">
                  <c:v>III 2020</c:v>
                </c:pt>
                <c:pt idx="3">
                  <c:v>IV 2020</c:v>
                </c:pt>
                <c:pt idx="4">
                  <c:v>I 2021</c:v>
                </c:pt>
                <c:pt idx="5">
                  <c:v>II 2021</c:v>
                </c:pt>
                <c:pt idx="6">
                  <c:v>III 2021</c:v>
                </c:pt>
                <c:pt idx="7">
                  <c:v>IV 2021</c:v>
                </c:pt>
                <c:pt idx="8">
                  <c:v>I 2022</c:v>
                </c:pt>
                <c:pt idx="9">
                  <c:v>II 2022</c:v>
                </c:pt>
                <c:pt idx="10">
                  <c:v>III 2022</c:v>
                </c:pt>
                <c:pt idx="11">
                  <c:v>IV 2022</c:v>
                </c:pt>
                <c:pt idx="12">
                  <c:v>I 2023</c:v>
                </c:pt>
                <c:pt idx="13">
                  <c:v>II 2023</c:v>
                </c:pt>
                <c:pt idx="14">
                  <c:v>III 2023</c:v>
                </c:pt>
                <c:pt idx="15">
                  <c:v>IV 2023</c:v>
                </c:pt>
                <c:pt idx="16">
                  <c:v>I 2024</c:v>
                </c:pt>
                <c:pt idx="17">
                  <c:v>II 2024</c:v>
                </c:pt>
                <c:pt idx="18">
                  <c:v>III 2024</c:v>
                </c:pt>
                <c:pt idx="19">
                  <c:v>IV 2024</c:v>
                </c:pt>
              </c:strCache>
            </c:strRef>
          </c:cat>
          <c:val>
            <c:numRef>
              <c:f>Graf_2024_1_BG!$B$45:$U$45</c:f>
              <c:numCache>
                <c:formatCode>0.0</c:formatCode>
                <c:ptCount val="20"/>
                <c:pt idx="0">
                  <c:v>98.7</c:v>
                </c:pt>
                <c:pt idx="1">
                  <c:v>100.4</c:v>
                </c:pt>
                <c:pt idx="2">
                  <c:v>100.7</c:v>
                </c:pt>
                <c:pt idx="3">
                  <c:v>100.2</c:v>
                </c:pt>
                <c:pt idx="4">
                  <c:v>101.9</c:v>
                </c:pt>
                <c:pt idx="5">
                  <c:v>101.4</c:v>
                </c:pt>
                <c:pt idx="6">
                  <c:v>100.8</c:v>
                </c:pt>
                <c:pt idx="7">
                  <c:v>101.7</c:v>
                </c:pt>
                <c:pt idx="8">
                  <c:v>116.5</c:v>
                </c:pt>
                <c:pt idx="9">
                  <c:v>133.30000000000001</c:v>
                </c:pt>
                <c:pt idx="10">
                  <c:v>127.2</c:v>
                </c:pt>
                <c:pt idx="11">
                  <c:v>129.6</c:v>
                </c:pt>
                <c:pt idx="12">
                  <c:v>117.8</c:v>
                </c:pt>
                <c:pt idx="13">
                  <c:v>114.6</c:v>
                </c:pt>
                <c:pt idx="14" formatCode="General">
                  <c:v>124.5</c:v>
                </c:pt>
                <c:pt idx="15" formatCode="General">
                  <c:v>122.3</c:v>
                </c:pt>
                <c:pt idx="16" formatCode="General">
                  <c:v>129.69999999999999</c:v>
                </c:pt>
                <c:pt idx="17" formatCode="General">
                  <c:v>131.4</c:v>
                </c:pt>
                <c:pt idx="18" formatCode="General">
                  <c:v>136.69999999999999</c:v>
                </c:pt>
                <c:pt idx="19" formatCode="General">
                  <c:v>124.9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3810-4333-AC88-8DCF7A7BB92F}"/>
            </c:ext>
          </c:extLst>
        </c:ser>
        <c:ser>
          <c:idx val="12"/>
          <c:order val="5"/>
          <c:tx>
            <c:strRef>
              <c:f>Graf_2024_1_BG!$A$46</c:f>
              <c:strCache>
                <c:ptCount val="1"/>
                <c:pt idx="0">
                  <c:v>Ветеринарномедицински продукти</c:v>
                </c:pt>
              </c:strCache>
            </c:strRef>
          </c:tx>
          <c:spPr>
            <a:ln w="23495" cap="rnd">
              <a:solidFill>
                <a:schemeClr val="accent4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Graf_2024_1_BG!$B$40:$U$40</c:f>
              <c:strCache>
                <c:ptCount val="20"/>
                <c:pt idx="0">
                  <c:v>I 2020</c:v>
                </c:pt>
                <c:pt idx="1">
                  <c:v>II 2020</c:v>
                </c:pt>
                <c:pt idx="2">
                  <c:v>III 2020</c:v>
                </c:pt>
                <c:pt idx="3">
                  <c:v>IV 2020</c:v>
                </c:pt>
                <c:pt idx="4">
                  <c:v>I 2021</c:v>
                </c:pt>
                <c:pt idx="5">
                  <c:v>II 2021</c:v>
                </c:pt>
                <c:pt idx="6">
                  <c:v>III 2021</c:v>
                </c:pt>
                <c:pt idx="7">
                  <c:v>IV 2021</c:v>
                </c:pt>
                <c:pt idx="8">
                  <c:v>I 2022</c:v>
                </c:pt>
                <c:pt idx="9">
                  <c:v>II 2022</c:v>
                </c:pt>
                <c:pt idx="10">
                  <c:v>III 2022</c:v>
                </c:pt>
                <c:pt idx="11">
                  <c:v>IV 2022</c:v>
                </c:pt>
                <c:pt idx="12">
                  <c:v>I 2023</c:v>
                </c:pt>
                <c:pt idx="13">
                  <c:v>II 2023</c:v>
                </c:pt>
                <c:pt idx="14">
                  <c:v>III 2023</c:v>
                </c:pt>
                <c:pt idx="15">
                  <c:v>IV 2023</c:v>
                </c:pt>
                <c:pt idx="16">
                  <c:v>I 2024</c:v>
                </c:pt>
                <c:pt idx="17">
                  <c:v>II 2024</c:v>
                </c:pt>
                <c:pt idx="18">
                  <c:v>III 2024</c:v>
                </c:pt>
                <c:pt idx="19">
                  <c:v>IV 2024</c:v>
                </c:pt>
              </c:strCache>
            </c:strRef>
          </c:cat>
          <c:val>
            <c:numRef>
              <c:f>Graf_2024_1_BG!$B$46:$U$46</c:f>
              <c:numCache>
                <c:formatCode>0.0</c:formatCode>
                <c:ptCount val="20"/>
                <c:pt idx="0">
                  <c:v>99.3</c:v>
                </c:pt>
                <c:pt idx="1">
                  <c:v>99.4</c:v>
                </c:pt>
                <c:pt idx="2">
                  <c:v>100.2</c:v>
                </c:pt>
                <c:pt idx="3">
                  <c:v>101.1</c:v>
                </c:pt>
                <c:pt idx="4">
                  <c:v>101.6</c:v>
                </c:pt>
                <c:pt idx="5">
                  <c:v>102.1</c:v>
                </c:pt>
                <c:pt idx="6">
                  <c:v>101.2</c:v>
                </c:pt>
                <c:pt idx="7">
                  <c:v>102.5</c:v>
                </c:pt>
                <c:pt idx="8">
                  <c:v>108.5</c:v>
                </c:pt>
                <c:pt idx="9">
                  <c:v>111.1</c:v>
                </c:pt>
                <c:pt idx="10">
                  <c:v>117.4</c:v>
                </c:pt>
                <c:pt idx="11">
                  <c:v>118.7</c:v>
                </c:pt>
                <c:pt idx="12">
                  <c:v>117.6</c:v>
                </c:pt>
                <c:pt idx="13" formatCode="General">
                  <c:v>119.4</c:v>
                </c:pt>
                <c:pt idx="14" formatCode="General">
                  <c:v>119.1</c:v>
                </c:pt>
                <c:pt idx="15" formatCode="General">
                  <c:v>122.8</c:v>
                </c:pt>
                <c:pt idx="16" formatCode="General">
                  <c:v>122.8</c:v>
                </c:pt>
                <c:pt idx="17" formatCode="General">
                  <c:v>123.8</c:v>
                </c:pt>
                <c:pt idx="18" formatCode="General">
                  <c:v>125</c:v>
                </c:pt>
                <c:pt idx="19" formatCode="General">
                  <c:v>130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3810-4333-AC88-8DCF7A7BB92F}"/>
            </c:ext>
          </c:extLst>
        </c:ser>
        <c:ser>
          <c:idx val="13"/>
          <c:order val="6"/>
          <c:tx>
            <c:strRef>
              <c:f>Graf_2024_1_BG!$A$47</c:f>
              <c:strCache>
                <c:ptCount val="1"/>
                <c:pt idx="0">
                  <c:v>Фуражи</c:v>
                </c:pt>
              </c:strCache>
            </c:strRef>
          </c:tx>
          <c:spPr>
            <a:ln w="22860" cap="rnd">
              <a:solidFill>
                <a:srgbClr val="00B050"/>
              </a:solidFill>
              <a:round/>
            </a:ln>
            <a:effectLst/>
          </c:spPr>
          <c:marker>
            <c:symbol val="none"/>
          </c:marker>
          <c:cat>
            <c:strRef>
              <c:f>Graf_2024_1_BG!$B$40:$U$40</c:f>
              <c:strCache>
                <c:ptCount val="20"/>
                <c:pt idx="0">
                  <c:v>I 2020</c:v>
                </c:pt>
                <c:pt idx="1">
                  <c:v>II 2020</c:v>
                </c:pt>
                <c:pt idx="2">
                  <c:v>III 2020</c:v>
                </c:pt>
                <c:pt idx="3">
                  <c:v>IV 2020</c:v>
                </c:pt>
                <c:pt idx="4">
                  <c:v>I 2021</c:v>
                </c:pt>
                <c:pt idx="5">
                  <c:v>II 2021</c:v>
                </c:pt>
                <c:pt idx="6">
                  <c:v>III 2021</c:v>
                </c:pt>
                <c:pt idx="7">
                  <c:v>IV 2021</c:v>
                </c:pt>
                <c:pt idx="8">
                  <c:v>I 2022</c:v>
                </c:pt>
                <c:pt idx="9">
                  <c:v>II 2022</c:v>
                </c:pt>
                <c:pt idx="10">
                  <c:v>III 2022</c:v>
                </c:pt>
                <c:pt idx="11">
                  <c:v>IV 2022</c:v>
                </c:pt>
                <c:pt idx="12">
                  <c:v>I 2023</c:v>
                </c:pt>
                <c:pt idx="13">
                  <c:v>II 2023</c:v>
                </c:pt>
                <c:pt idx="14">
                  <c:v>III 2023</c:v>
                </c:pt>
                <c:pt idx="15">
                  <c:v>IV 2023</c:v>
                </c:pt>
                <c:pt idx="16">
                  <c:v>I 2024</c:v>
                </c:pt>
                <c:pt idx="17">
                  <c:v>II 2024</c:v>
                </c:pt>
                <c:pt idx="18">
                  <c:v>III 2024</c:v>
                </c:pt>
                <c:pt idx="19">
                  <c:v>IV 2024</c:v>
                </c:pt>
              </c:strCache>
            </c:strRef>
          </c:cat>
          <c:val>
            <c:numRef>
              <c:f>Graf_2024_1_BG!$B$47:$U$47</c:f>
              <c:numCache>
                <c:formatCode>0.0</c:formatCode>
                <c:ptCount val="20"/>
                <c:pt idx="0">
                  <c:v>98.4</c:v>
                </c:pt>
                <c:pt idx="1">
                  <c:v>100.3</c:v>
                </c:pt>
                <c:pt idx="2">
                  <c:v>99.4</c:v>
                </c:pt>
                <c:pt idx="3">
                  <c:v>101.9</c:v>
                </c:pt>
                <c:pt idx="4">
                  <c:v>107.3</c:v>
                </c:pt>
                <c:pt idx="5">
                  <c:v>109.4</c:v>
                </c:pt>
                <c:pt idx="6">
                  <c:v>111.2</c:v>
                </c:pt>
                <c:pt idx="7">
                  <c:v>118.3</c:v>
                </c:pt>
                <c:pt idx="8">
                  <c:v>126.4</c:v>
                </c:pt>
                <c:pt idx="9">
                  <c:v>144.30000000000001</c:v>
                </c:pt>
                <c:pt idx="10">
                  <c:v>151.9</c:v>
                </c:pt>
                <c:pt idx="11">
                  <c:v>155.5</c:v>
                </c:pt>
                <c:pt idx="12">
                  <c:v>158.9</c:v>
                </c:pt>
                <c:pt idx="13" formatCode="General">
                  <c:v>156.4</c:v>
                </c:pt>
                <c:pt idx="14" formatCode="General">
                  <c:v>148.6</c:v>
                </c:pt>
                <c:pt idx="15" formatCode="General">
                  <c:v>146.6</c:v>
                </c:pt>
                <c:pt idx="16" formatCode="General">
                  <c:v>143.6</c:v>
                </c:pt>
                <c:pt idx="17" formatCode="General">
                  <c:v>140.19999999999999</c:v>
                </c:pt>
                <c:pt idx="18" formatCode="General">
                  <c:v>142.30000000000001</c:v>
                </c:pt>
                <c:pt idx="19" formatCode="General">
                  <c:v>144.30000000000001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3810-4333-AC88-8DCF7A7BB9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0156544"/>
        <c:axId val="60158720"/>
      </c:lineChart>
      <c:catAx>
        <c:axId val="601565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3175" cap="flat" cmpd="sng" algn="ctr">
            <a:solidFill>
              <a:schemeClr val="tx1"/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bg-BG"/>
          </a:p>
        </c:txPr>
        <c:crossAx val="60158720"/>
        <c:crossesAt val="60"/>
        <c:auto val="1"/>
        <c:lblAlgn val="ctr"/>
        <c:lblOffset val="100"/>
        <c:tickMarkSkip val="1"/>
        <c:noMultiLvlLbl val="0"/>
      </c:catAx>
      <c:valAx>
        <c:axId val="60158720"/>
        <c:scaling>
          <c:orientation val="minMax"/>
          <c:max val="310"/>
          <c:min val="60"/>
        </c:scaling>
        <c:delete val="0"/>
        <c:axPos val="l"/>
        <c:majorGridlines>
          <c:spPr>
            <a:ln w="3175" cap="flat" cmpd="sng" algn="ctr">
              <a:solidFill>
                <a:srgbClr val="000000"/>
              </a:solidFill>
              <a:round/>
            </a:ln>
            <a:effectLst/>
          </c:spPr>
        </c:majorGridlines>
        <c:numFmt formatCode="0" sourceLinked="0"/>
        <c:majorTickMark val="out"/>
        <c:minorTickMark val="none"/>
        <c:tickLblPos val="nextTo"/>
        <c:spPr>
          <a:solidFill>
            <a:srgbClr val="FFFFFF"/>
          </a:solidFill>
          <a:ln w="3175">
            <a:solidFill>
              <a:srgbClr val="000000"/>
            </a:solidFill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bg-BG"/>
          </a:p>
        </c:txPr>
        <c:crossAx val="60156544"/>
        <c:crosses val="autoZero"/>
        <c:crossBetween val="between"/>
        <c:majorUnit val="20"/>
        <c:minorUnit val="10"/>
      </c:valAx>
      <c:spPr>
        <a:solidFill>
          <a:srgbClr val="FFFFFF"/>
        </a:solid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Verdana" panose="020B0604030504040204" pitchFamily="34" charset="0"/>
              <a:ea typeface="Verdana" panose="020B0604030504040204" pitchFamily="34" charset="0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bg-BG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D87C1-A9C3-431B-9184-A7EB6B5CD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1721</Words>
  <Characters>9813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Atanas Atanasov</dc:creator>
  <cp:keywords/>
  <dc:description/>
  <cp:lastModifiedBy>Zornitsa Ivanova</cp:lastModifiedBy>
  <cp:revision>4</cp:revision>
  <dcterms:created xsi:type="dcterms:W3CDTF">2025-02-10T15:12:00Z</dcterms:created>
  <dcterms:modified xsi:type="dcterms:W3CDTF">2025-02-10T15:17:00Z</dcterms:modified>
</cp:coreProperties>
</file>