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63" w:rsidRPr="002A0CB1" w:rsidRDefault="00F14E63" w:rsidP="0043758D">
      <w:pPr>
        <w:snapToGrid w:val="0"/>
        <w:spacing w:before="24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bookmarkStart w:id="0" w:name="_GoBack"/>
      <w:bookmarkEnd w:id="0"/>
      <w:r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ИНДЕКСИ НА ЦЕНИ НА ПРОИЗВОДИТЕЛ В ПРОМИШЛЕНОСТТА,</w:t>
      </w:r>
    </w:p>
    <w:p w:rsidR="00F14E63" w:rsidRDefault="005C2653" w:rsidP="00F14E63">
      <w:pPr>
        <w:snapToGrid w:val="0"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>ДЕКЕМВРИ</w:t>
      </w:r>
      <w:r w:rsidR="00F14E63" w:rsidRPr="002A0CB1">
        <w:rPr>
          <w:rFonts w:ascii="Verdana" w:eastAsia="Times New Roman" w:hAnsi="Verdana" w:cs="Times New Roman"/>
          <w:b/>
          <w:smallCaps/>
          <w:sz w:val="20"/>
          <w:szCs w:val="20"/>
          <w:lang w:val="bg-BG"/>
        </w:rPr>
        <w:t xml:space="preserve"> 2024 ГОДИНА </w:t>
      </w:r>
    </w:p>
    <w:p w:rsidR="00F14E63" w:rsidRPr="00BC7A59" w:rsidRDefault="00BC7A59" w:rsidP="00EB551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1.</w:t>
      </w:r>
      <w:r w:rsidR="00F3451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14E63" w:rsidRPr="00BC7A5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Общ индекс на цените на производител в промишлеността</w:t>
      </w:r>
    </w:p>
    <w:p w:rsidR="00F14E63" w:rsidRPr="002A0CB1" w:rsidRDefault="00F14E63" w:rsidP="00BC7A59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Общият индекс на цените на производител </w:t>
      </w:r>
      <w:r w:rsidRPr="002A0CB1">
        <w:rPr>
          <w:rFonts w:ascii="Verdana" w:hAnsi="Verdana"/>
          <w:sz w:val="20"/>
          <w:szCs w:val="20"/>
          <w:lang w:val="bg-BG"/>
        </w:rPr>
        <w:t>се увеличава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3.6% през декември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2024 г. спрямо предходния месец. По-високи цени се наблюдават в производството и разпределението на електрич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>еска и топлоенергия и газ - с 13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>6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%, 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и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в пре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>работващата промишленост - с 0.7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%,</w:t>
      </w:r>
      <w:r w:rsidRPr="002A0CB1">
        <w:rPr>
          <w:rFonts w:ascii="Verdana" w:hAnsi="Verdana"/>
          <w:sz w:val="20"/>
          <w:szCs w:val="20"/>
          <w:lang w:val="bg-BG"/>
        </w:rPr>
        <w:t xml:space="preserve"> </w:t>
      </w:r>
      <w:r w:rsidR="00EA78E4">
        <w:rPr>
          <w:rFonts w:ascii="Verdana" w:hAnsi="Verdana"/>
          <w:sz w:val="20"/>
          <w:szCs w:val="20"/>
          <w:lang w:val="bg-BG"/>
        </w:rPr>
        <w:t xml:space="preserve">а </w:t>
      </w:r>
      <w:r w:rsidRPr="002A0CB1">
        <w:rPr>
          <w:rFonts w:ascii="Verdana" w:hAnsi="Verdana"/>
          <w:sz w:val="20"/>
          <w:szCs w:val="20"/>
          <w:lang w:val="bg-BG"/>
        </w:rPr>
        <w:t xml:space="preserve">в </w:t>
      </w:r>
      <w:proofErr w:type="spellStart"/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промишленост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е отчетено намаление - с 1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>5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%. </w:t>
      </w:r>
    </w:p>
    <w:p w:rsidR="00F14E63" w:rsidRPr="00354FFA" w:rsidRDefault="00F14E63" w:rsidP="00EB5510">
      <w:pPr>
        <w:spacing w:after="0"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Повишение на цените в преработващата промишленост е регистрирано при: пр</w:t>
      </w:r>
      <w:r w:rsidR="00EA78E4">
        <w:rPr>
          <w:rFonts w:ascii="Verdana" w:eastAsia="Μοντέρνα" w:hAnsi="Verdana" w:cs="Times New Roman"/>
          <w:sz w:val="20"/>
          <w:szCs w:val="20"/>
          <w:lang w:val="bg-BG" w:eastAsia="bg-BG"/>
        </w:rPr>
        <w:t>оизводството на основни метали</w:t>
      </w:r>
      <w:r w:rsidR="00F86433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F86433">
        <w:rPr>
          <w:rFonts w:ascii="Verdana" w:eastAsia="Μοντέρνα" w:hAnsi="Verdana" w:cs="Times New Roman"/>
          <w:sz w:val="20"/>
          <w:szCs w:val="20"/>
          <w:lang w:val="bg-BG" w:eastAsia="bg-BG"/>
        </w:rPr>
        <w:t>2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F86433">
        <w:rPr>
          <w:rFonts w:ascii="Verdana" w:eastAsia="Μοντέρνα" w:hAnsi="Verdana" w:cs="Times New Roman"/>
          <w:sz w:val="20"/>
          <w:szCs w:val="20"/>
          <w:lang w:val="bg-BG" w:eastAsia="bg-BG"/>
        </w:rPr>
        <w:t>1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  <w:r w:rsidR="00F86433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, производството на химични продукти - </w:t>
      </w:r>
      <w:r w:rsidR="00A30B28">
        <w:rPr>
          <w:rFonts w:ascii="Verdana" w:eastAsia="Μοντέρνα" w:hAnsi="Verdana" w:cs="Times New Roman"/>
          <w:sz w:val="20"/>
          <w:szCs w:val="20"/>
          <w:lang w:val="bg-BG" w:eastAsia="bg-BG"/>
        </w:rPr>
        <w:br/>
      </w:r>
      <w:r w:rsidR="00F86433">
        <w:rPr>
          <w:rFonts w:ascii="Verdana" w:eastAsia="Μοντέρνα" w:hAnsi="Verdana" w:cs="Times New Roman"/>
          <w:sz w:val="20"/>
          <w:szCs w:val="20"/>
          <w:lang w:val="bg-BG" w:eastAsia="bg-BG"/>
        </w:rPr>
        <w:t>с 2.0%, производството на хранителни продукти</w:t>
      </w:r>
      <w:r w:rsidR="001002AF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, както </w:t>
      </w:r>
      <w:r w:rsidR="00F86433">
        <w:rPr>
          <w:rFonts w:ascii="Verdana" w:eastAsia="Μοντέρνα" w:hAnsi="Verdana" w:cs="Times New Roman"/>
          <w:sz w:val="20"/>
          <w:szCs w:val="20"/>
          <w:lang w:val="bg-BG" w:eastAsia="bg-BG"/>
        </w:rPr>
        <w:t>и обработката на кожи; производство на обувки и други изделия от обработени кожи без косъм - с по 0.7%.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Намаление е отчетено при производството</w:t>
      </w:r>
      <w:r w:rsidR="001002AF">
        <w:rPr>
          <w:rFonts w:ascii="Verdana" w:eastAsia="Μοντέρνα" w:hAnsi="Verdana" w:cs="Times New Roman"/>
          <w:sz w:val="20"/>
          <w:szCs w:val="20"/>
          <w:lang w:val="bg-BG" w:eastAsia="bg-BG"/>
        </w:rPr>
        <w:t>, некласифицирано другаде - с 0.9%, и при производството на хартия, картон и изделия от хартия и картон - с 0.8%.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:rsidR="00F14E63" w:rsidRPr="002A0CB1" w:rsidRDefault="00F14E63" w:rsidP="00F14E63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Общият индекс на цените на производител</w:t>
      </w:r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декември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2024 г.</w:t>
      </w:r>
      <w:r w:rsidRPr="002A0C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>е с 5.3% над нивото на декември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2023 година. Ръст на цените е регистриран</w:t>
      </w:r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 </w:t>
      </w:r>
      <w:proofErr w:type="spellStart"/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- с 20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.2%, при производството и разпределението на електрическа и топлоенергия и газ </w:t>
      </w:r>
      <w:r w:rsidRPr="002A0CB1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11.2%,</w:t>
      </w:r>
      <w:r w:rsidR="00354FFA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A30B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както и </w:t>
      </w:r>
      <w:r w:rsidR="00354FFA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</w:t>
      </w:r>
      <w:r w:rsidR="00354FFA">
        <w:rPr>
          <w:rFonts w:ascii="Verdana" w:eastAsia="Times New Roman" w:hAnsi="Verdana" w:cs="Times New Roman"/>
          <w:sz w:val="20"/>
          <w:szCs w:val="20"/>
          <w:lang w:val="bg-BG" w:eastAsia="bg-BG"/>
        </w:rPr>
        <w:t>работващата промишленост - с 2.1%.</w:t>
      </w:r>
    </w:p>
    <w:p w:rsidR="006A4C8F" w:rsidRDefault="00F14E63" w:rsidP="00354FFA">
      <w:pPr>
        <w:spacing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По-високи цени в преработващата промишленост </w:t>
      </w:r>
      <w:r w:rsidR="002B4157">
        <w:rPr>
          <w:rFonts w:ascii="Verdana" w:eastAsia="Μοντέρνα" w:hAnsi="Verdana" w:cs="Times New Roman"/>
          <w:sz w:val="20"/>
          <w:szCs w:val="20"/>
          <w:lang w:val="bg-BG" w:eastAsia="bg-BG"/>
        </w:rPr>
        <w:t>се наблюдават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при: ремонта и инсталирането на машини и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оборудване - с 10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.8%, п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роизводството на мебели - 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br/>
        <w:t>с 9.7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%, производството на автомобили,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ремаркета и </w:t>
      </w:r>
      <w:proofErr w:type="spellStart"/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>полуремаркета</w:t>
      </w:r>
      <w:proofErr w:type="spellEnd"/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B81EBD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 6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>9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>%. Намаление на цените е отчетено при производството на лекарствени вещества и продукти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- с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>5.3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%, 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>производството на дървен материал и изделия от него, без мебели</w:t>
      </w:r>
      <w:r w:rsidR="00B81EBD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354FFA">
        <w:rPr>
          <w:rFonts w:ascii="Verdana" w:eastAsia="Μοντέρνα" w:hAnsi="Verdana" w:cs="Times New Roman"/>
          <w:sz w:val="20"/>
          <w:szCs w:val="20"/>
          <w:lang w:val="bg-BG" w:eastAsia="bg-BG"/>
        </w:rPr>
        <w:t>- с 4.8%, производството, некласифицирано другаде - с 4.0%.</w:t>
      </w:r>
    </w:p>
    <w:p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:rsidR="00F14E63" w:rsidRDefault="00F14E63" w:rsidP="001440AB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:rsidR="00F14E63" w:rsidRPr="002A0CB1" w:rsidRDefault="00F14E63" w:rsidP="00F14E63">
      <w:pPr>
        <w:keepNext/>
        <w:spacing w:before="16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lastRenderedPageBreak/>
        <w:t>Общ индекс на цените на производител в промишлеността</w:t>
      </w:r>
    </w:p>
    <w:p w:rsidR="00F14E63" w:rsidRPr="002A0CB1" w:rsidRDefault="00F14E63" w:rsidP="00F14E63">
      <w:pPr>
        <w:keepNext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(2021 = 100)</w:t>
      </w:r>
      <w:r w:rsidRPr="002A0CB1">
        <w:rPr>
          <w:rFonts w:ascii="Verdana" w:eastAsia="Times New Roman" w:hAnsi="Verdana" w:cs="Times New Roman"/>
          <w:b/>
          <w:sz w:val="20"/>
          <w:szCs w:val="20"/>
          <w:lang w:eastAsia="bg-BG"/>
        </w:rPr>
        <w:t>  </w:t>
      </w:r>
    </w:p>
    <w:p w:rsidR="00F14E63" w:rsidRPr="002A0CB1" w:rsidRDefault="005C2653" w:rsidP="00F14E63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  <w:lang w:val="ru-RU" w:eastAsia="bg-BG"/>
        </w:rPr>
      </w:pPr>
      <w:r w:rsidRPr="00C7187B">
        <w:rPr>
          <w:rFonts w:ascii="Verdana" w:eastAsia="Μοντέρνα" w:hAnsi="Verdana" w:cs="Times New Roman"/>
          <w:noProof/>
          <w:sz w:val="20"/>
          <w:szCs w:val="20"/>
          <w:lang w:val="bg-BG" w:eastAsia="bg-BG"/>
        </w:rPr>
        <w:drawing>
          <wp:inline distT="0" distB="0" distL="0" distR="0" wp14:anchorId="43B2F22E">
            <wp:extent cx="6033135" cy="4182386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2" cy="420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E63" w:rsidRPr="002A0CB1" w:rsidRDefault="00F14E63" w:rsidP="00EB551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вътрешния пазар</w:t>
      </w:r>
    </w:p>
    <w:p w:rsidR="00F14E63" w:rsidRPr="002A0CB1" w:rsidRDefault="00F14E63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Индексът на цените на производител на вътрешния пазар 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>се повишава с 5.1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 </w:t>
      </w:r>
      <w:proofErr w:type="spellStart"/>
      <w:r w:rsidRPr="002A0CB1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proofErr w:type="spellEnd"/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декември 2024 спрямо ноември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2024 година.</w:t>
      </w:r>
      <w:r w:rsidRPr="002A0CB1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Увеличение се наблюдава</w:t>
      </w:r>
      <w:r w:rsidRPr="002A0C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при производството и разпределението на електрич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>еска и топлоенергия и газ - с 12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</w:t>
      </w:r>
      <w:proofErr w:type="spellStart"/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промишленост - с 2.8</w:t>
      </w:r>
      <w:r w:rsidRPr="002A0CB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в преработващата промишленост - с 0.4%.</w:t>
      </w:r>
    </w:p>
    <w:p w:rsidR="00F14E63" w:rsidRDefault="00F14E63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Нарастване на цените</w:t>
      </w:r>
      <w:r w:rsidRPr="002A0CB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 преработващата промишленост е регистрирано при 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производството на химични продукти - с 3.0%,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при 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обработката на кожи; производство на обувки и други изделия от обработени кожи без косъм - с 1.7%.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По-ниски цени са отчетени при: </w:t>
      </w:r>
      <w:r w:rsidR="00727C16">
        <w:rPr>
          <w:rFonts w:ascii="Verdana" w:eastAsia="Times New Roman" w:hAnsi="Verdana" w:cs="Times New Roman"/>
          <w:sz w:val="20"/>
          <w:szCs w:val="20"/>
          <w:lang w:val="bg-BG" w:eastAsia="bg-BG"/>
        </w:rPr>
        <w:t>производството на хартия, картон и изделия от хартия и картон - с 1.5%, производството на лекарствени вещества и продукти - с 1.2%, ремонта и инсталиране на машини и оборудване - с 0.8%.</w:t>
      </w:r>
    </w:p>
    <w:p w:rsidR="00F14E63" w:rsidRPr="002A0CB1" w:rsidRDefault="00F14E63" w:rsidP="0043758D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Индексът на цените на производител на вътрешния пазар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нараства с 6.6% в сравнение с декември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2023 година.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Ръст</w:t>
      </w:r>
      <w:r w:rsidR="002B4157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 цените се наблюдава в </w:t>
      </w:r>
      <w:proofErr w:type="spellStart"/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добивната</w:t>
      </w:r>
      <w:proofErr w:type="spellEnd"/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промишленост </w:t>
      </w:r>
      <w:r w:rsidRPr="002A0CB1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ъс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1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7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%, при производството и разпределение на електрич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еска и топлоенергия и газ - с 13.3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%, както и в пре</w:t>
      </w:r>
      <w:r w:rsidR="00F8365D">
        <w:rPr>
          <w:rFonts w:ascii="Verdana" w:eastAsia="Times New Roman" w:hAnsi="Verdana" w:cs="Times New Roman"/>
          <w:sz w:val="20"/>
          <w:szCs w:val="20"/>
          <w:lang w:val="bg-BG" w:eastAsia="bg-BG"/>
        </w:rPr>
        <w:t>работващата промишленост - с 1.2</w:t>
      </w:r>
      <w:r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%. </w:t>
      </w:r>
    </w:p>
    <w:p w:rsidR="00F14E63" w:rsidRPr="002A0CB1" w:rsidRDefault="00F8365D" w:rsidP="00EB5510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През декември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2024 г. по-високи цени в преработва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щата промишленост спрямо декември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2023 г. са регистрирани при: ремонта и инсталирането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машини и оборудване - с 9.2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%, производството на автомобили, ремаркета и </w:t>
      </w:r>
      <w:proofErr w:type="spellStart"/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пол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уремаркета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-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  <w:t>с 9.0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%, производството на текстил и изделия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 текстил, без облекло - с 8.7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%. 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Понижение</w:t>
      </w:r>
      <w:r w:rsidR="002B4157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на цените е отчетен</w:t>
      </w:r>
      <w:r w:rsidR="002B4157">
        <w:rPr>
          <w:rFonts w:ascii="Verdana" w:eastAsia="Times New Roman" w:hAnsi="Verdana" w:cs="Times New Roman"/>
          <w:sz w:val="20"/>
          <w:szCs w:val="20"/>
          <w:lang w:val="bg-BG" w:eastAsia="bg-BG"/>
        </w:rPr>
        <w:t>о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при: производството на лекарс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твени вещества и продукти - с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8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%, производството на дървен материал и 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зделия от него, без мебели</w:t>
      </w:r>
      <w:r w:rsidR="00B81EBD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- с 6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%, производството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 некласифицирано другаде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- с 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4</w:t>
      </w:r>
      <w:r w:rsidR="00F14E63" w:rsidRPr="002A0CB1">
        <w:rPr>
          <w:rFonts w:ascii="Verdana" w:eastAsia="Times New Roman" w:hAnsi="Verdana" w:cs="Times New Roman"/>
          <w:sz w:val="20"/>
          <w:szCs w:val="20"/>
          <w:lang w:val="bg-BG" w:eastAsia="bg-BG"/>
        </w:rPr>
        <w:t>%.</w:t>
      </w:r>
    </w:p>
    <w:p w:rsidR="00F14E63" w:rsidRPr="002A0CB1" w:rsidRDefault="00F14E63" w:rsidP="00F14E63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Фиг. 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2A0CB1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Индекси на цените на производител на вътрешния пазар в промишлеността (2021 = 100) </w:t>
      </w:r>
    </w:p>
    <w:p w:rsidR="00F14E63" w:rsidRPr="002A0CB1" w:rsidRDefault="005C2653" w:rsidP="00F14E63">
      <w:pPr>
        <w:keepNext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val="bg-BG" w:eastAsia="bg-BG"/>
        </w:rPr>
        <w:drawing>
          <wp:inline distT="0" distB="0" distL="0" distR="0" wp14:anchorId="36A18B24">
            <wp:extent cx="5821841" cy="388810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76" cy="3904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E63" w:rsidRPr="002A0CB1" w:rsidRDefault="00F14E63" w:rsidP="00EB5510">
      <w:pPr>
        <w:spacing w:before="24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. Индекси на цените на производител на международния пазар</w:t>
      </w:r>
    </w:p>
    <w:p w:rsidR="00F3451D" w:rsidRDefault="00F14E63" w:rsidP="0043758D">
      <w:pPr>
        <w:tabs>
          <w:tab w:val="left" w:pos="3675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Индексът на цените на производител на международния пазар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през декември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2024 г. 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се увеличава с 1.3% 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спрямо предходния месец и </w:t>
      </w:r>
      <w:r w:rsidR="00DA78CD">
        <w:rPr>
          <w:rFonts w:ascii="Verdana" w:eastAsia="Μοντέρνα" w:hAnsi="Verdana" w:cs="Times New Roman"/>
          <w:sz w:val="20"/>
          <w:szCs w:val="20"/>
          <w:lang w:val="bg-BG" w:eastAsia="bg-BG"/>
        </w:rPr>
        <w:t>с 3.2% спрямо декември</w:t>
      </w:r>
      <w:r w:rsidRPr="002A0CB1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2023 година. </w:t>
      </w:r>
    </w:p>
    <w:p w:rsidR="00F3451D" w:rsidRDefault="00F3451D" w:rsidP="0043758D">
      <w:pPr>
        <w:keepNext/>
        <w:tabs>
          <w:tab w:val="left" w:pos="3675"/>
        </w:tabs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3451D" w:rsidRDefault="00F3451D" w:rsidP="0043758D">
      <w:pPr>
        <w:tabs>
          <w:tab w:val="left" w:pos="3675"/>
        </w:tabs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3451D" w:rsidRDefault="00F3451D" w:rsidP="0043758D">
      <w:pPr>
        <w:tabs>
          <w:tab w:val="left" w:pos="367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14E63" w:rsidRPr="002A0CB1" w:rsidRDefault="00F14E63" w:rsidP="00F3451D">
      <w:pPr>
        <w:keepNext/>
        <w:tabs>
          <w:tab w:val="left" w:pos="3675"/>
        </w:tabs>
        <w:spacing w:before="1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A0CB1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.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претеглени със структурата на оборота на вътрешния и на международния пазар към общия оборот през базисната 2021 година.</w:t>
      </w:r>
    </w:p>
    <w:p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вътрешния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вътрешния пазар.</w:t>
      </w:r>
    </w:p>
    <w:p w:rsidR="00F14E63" w:rsidRPr="002A0CB1" w:rsidRDefault="00F14E63" w:rsidP="00EB551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>Индексите на цените на производител на международния пазар се изчисляват при постоянна база 20</w:t>
      </w:r>
      <w:r w:rsidRPr="002A0CB1">
        <w:rPr>
          <w:rFonts w:ascii="Verdana" w:eastAsia="Times New Roman" w:hAnsi="Verdana" w:cs="Times New Roman"/>
          <w:sz w:val="20"/>
          <w:szCs w:val="20"/>
          <w:lang w:val="ru-RU"/>
        </w:rPr>
        <w:t>21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2A0CB1">
        <w:rPr>
          <w:rFonts w:ascii="Verdana" w:eastAsia="Times New Roman" w:hAnsi="Verdana" w:cs="Times New Roman"/>
          <w:sz w:val="20"/>
          <w:szCs w:val="20"/>
        </w:rPr>
        <w:t>= 100</w:t>
      </w:r>
      <w:r w:rsidRPr="002A0CB1">
        <w:rPr>
          <w:rFonts w:ascii="Verdana" w:eastAsia="Times New Roman" w:hAnsi="Verdana" w:cs="Times New Roman"/>
          <w:sz w:val="20"/>
          <w:szCs w:val="20"/>
          <w:lang w:val="bg-BG"/>
        </w:rPr>
        <w:t xml:space="preserve"> чрез претегляне със структурата на оборота на промишлените предприятия на международния пазар.</w:t>
      </w:r>
    </w:p>
    <w:p w:rsidR="00F14E63" w:rsidRPr="002A0CB1" w:rsidRDefault="00F14E63" w:rsidP="00EB5510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2A0CB1">
        <w:rPr>
          <w:rFonts w:ascii="Verdana" w:hAnsi="Verdana"/>
          <w:sz w:val="20"/>
          <w:szCs w:val="20"/>
          <w:lang w:val="bg-BG"/>
        </w:rPr>
        <w:t xml:space="preserve">От юли 2024 г. всички динамични редове са преизчислени при база 2021 г. и са публикувани в ИС </w:t>
      </w:r>
      <w:proofErr w:type="spellStart"/>
      <w:r w:rsidRPr="002A0CB1">
        <w:rPr>
          <w:rFonts w:ascii="Verdana" w:hAnsi="Verdana"/>
          <w:sz w:val="20"/>
          <w:szCs w:val="20"/>
          <w:lang w:val="bg-BG"/>
        </w:rPr>
        <w:t>Инфостат</w:t>
      </w:r>
      <w:proofErr w:type="spellEnd"/>
      <w:r w:rsidRPr="002A0CB1">
        <w:rPr>
          <w:rFonts w:ascii="Verdana" w:hAnsi="Verdana"/>
          <w:sz w:val="20"/>
          <w:szCs w:val="20"/>
          <w:lang w:val="bg-BG"/>
        </w:rPr>
        <w:t>.</w:t>
      </w:r>
    </w:p>
    <w:p w:rsidR="00F14E63" w:rsidRDefault="00F14E63" w:rsidP="001440AB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14E63">
      <w:pPr>
        <w:rPr>
          <w:rFonts w:ascii="Verdana" w:hAnsi="Verdana"/>
          <w:sz w:val="20"/>
        </w:rPr>
      </w:pPr>
    </w:p>
    <w:p w:rsidR="00F14E63" w:rsidRPr="00F14E63" w:rsidRDefault="00F14E63" w:rsidP="00F3451D">
      <w:pPr>
        <w:keepNext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Приложение</w:t>
      </w:r>
    </w:p>
    <w:p w:rsidR="00F14E63" w:rsidRPr="00F14E63" w:rsidRDefault="00F14E63" w:rsidP="0043758D">
      <w:pPr>
        <w:keepNext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F14E63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Таблица 1</w:t>
      </w:r>
    </w:p>
    <w:p w:rsidR="00F14E63" w:rsidRPr="00F14E63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</w:pP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Общ индекс на це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ните на производител през декември</w:t>
      </w:r>
      <w:r w:rsidRPr="00F14E6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2024 година</w:t>
      </w:r>
      <w:r w:rsidRPr="00F14E63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099"/>
        <w:gridCol w:w="1187"/>
        <w:gridCol w:w="1631"/>
        <w:gridCol w:w="1505"/>
      </w:tblGrid>
      <w:tr w:rsidR="00F14E63" w:rsidRPr="00F14E63" w:rsidTr="00F552C7">
        <w:trPr>
          <w:trHeight w:val="276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:rsidR="00F14E63" w:rsidRPr="00F14E63" w:rsidRDefault="00F14E63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F14E63" w:rsidRDefault="00F14E63" w:rsidP="002B4157">
            <w:pPr>
              <w:spacing w:after="0" w:line="0" w:lineRule="atLeast"/>
              <w:ind w:hanging="103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F14E63" w:rsidRDefault="00F14E63" w:rsidP="001601BE">
            <w:pPr>
              <w:spacing w:after="0" w:line="0" w:lineRule="atLeast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1601BE" w:rsidRPr="00F14E63" w:rsidTr="00F552C7">
        <w:trPr>
          <w:trHeight w:val="82"/>
        </w:trPr>
        <w:tc>
          <w:tcPr>
            <w:tcW w:w="409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128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120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мебели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1601BE" w:rsidRPr="00F14E63" w:rsidTr="00F552C7">
        <w:trPr>
          <w:trHeight w:val="177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картон и изделия от хартия и картон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1601BE" w:rsidRPr="00F14E63" w:rsidTr="00F552C7">
        <w:trPr>
          <w:trHeight w:val="141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автомобили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ремаркета и </w:t>
            </w:r>
            <w:proofErr w:type="spellStart"/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1601BE" w:rsidRPr="00F14E63" w:rsidTr="00F552C7">
        <w:trPr>
          <w:trHeight w:val="185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автомобили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141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1601BE" w:rsidRPr="00F14E63" w:rsidTr="00F552C7">
        <w:trPr>
          <w:trHeight w:val="90"/>
        </w:trPr>
        <w:tc>
          <w:tcPr>
            <w:tcW w:w="409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1601BE" w:rsidRPr="00F14E63" w:rsidTr="00F552C7">
        <w:trPr>
          <w:trHeight w:val="177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135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111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01BE" w:rsidRPr="00F14E63" w:rsidTr="00F5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1BE" w:rsidRPr="00F14E63" w:rsidRDefault="001601BE" w:rsidP="001601BE">
            <w:pPr>
              <w:spacing w:after="0" w:line="0" w:lineRule="atLeast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F14E6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01BE" w:rsidRPr="001601BE" w:rsidRDefault="001601BE" w:rsidP="001601BE">
            <w:pPr>
              <w:spacing w:line="0" w:lineRule="atLeast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1601BE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F14E63" w:rsidRPr="002A0CB1" w:rsidRDefault="00F14E63" w:rsidP="00F14E63">
      <w:pPr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>Таблица 2</w:t>
      </w:r>
    </w:p>
    <w:p w:rsidR="00F14E63" w:rsidRPr="002A0CB1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Индекси на цените на производител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вътрешния пазар през декември</w:t>
      </w: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2024 година</w:t>
      </w:r>
      <w:r w:rsidRPr="002A0CB1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val="bg-BG"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F14E63" w:rsidRPr="002A0CB1" w:rsidTr="004242C2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:rsidR="00F14E63" w:rsidRPr="002A0CB1" w:rsidRDefault="00F14E63" w:rsidP="001601BE">
            <w:pPr>
              <w:spacing w:after="0" w:line="24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2A0CB1" w:rsidRDefault="00F14E63" w:rsidP="001601BE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4242C2" w:rsidRPr="004242C2" w:rsidTr="004242C2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134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117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132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170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4242C2" w:rsidRPr="004242C2" w:rsidTr="004242C2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4242C2" w:rsidRPr="004242C2" w:rsidTr="004242C2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</w:t>
            </w:r>
            <w:r w:rsidR="0081144F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4242C2" w:rsidRPr="004242C2" w:rsidTr="004242C2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4242C2" w:rsidRPr="004242C2" w:rsidTr="004242C2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4242C2" w:rsidRPr="004242C2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81144F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</w:t>
            </w:r>
            <w:r w:rsidR="0081144F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242C2">
              <w:rPr>
                <w:rFonts w:ascii="Verdana" w:hAnsi="Verdana" w:cs="Arial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242C2">
              <w:rPr>
                <w:rFonts w:ascii="Verdana" w:hAnsi="Verdana" w:cs="Arial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242C2">
              <w:rPr>
                <w:rFonts w:ascii="Verdana" w:hAnsi="Verdana" w:cs="Arial"/>
                <w:sz w:val="16"/>
                <w:szCs w:val="16"/>
              </w:rPr>
              <w:t>95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4242C2" w:rsidRPr="004242C2" w:rsidTr="001601BE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242C2">
              <w:rPr>
                <w:rFonts w:ascii="Verdana" w:hAnsi="Verdana" w:cs="Arial"/>
                <w:sz w:val="16"/>
                <w:szCs w:val="16"/>
              </w:rPr>
              <w:t>137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242C2">
              <w:rPr>
                <w:rFonts w:ascii="Verdana" w:hAnsi="Verdana" w:cs="Arial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242C2">
              <w:rPr>
                <w:rFonts w:ascii="Verdana" w:hAnsi="Verdana" w:cs="Arial"/>
                <w:sz w:val="16"/>
                <w:szCs w:val="16"/>
              </w:rPr>
              <w:t>109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137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112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242C2" w:rsidRPr="004242C2" w:rsidTr="004242C2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2C2" w:rsidRPr="004242C2" w:rsidRDefault="004242C2" w:rsidP="004242C2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4242C2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242C2" w:rsidRPr="004242C2" w:rsidRDefault="004242C2" w:rsidP="004242C2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4242C2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F14E63" w:rsidRPr="002A0CB1" w:rsidRDefault="00F14E63" w:rsidP="00F14E6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:rsid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p w:rsidR="00F14E63" w:rsidRPr="002A0CB1" w:rsidRDefault="00F14E63" w:rsidP="00F14E63">
      <w:pPr>
        <w:keepNext/>
        <w:widowControl w:val="0"/>
        <w:autoSpaceDE w:val="0"/>
        <w:autoSpaceDN w:val="0"/>
        <w:spacing w:before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0CB1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lastRenderedPageBreak/>
        <w:t xml:space="preserve">Таблица </w:t>
      </w:r>
      <w:r w:rsidRPr="002A0CB1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</w:p>
    <w:p w:rsidR="00F14E63" w:rsidRPr="002A0CB1" w:rsidRDefault="00F14E63" w:rsidP="00F14E63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Индекси на цените на производител на </w:t>
      </w:r>
      <w:r w:rsidR="005C2653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международния пазар през декември</w:t>
      </w:r>
      <w:r w:rsidRPr="002A0CB1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2024 година</w:t>
      </w:r>
      <w:r w:rsidRPr="002A0CB1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val="bg-BG"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F14E63" w:rsidRPr="002A0CB1" w:rsidTr="00F552C7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Икономически дейности</w:t>
            </w:r>
          </w:p>
          <w:p w:rsidR="00F14E63" w:rsidRPr="002A0CB1" w:rsidRDefault="00F14E63" w:rsidP="001601BE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2021 = 100</w:t>
            </w:r>
          </w:p>
          <w:p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Предходният месец = 100</w:t>
            </w:r>
          </w:p>
          <w:p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E63" w:rsidRPr="002A0CB1" w:rsidRDefault="00F14E63" w:rsidP="001601BE">
            <w:pPr>
              <w:spacing w:after="0" w:line="240" w:lineRule="auto"/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Съответният месец на предходната година = 100</w:t>
            </w:r>
          </w:p>
        </w:tc>
      </w:tr>
      <w:tr w:rsidR="00F552C7" w:rsidRPr="002A0CB1" w:rsidTr="00F552C7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Промишленост -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120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2A0CB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Добивна</w:t>
            </w:r>
            <w:proofErr w:type="spellEnd"/>
            <w:r w:rsidRPr="002A0CB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122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135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155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552C7">
              <w:rPr>
                <w:rFonts w:ascii="Verdana" w:hAnsi="Verdana" w:cs="Arial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552C7">
              <w:rPr>
                <w:rFonts w:ascii="Verdana" w:hAnsi="Verdana" w:cs="Arial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552C7" w:rsidRPr="002A0CB1" w:rsidTr="00F552C7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552C7" w:rsidRPr="002A0CB1" w:rsidTr="00F552C7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метални изделия</w:t>
            </w:r>
            <w:r w:rsidRPr="002A0CB1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135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552C7" w:rsidRPr="002A0CB1" w:rsidTr="00F552C7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552C7" w:rsidRPr="002A0CB1" w:rsidTr="00F552C7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на автомобили, ремаркета и </w:t>
            </w:r>
            <w:proofErr w:type="spellStart"/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полуремаркета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552C7" w:rsidRPr="002A0CB1" w:rsidTr="00F552C7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552C7" w:rsidRPr="002A0CB1" w:rsidTr="00F552C7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552C7" w:rsidRPr="002A0CB1" w:rsidTr="00F552C7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123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96</w:t>
            </w:r>
            <w:r w:rsidR="0081144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552C7" w:rsidRPr="002A0CB1" w:rsidTr="00F552C7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552C7" w:rsidRPr="002A0CB1" w:rsidRDefault="00F552C7" w:rsidP="00F552C7">
            <w:pPr>
              <w:spacing w:after="0" w:line="240" w:lineRule="auto"/>
              <w:contextualSpacing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A0CB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552C7" w:rsidRPr="00F552C7" w:rsidRDefault="00F552C7" w:rsidP="00F552C7">
            <w:pPr>
              <w:spacing w:line="240" w:lineRule="auto"/>
              <w:contextualSpacing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81144F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552C7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F14E63" w:rsidRPr="00F14E63" w:rsidRDefault="00F14E63" w:rsidP="00F14E63">
      <w:pPr>
        <w:tabs>
          <w:tab w:val="left" w:pos="3885"/>
        </w:tabs>
        <w:rPr>
          <w:rFonts w:ascii="Verdana" w:hAnsi="Verdana"/>
          <w:sz w:val="20"/>
        </w:rPr>
      </w:pPr>
    </w:p>
    <w:sectPr w:rsidR="00F14E63" w:rsidRPr="00F14E63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D2" w:rsidRDefault="002529D2" w:rsidP="00D83F28">
      <w:pPr>
        <w:spacing w:after="0" w:line="240" w:lineRule="auto"/>
      </w:pPr>
      <w:r>
        <w:separator/>
      </w:r>
    </w:p>
  </w:endnote>
  <w:endnote w:type="continuationSeparator" w:id="0">
    <w:p w:rsidR="002529D2" w:rsidRDefault="002529D2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Default="00F3451D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51D" w:rsidRPr="00DD11CB" w:rsidRDefault="00F3451D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758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F3451D" w:rsidRPr="00DD11CB" w:rsidRDefault="00F3451D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3758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Pr="001440AB" w:rsidRDefault="00F3451D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E7B7D39" wp14:editId="627FE8BE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AB6F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D2" w:rsidRDefault="002529D2" w:rsidP="00D83F28">
      <w:pPr>
        <w:spacing w:after="0" w:line="240" w:lineRule="auto"/>
      </w:pPr>
      <w:r>
        <w:separator/>
      </w:r>
    </w:p>
  </w:footnote>
  <w:footnote w:type="continuationSeparator" w:id="0">
    <w:p w:rsidR="002529D2" w:rsidRDefault="002529D2" w:rsidP="00D83F28">
      <w:pPr>
        <w:spacing w:after="0" w:line="240" w:lineRule="auto"/>
      </w:pPr>
      <w:r>
        <w:continuationSeparator/>
      </w:r>
    </w:p>
  </w:footnote>
  <w:footnote w:id="1">
    <w:p w:rsidR="00F3451D" w:rsidRPr="004938FA" w:rsidRDefault="00F3451D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:rsidR="00F3451D" w:rsidRPr="004938FA" w:rsidRDefault="00F3451D" w:rsidP="00F14E6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:rsidR="00F3451D" w:rsidRPr="00A2553A" w:rsidRDefault="00F3451D" w:rsidP="00F14E6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:rsidR="00F3451D" w:rsidRPr="00A2553A" w:rsidRDefault="00F3451D" w:rsidP="00F14E63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Pr="00F14E63" w:rsidRDefault="00F3451D" w:rsidP="00F14E63">
    <w:pPr>
      <w:snapToGri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smallCaps/>
        <w:sz w:val="20"/>
        <w:szCs w:val="20"/>
        <w:lang w:val="ru-RU"/>
      </w:rPr>
    </w:pP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>ИНДЕКСИ НА ЦЕНИТЕ НА ПРОИЗВОДИТЕЛ В ПРОМИШЛЕНОСТТА,</w:t>
    </w:r>
  </w:p>
  <w:p w:rsidR="00F3451D" w:rsidRPr="00F14E63" w:rsidRDefault="00F3451D" w:rsidP="00F14E63">
    <w:pPr>
      <w:spacing w:after="0" w:line="360" w:lineRule="auto"/>
      <w:jc w:val="center"/>
      <w:rPr>
        <w:rFonts w:ascii="Verdana" w:hAnsi="Verdana"/>
        <w:sz w:val="20"/>
        <w:szCs w:val="20"/>
        <w:lang w:val="bg-BG"/>
      </w:rPr>
    </w:pPr>
    <w:r>
      <w:rPr>
        <w:rFonts w:ascii="Verdana" w:eastAsia="Times New Roman" w:hAnsi="Verdana" w:cs="Times New Roman"/>
        <w:b/>
        <w:smallCaps/>
        <w:sz w:val="20"/>
        <w:szCs w:val="20"/>
        <w:lang w:val="bg-BG"/>
      </w:rPr>
      <w:t>ДЕКЕМВРИ</w:t>
    </w:r>
    <w:r w:rsidRPr="00F14E63">
      <w:rPr>
        <w:rFonts w:ascii="Verdana" w:eastAsia="Times New Roman" w:hAnsi="Verdana" w:cs="Times New Roman"/>
        <w:b/>
        <w:smallCaps/>
        <w:sz w:val="20"/>
        <w:szCs w:val="20"/>
        <w:lang w:val="bg-BG"/>
      </w:rPr>
      <w:t xml:space="preserve"> 2024 ГОДИНА</w:t>
    </w:r>
  </w:p>
  <w:p w:rsidR="00F3451D" w:rsidRPr="00F76D42" w:rsidRDefault="00F3451D" w:rsidP="00F14E63">
    <w:pPr>
      <w:spacing w:after="240"/>
      <w:rPr>
        <w:lang w:val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Pr="00D83F28" w:rsidRDefault="00F3451D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451D" w:rsidRDefault="00F3451D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F3451D" w:rsidRPr="00D83F28" w:rsidRDefault="00F3451D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F3451D" w:rsidRPr="00FD731D" w:rsidRDefault="00F3451D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BC7A59" w:rsidRDefault="00BC7A59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BC7A59" w:rsidRPr="00D83F28" w:rsidRDefault="00BC7A59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BC7A59" w:rsidRPr="00FD731D" w:rsidRDefault="00BC7A59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1002AF"/>
    <w:rsid w:val="001440AB"/>
    <w:rsid w:val="001601BE"/>
    <w:rsid w:val="001B3274"/>
    <w:rsid w:val="002529D2"/>
    <w:rsid w:val="00266E6D"/>
    <w:rsid w:val="002B4157"/>
    <w:rsid w:val="00354FFA"/>
    <w:rsid w:val="003804F9"/>
    <w:rsid w:val="003E75E1"/>
    <w:rsid w:val="00411E9A"/>
    <w:rsid w:val="004242C2"/>
    <w:rsid w:val="0043758D"/>
    <w:rsid w:val="0050410D"/>
    <w:rsid w:val="005044B9"/>
    <w:rsid w:val="005A41BE"/>
    <w:rsid w:val="005B11D5"/>
    <w:rsid w:val="005C2653"/>
    <w:rsid w:val="0061154B"/>
    <w:rsid w:val="00643044"/>
    <w:rsid w:val="006A4C8F"/>
    <w:rsid w:val="00727C16"/>
    <w:rsid w:val="007B645D"/>
    <w:rsid w:val="0081144F"/>
    <w:rsid w:val="008E6CB5"/>
    <w:rsid w:val="009757F5"/>
    <w:rsid w:val="00A30B28"/>
    <w:rsid w:val="00A56FA8"/>
    <w:rsid w:val="00AF67CB"/>
    <w:rsid w:val="00B81EBD"/>
    <w:rsid w:val="00BC7A59"/>
    <w:rsid w:val="00C7187B"/>
    <w:rsid w:val="00D2395A"/>
    <w:rsid w:val="00D60CD2"/>
    <w:rsid w:val="00D62CFF"/>
    <w:rsid w:val="00D83F28"/>
    <w:rsid w:val="00DA78CD"/>
    <w:rsid w:val="00EA78E4"/>
    <w:rsid w:val="00EB5510"/>
    <w:rsid w:val="00EF4FC0"/>
    <w:rsid w:val="00F14E63"/>
    <w:rsid w:val="00F3451D"/>
    <w:rsid w:val="00F552C7"/>
    <w:rsid w:val="00F76D42"/>
    <w:rsid w:val="00F8365D"/>
    <w:rsid w:val="00F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E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E63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E6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F14E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7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5A10-8BA6-48D0-B2E6-0F8B9E0C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Biliana Kamenska</cp:lastModifiedBy>
  <cp:revision>33</cp:revision>
  <dcterms:created xsi:type="dcterms:W3CDTF">2025-01-16T13:28:00Z</dcterms:created>
  <dcterms:modified xsi:type="dcterms:W3CDTF">2025-01-27T09:14:00Z</dcterms:modified>
</cp:coreProperties>
</file>