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B8FC" w14:textId="77777777" w:rsidR="00687E4B" w:rsidRPr="00B43F31" w:rsidRDefault="00687E4B" w:rsidP="00B43F31">
      <w:p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</w:p>
    <w:p w14:paraId="39E75004" w14:textId="73FA39D9" w:rsidR="003131E4" w:rsidRPr="00B43F31" w:rsidRDefault="00B94ABE" w:rsidP="00B43F31">
      <w:p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>
        <w:rPr>
          <w:rFonts w:ascii="ADYS" w:hAnsi="ADYS"/>
          <w:sz w:val="24"/>
          <w:szCs w:val="24"/>
        </w:rPr>
        <w:t>Пресконференция на Асоциация за инсулт и афазия и Българско дружество по неврология, Национален пресклуб на БТА, 21.01.2025г. 11:00ч.</w:t>
      </w:r>
    </w:p>
    <w:p w14:paraId="5AB7C60C" w14:textId="77777777" w:rsidR="003131E4" w:rsidRPr="00B43F31" w:rsidRDefault="003131E4" w:rsidP="00B43F31">
      <w:p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</w:p>
    <w:p w14:paraId="3E12F3BC" w14:textId="2620A440" w:rsidR="003131E4" w:rsidRPr="00B43F31" w:rsidRDefault="003131E4" w:rsidP="00B43F31">
      <w:p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B43F31">
        <w:rPr>
          <w:rFonts w:ascii="ADYS" w:hAnsi="ADYS"/>
          <w:sz w:val="24"/>
          <w:szCs w:val="24"/>
        </w:rPr>
        <w:t>Разширена информация относно актуализирания през 2024г. Европейски план за борба с инсулта 2018-2030</w:t>
      </w:r>
    </w:p>
    <w:p w14:paraId="265CB276" w14:textId="77777777" w:rsidR="003131E4" w:rsidRPr="00B43F31" w:rsidRDefault="003131E4" w:rsidP="00B43F31">
      <w:p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</w:p>
    <w:p w14:paraId="3D836ABD" w14:textId="4F53FEDD" w:rsidR="003131E4" w:rsidRPr="00B43F31" w:rsidRDefault="003131E4" w:rsidP="00B43F31">
      <w:pPr>
        <w:spacing w:line="360" w:lineRule="auto"/>
        <w:ind w:firstLine="720"/>
        <w:jc w:val="both"/>
        <w:rPr>
          <w:rFonts w:ascii="ADYS" w:hAnsi="ADYS"/>
          <w:b/>
          <w:bCs/>
          <w:sz w:val="24"/>
          <w:szCs w:val="24"/>
        </w:rPr>
      </w:pPr>
      <w:r w:rsidRPr="00B43F31">
        <w:rPr>
          <w:rFonts w:ascii="ADYS" w:hAnsi="ADYS"/>
          <w:b/>
          <w:bCs/>
          <w:sz w:val="24"/>
          <w:szCs w:val="24"/>
        </w:rPr>
        <w:t>Относно</w:t>
      </w:r>
      <w:r w:rsidR="00B43F31" w:rsidRPr="00B43F31">
        <w:rPr>
          <w:rFonts w:ascii="ADYS" w:hAnsi="ADYS"/>
          <w:b/>
          <w:bCs/>
          <w:sz w:val="24"/>
          <w:szCs w:val="24"/>
        </w:rPr>
        <w:t xml:space="preserve"> плана</w:t>
      </w:r>
      <w:r w:rsidRPr="00B43F31">
        <w:rPr>
          <w:rFonts w:ascii="ADYS" w:hAnsi="ADYS"/>
          <w:b/>
          <w:bCs/>
          <w:sz w:val="24"/>
          <w:szCs w:val="24"/>
        </w:rPr>
        <w:t>:</w:t>
      </w:r>
    </w:p>
    <w:p w14:paraId="36B04F54" w14:textId="5C4ED0B2" w:rsidR="003131E4" w:rsidRPr="003131E4" w:rsidRDefault="003131E4" w:rsidP="00B43F31">
      <w:p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3131E4">
        <w:rPr>
          <w:rFonts w:ascii="ADYS" w:hAnsi="ADYS"/>
          <w:sz w:val="24"/>
          <w:szCs w:val="24"/>
        </w:rPr>
        <w:t>Европейският план за борба с инсулта е стратегически документ, разработен през 2018 г. от двете най-големи организации за инсулт в Европа – Европейската инсултна организация, обединяваща медицински специалисти и Алиансът за инсулт в Европа – алианс на пациентските организации подкрепящи пострадалите от инсулт. Като първи стратегически документ на европейско равнище той приема рамката на хоризонт на съществуващите стратегии в здравния сектор, поради което е ограничен до 12 години срок за изпълнение. В рамките на 2024 г., с изтичането на първата половина на периода, бе направена негова преоценка и актуализация.</w:t>
      </w:r>
    </w:p>
    <w:p w14:paraId="24E01FAF" w14:textId="77777777" w:rsidR="003131E4" w:rsidRPr="003131E4" w:rsidRDefault="003131E4" w:rsidP="00B43F31">
      <w:p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3131E4">
        <w:rPr>
          <w:rFonts w:ascii="ADYS" w:hAnsi="ADYS"/>
          <w:sz w:val="24"/>
          <w:szCs w:val="24"/>
          <w:u w:val="single"/>
        </w:rPr>
        <w:t>Европейският план разчита на мрежа от национални координатори и създаване на национални планове за инсулт</w:t>
      </w:r>
      <w:r w:rsidRPr="003131E4">
        <w:rPr>
          <w:rFonts w:ascii="ADYS" w:hAnsi="ADYS"/>
          <w:sz w:val="24"/>
          <w:szCs w:val="24"/>
        </w:rPr>
        <w:t>. Той е насочващ, рамкиращ документ, който подпомага подобряването на националната политика за борба с инсулта, осмисляйки я в контекста на по-голяма, универсална стратегическа рамка. Този план е и първия опит за стандартизиране на проблема инсулт на стратегическо равнище – той предлага възможност, разнопосочната проблематика, свързана с инсулта във всяка страна да бъде обхваната в общ модел, който да бъде съпоставим и измерим в отделните държави, а с това се поставят и основите на целенасочената и основана на резултати европейска политика за подкрепа.</w:t>
      </w:r>
    </w:p>
    <w:p w14:paraId="74D49664" w14:textId="13BA0A3D" w:rsidR="003131E4" w:rsidRPr="00B43F31" w:rsidRDefault="003131E4" w:rsidP="00B43F31">
      <w:p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B43F31">
        <w:rPr>
          <w:rFonts w:ascii="ADYS" w:hAnsi="ADYS"/>
          <w:sz w:val="24"/>
          <w:szCs w:val="24"/>
        </w:rPr>
        <w:t>За съжаление, в периода на реализация на плана, още в самото начало сериозно възпиращо действие оказа Пандемията с Ковид 19, която забави ефективното стартиране на реализацията на плана.</w:t>
      </w:r>
    </w:p>
    <w:p w14:paraId="7E04A1C7" w14:textId="77777777" w:rsidR="003131E4" w:rsidRPr="00B43F31" w:rsidRDefault="003131E4" w:rsidP="00B43F31">
      <w:p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</w:p>
    <w:p w14:paraId="2B79B562" w14:textId="77777777" w:rsidR="003131E4" w:rsidRPr="003131E4" w:rsidRDefault="003131E4" w:rsidP="00B43F31">
      <w:p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3131E4">
        <w:rPr>
          <w:rFonts w:ascii="ADYS" w:hAnsi="ADYS"/>
          <w:b/>
          <w:bCs/>
          <w:sz w:val="24"/>
          <w:szCs w:val="24"/>
        </w:rPr>
        <w:lastRenderedPageBreak/>
        <w:t>Структурата на плана</w:t>
      </w:r>
      <w:r w:rsidRPr="003131E4">
        <w:rPr>
          <w:rFonts w:ascii="ADYS" w:hAnsi="ADYS"/>
          <w:sz w:val="24"/>
          <w:szCs w:val="24"/>
        </w:rPr>
        <w:t xml:space="preserve"> обобщава фокуса на усилията в борбата с инсулта, като позволява да се разгръщат разнообразни инструменти за насърчаване на политика за подкрепа. Плана идентифицира 7 области за интервенция:</w:t>
      </w:r>
    </w:p>
    <w:p w14:paraId="77302965" w14:textId="77777777" w:rsidR="003131E4" w:rsidRPr="00B43F31" w:rsidRDefault="003131E4" w:rsidP="00B43F31">
      <w:pPr>
        <w:pStyle w:val="a9"/>
        <w:numPr>
          <w:ilvl w:val="0"/>
          <w:numId w:val="2"/>
        </w:num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B43F31">
        <w:rPr>
          <w:rFonts w:ascii="ADYS" w:hAnsi="ADYS"/>
          <w:sz w:val="24"/>
          <w:szCs w:val="24"/>
          <w:lang w:val="ru-RU"/>
        </w:rPr>
        <w:t>Първична превенция</w:t>
      </w:r>
    </w:p>
    <w:p w14:paraId="0DB0FBC2" w14:textId="77777777" w:rsidR="003131E4" w:rsidRPr="00B43F31" w:rsidRDefault="003131E4" w:rsidP="00B43F31">
      <w:pPr>
        <w:pStyle w:val="a9"/>
        <w:numPr>
          <w:ilvl w:val="0"/>
          <w:numId w:val="2"/>
        </w:num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B43F31">
        <w:rPr>
          <w:rFonts w:ascii="ADYS" w:hAnsi="ADYS"/>
          <w:sz w:val="24"/>
          <w:szCs w:val="24"/>
          <w:lang w:val="ru-RU"/>
        </w:rPr>
        <w:t>Организиране на услугите за инсулт</w:t>
      </w:r>
    </w:p>
    <w:p w14:paraId="59B702E3" w14:textId="77777777" w:rsidR="003131E4" w:rsidRPr="00B43F31" w:rsidRDefault="003131E4" w:rsidP="00B43F31">
      <w:pPr>
        <w:pStyle w:val="a9"/>
        <w:numPr>
          <w:ilvl w:val="0"/>
          <w:numId w:val="2"/>
        </w:num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B43F31">
        <w:rPr>
          <w:rFonts w:ascii="ADYS" w:hAnsi="ADYS"/>
          <w:sz w:val="24"/>
          <w:szCs w:val="24"/>
          <w:lang w:val="ru-RU"/>
        </w:rPr>
        <w:t>Управление на острата фаза на инсулта</w:t>
      </w:r>
    </w:p>
    <w:p w14:paraId="5CF6AE42" w14:textId="77777777" w:rsidR="003131E4" w:rsidRPr="00B43F31" w:rsidRDefault="003131E4" w:rsidP="00B43F31">
      <w:pPr>
        <w:pStyle w:val="a9"/>
        <w:numPr>
          <w:ilvl w:val="0"/>
          <w:numId w:val="2"/>
        </w:num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B43F31">
        <w:rPr>
          <w:rFonts w:ascii="ADYS" w:hAnsi="ADYS"/>
          <w:sz w:val="24"/>
          <w:szCs w:val="24"/>
          <w:lang w:val="ru-RU"/>
        </w:rPr>
        <w:t>Вторична превенция</w:t>
      </w:r>
    </w:p>
    <w:p w14:paraId="7E87F41D" w14:textId="77777777" w:rsidR="003131E4" w:rsidRPr="00B43F31" w:rsidRDefault="003131E4" w:rsidP="00B43F31">
      <w:pPr>
        <w:pStyle w:val="a9"/>
        <w:numPr>
          <w:ilvl w:val="0"/>
          <w:numId w:val="2"/>
        </w:num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B43F31">
        <w:rPr>
          <w:rFonts w:ascii="ADYS" w:hAnsi="ADYS"/>
          <w:sz w:val="24"/>
          <w:szCs w:val="24"/>
          <w:lang w:val="ru-RU"/>
        </w:rPr>
        <w:t>Рехабилитация</w:t>
      </w:r>
    </w:p>
    <w:p w14:paraId="40ACEA15" w14:textId="77777777" w:rsidR="003131E4" w:rsidRPr="00B43F31" w:rsidRDefault="003131E4" w:rsidP="00B43F31">
      <w:pPr>
        <w:pStyle w:val="a9"/>
        <w:numPr>
          <w:ilvl w:val="0"/>
          <w:numId w:val="2"/>
        </w:num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B43F31">
        <w:rPr>
          <w:rFonts w:ascii="ADYS" w:hAnsi="ADYS"/>
          <w:sz w:val="24"/>
          <w:szCs w:val="24"/>
          <w:lang w:val="ru-RU"/>
        </w:rPr>
        <w:t>Оценка на качеството и резултата</w:t>
      </w:r>
    </w:p>
    <w:p w14:paraId="449CF0AF" w14:textId="77777777" w:rsidR="003131E4" w:rsidRPr="00B43F31" w:rsidRDefault="003131E4" w:rsidP="00B43F31">
      <w:pPr>
        <w:pStyle w:val="a9"/>
        <w:numPr>
          <w:ilvl w:val="0"/>
          <w:numId w:val="2"/>
        </w:numPr>
        <w:spacing w:line="360" w:lineRule="auto"/>
        <w:ind w:firstLine="720"/>
        <w:jc w:val="both"/>
        <w:rPr>
          <w:rFonts w:ascii="ADYS" w:hAnsi="ADYS"/>
          <w:sz w:val="24"/>
          <w:szCs w:val="24"/>
        </w:rPr>
      </w:pPr>
      <w:r w:rsidRPr="00B43F31">
        <w:rPr>
          <w:rFonts w:ascii="ADYS" w:hAnsi="ADYS"/>
          <w:sz w:val="24"/>
          <w:szCs w:val="24"/>
        </w:rPr>
        <w:t>Живот след инсулт</w:t>
      </w:r>
    </w:p>
    <w:p w14:paraId="642DFA08" w14:textId="77777777" w:rsidR="00B43F31" w:rsidRPr="00B43F31" w:rsidRDefault="00B43F31" w:rsidP="00B43F31">
      <w:pPr>
        <w:spacing w:line="360" w:lineRule="auto"/>
        <w:ind w:firstLine="720"/>
        <w:jc w:val="both"/>
        <w:rPr>
          <w:rFonts w:ascii="ADYS" w:hAnsi="ADYS"/>
          <w:sz w:val="24"/>
          <w:szCs w:val="24"/>
          <w:lang w:val="en-US"/>
        </w:rPr>
      </w:pPr>
    </w:p>
    <w:p w14:paraId="500ED03F" w14:textId="29B9A6C9" w:rsidR="003131E4" w:rsidRPr="00B43F31" w:rsidRDefault="00B43F31" w:rsidP="00B43F31">
      <w:pPr>
        <w:spacing w:line="360" w:lineRule="auto"/>
        <w:ind w:firstLine="720"/>
        <w:jc w:val="both"/>
        <w:rPr>
          <w:rFonts w:ascii="ADYS" w:hAnsi="ADYS"/>
          <w:b/>
          <w:bCs/>
          <w:sz w:val="24"/>
          <w:szCs w:val="24"/>
        </w:rPr>
      </w:pPr>
      <w:r w:rsidRPr="00B43F31">
        <w:rPr>
          <w:rFonts w:ascii="ADYS" w:hAnsi="ADYS"/>
          <w:b/>
          <w:bCs/>
          <w:sz w:val="24"/>
          <w:szCs w:val="24"/>
        </w:rPr>
        <w:t>Актуализирани цели</w:t>
      </w:r>
      <w:r w:rsidR="003131E4" w:rsidRPr="00B43F31">
        <w:rPr>
          <w:rFonts w:ascii="ADYS" w:hAnsi="ADYS"/>
          <w:b/>
          <w:bCs/>
          <w:sz w:val="24"/>
          <w:szCs w:val="24"/>
        </w:rPr>
        <w:t>:</w:t>
      </w:r>
    </w:p>
    <w:p w14:paraId="1D04D3D7" w14:textId="1CDD208B" w:rsidR="0035379F" w:rsidRPr="0035379F" w:rsidRDefault="0035379F" w:rsidP="0035379F">
      <w:pPr>
        <w:pStyle w:val="a9"/>
        <w:numPr>
          <w:ilvl w:val="0"/>
          <w:numId w:val="5"/>
        </w:numPr>
        <w:spacing w:line="360" w:lineRule="auto"/>
        <w:jc w:val="both"/>
        <w:rPr>
          <w:rFonts w:ascii="ADYS" w:hAnsi="ADYS"/>
          <w:sz w:val="24"/>
          <w:szCs w:val="24"/>
        </w:rPr>
      </w:pPr>
      <w:r w:rsidRPr="0035379F">
        <w:rPr>
          <w:rFonts w:ascii="ADYS" w:hAnsi="ADYS"/>
          <w:sz w:val="24"/>
          <w:szCs w:val="24"/>
        </w:rPr>
        <w:t>Да се намали възрастовата стандартизирана честота на инсулт с 10 % от 2020—2030 г.</w:t>
      </w:r>
    </w:p>
    <w:p w14:paraId="5D3FB054" w14:textId="3EAA9CCF" w:rsidR="0035379F" w:rsidRPr="00090B40" w:rsidRDefault="00090B40" w:rsidP="00090B40">
      <w:pPr>
        <w:pStyle w:val="a9"/>
        <w:numPr>
          <w:ilvl w:val="0"/>
          <w:numId w:val="5"/>
        </w:numPr>
        <w:spacing w:line="360" w:lineRule="auto"/>
        <w:jc w:val="both"/>
        <w:rPr>
          <w:rFonts w:ascii="ADYS" w:hAnsi="ADYS"/>
          <w:sz w:val="24"/>
          <w:szCs w:val="24"/>
        </w:rPr>
      </w:pPr>
      <w:r w:rsidRPr="00090B40">
        <w:rPr>
          <w:rFonts w:ascii="ADYS" w:hAnsi="ADYS"/>
          <w:sz w:val="24"/>
          <w:szCs w:val="24"/>
        </w:rPr>
        <w:t>Л</w:t>
      </w:r>
      <w:r w:rsidR="0035379F" w:rsidRPr="00090B40">
        <w:rPr>
          <w:rFonts w:ascii="ADYS" w:hAnsi="ADYS"/>
          <w:sz w:val="24"/>
          <w:szCs w:val="24"/>
        </w:rPr>
        <w:t>ечение на 90 % или повече от всички пациенти с инсулт в Европа в специално отделение за инсулт като първо ниво на грижи</w:t>
      </w:r>
      <w:r w:rsidRPr="00090B40">
        <w:rPr>
          <w:rFonts w:ascii="ADYS" w:hAnsi="ADYS"/>
          <w:sz w:val="24"/>
          <w:szCs w:val="24"/>
        </w:rPr>
        <w:t>;</w:t>
      </w:r>
    </w:p>
    <w:p w14:paraId="6F5C5C75" w14:textId="5C1D896D" w:rsidR="0035379F" w:rsidRPr="00090B40" w:rsidRDefault="00090B40" w:rsidP="00090B40">
      <w:pPr>
        <w:pStyle w:val="a9"/>
        <w:numPr>
          <w:ilvl w:val="0"/>
          <w:numId w:val="5"/>
        </w:numPr>
        <w:spacing w:line="360" w:lineRule="auto"/>
        <w:jc w:val="both"/>
        <w:rPr>
          <w:rFonts w:ascii="ADYS" w:hAnsi="ADYS"/>
          <w:sz w:val="24"/>
          <w:szCs w:val="24"/>
        </w:rPr>
      </w:pPr>
      <w:r w:rsidRPr="00090B40">
        <w:rPr>
          <w:rFonts w:ascii="ADYS" w:hAnsi="ADYS"/>
          <w:sz w:val="24"/>
          <w:szCs w:val="24"/>
        </w:rPr>
        <w:t>Д</w:t>
      </w:r>
      <w:r w:rsidR="0035379F" w:rsidRPr="00090B40">
        <w:rPr>
          <w:rFonts w:ascii="ADYS" w:hAnsi="ADYS"/>
          <w:sz w:val="24"/>
          <w:szCs w:val="24"/>
        </w:rPr>
        <w:t>а има национални планове за инсулт, обхващащи цялата верига от грижи от първичната профилактика до живота след инсулт</w:t>
      </w:r>
      <w:r w:rsidRPr="00090B40">
        <w:rPr>
          <w:rFonts w:ascii="ADYS" w:hAnsi="ADYS"/>
          <w:sz w:val="24"/>
          <w:szCs w:val="24"/>
        </w:rPr>
        <w:t>;</w:t>
      </w:r>
    </w:p>
    <w:p w14:paraId="4FE0F9D7" w14:textId="0E790053" w:rsidR="005A1AAA" w:rsidRPr="00090B40" w:rsidRDefault="00090B40" w:rsidP="00090B40">
      <w:pPr>
        <w:pStyle w:val="a9"/>
        <w:numPr>
          <w:ilvl w:val="0"/>
          <w:numId w:val="5"/>
        </w:numPr>
        <w:spacing w:line="360" w:lineRule="auto"/>
        <w:jc w:val="both"/>
        <w:rPr>
          <w:rFonts w:ascii="ADYS" w:hAnsi="ADYS"/>
          <w:sz w:val="24"/>
          <w:szCs w:val="24"/>
        </w:rPr>
      </w:pPr>
      <w:r w:rsidRPr="00090B40">
        <w:rPr>
          <w:rFonts w:ascii="ADYS" w:hAnsi="ADYS"/>
          <w:sz w:val="24"/>
          <w:szCs w:val="24"/>
        </w:rPr>
        <w:t>П</w:t>
      </w:r>
      <w:r w:rsidR="0035379F" w:rsidRPr="00090B40">
        <w:rPr>
          <w:rFonts w:ascii="ADYS" w:hAnsi="ADYS"/>
          <w:sz w:val="24"/>
          <w:szCs w:val="24"/>
        </w:rPr>
        <w:t xml:space="preserve">ълно прилагане на националните стратегии за многосекторни интервенции в областта на общественото здраве с цел насърчаване и улесняване на здравословния начин на живот и намаляване на </w:t>
      </w:r>
      <w:r w:rsidR="00F92C06">
        <w:rPr>
          <w:rFonts w:ascii="ADYS" w:hAnsi="ADYS"/>
          <w:sz w:val="24"/>
          <w:szCs w:val="24"/>
        </w:rPr>
        <w:t xml:space="preserve">влиянието на </w:t>
      </w:r>
      <w:r w:rsidR="0035379F" w:rsidRPr="00090B40">
        <w:rPr>
          <w:rFonts w:ascii="ADYS" w:hAnsi="ADYS"/>
          <w:sz w:val="24"/>
          <w:szCs w:val="24"/>
        </w:rPr>
        <w:t>околната среда (включително замърсяването на въздуха), социално-икономическите и образователните фактори, които увеличават риска от инсулт</w:t>
      </w:r>
      <w:r w:rsidRPr="00090B40">
        <w:rPr>
          <w:rFonts w:ascii="ADYS" w:hAnsi="ADYS"/>
          <w:sz w:val="24"/>
          <w:szCs w:val="24"/>
        </w:rPr>
        <w:t>.</w:t>
      </w:r>
    </w:p>
    <w:p w14:paraId="3A725D12" w14:textId="77777777" w:rsidR="00090B40" w:rsidRPr="00090B40" w:rsidRDefault="00090B40" w:rsidP="00090B40">
      <w:pPr>
        <w:pStyle w:val="a9"/>
        <w:spacing w:line="360" w:lineRule="auto"/>
        <w:jc w:val="both"/>
        <w:rPr>
          <w:rFonts w:ascii="ADYS" w:hAnsi="ADYS"/>
          <w:sz w:val="24"/>
          <w:szCs w:val="24"/>
        </w:rPr>
      </w:pPr>
    </w:p>
    <w:p w14:paraId="7A694493" w14:textId="225E278A" w:rsidR="005A1AAA" w:rsidRPr="00E60152" w:rsidRDefault="00F71244" w:rsidP="005A1AAA">
      <w:pPr>
        <w:spacing w:line="360" w:lineRule="auto"/>
        <w:jc w:val="both"/>
        <w:rPr>
          <w:rFonts w:ascii="ADYS" w:hAnsi="ADYS"/>
          <w:b/>
          <w:bCs/>
          <w:sz w:val="24"/>
          <w:szCs w:val="24"/>
        </w:rPr>
      </w:pPr>
      <w:r w:rsidRPr="00E60152">
        <w:rPr>
          <w:rFonts w:ascii="ADYS" w:hAnsi="ADYS"/>
          <w:b/>
          <w:bCs/>
          <w:sz w:val="24"/>
          <w:szCs w:val="24"/>
        </w:rPr>
        <w:t>Актуализирани рискови фактори за инсулт и препоръки за действие</w:t>
      </w:r>
    </w:p>
    <w:tbl>
      <w:tblPr>
        <w:tblW w:w="9628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65"/>
      </w:tblGrid>
      <w:tr w:rsidR="00E60152" w:rsidRPr="00E60152" w14:paraId="2ED5CF9C" w14:textId="77777777" w:rsidTr="009A2FD1">
        <w:trPr>
          <w:trHeight w:val="290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736F7F8B" w14:textId="77777777" w:rsidR="00E60152" w:rsidRPr="00E60152" w:rsidRDefault="00E60152" w:rsidP="009A2FD1">
            <w:pPr>
              <w:pStyle w:val="P68B1DB1-a4"/>
              <w:spacing w:line="276" w:lineRule="auto"/>
              <w:ind w:hanging="2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Рисков фактор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177CEE7C" w14:textId="77777777" w:rsidR="00E60152" w:rsidRPr="00E60152" w:rsidRDefault="00E60152" w:rsidP="009A2FD1">
            <w:pPr>
              <w:pStyle w:val="P68B1DB1-a4"/>
              <w:spacing w:line="276" w:lineRule="auto"/>
              <w:ind w:hanging="2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Препоръки за действие</w:t>
            </w:r>
          </w:p>
        </w:tc>
      </w:tr>
      <w:tr w:rsidR="00E60152" w:rsidRPr="00E60152" w14:paraId="7D9C1272" w14:textId="77777777" w:rsidTr="009A2FD1">
        <w:trPr>
          <w:trHeight w:val="951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5B8A4EDD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Пушене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64006127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Насърчаване на националните правителства да налагат годишни увеличения на данъка върху тютюневите изделия</w:t>
            </w:r>
            <w:r w:rsidRPr="00E60152">
              <w:rPr>
                <w:rFonts w:ascii="ADYS" w:hAnsi="ADYS"/>
                <w:szCs w:val="24"/>
              </w:rPr>
              <w:br/>
              <w:t xml:space="preserve">Ограничаване на продажбите на тютюневи изделия и забрана на рекламата и спонсорството на тютюневи изделия, включително електронните цигари </w:t>
            </w:r>
          </w:p>
        </w:tc>
      </w:tr>
      <w:tr w:rsidR="00E60152" w:rsidRPr="00E60152" w14:paraId="4B9B866B" w14:textId="77777777" w:rsidTr="009A2FD1">
        <w:trPr>
          <w:trHeight w:val="701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677C943A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lastRenderedPageBreak/>
              <w:t>Алкохол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314F55CE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Насърчаване на националните правителства да приемат и налагат ограничения върху физическата наличност на алкохол на дребно (чрез намаляване на часовете на продажба);</w:t>
            </w:r>
            <w:r w:rsidRPr="00E60152">
              <w:rPr>
                <w:rFonts w:ascii="ADYS" w:hAnsi="ADYS"/>
                <w:szCs w:val="24"/>
              </w:rPr>
              <w:br/>
              <w:t>Увеличаване на акцизите върху алкохолните напитки и забрана на рекламата в различни видове медии</w:t>
            </w:r>
          </w:p>
        </w:tc>
      </w:tr>
      <w:tr w:rsidR="00E60152" w:rsidRPr="00E60152" w14:paraId="5640DFDE" w14:textId="77777777" w:rsidTr="009A2FD1">
        <w:trPr>
          <w:trHeight w:val="711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288094C2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Здравословно хранене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67D7A0CE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 xml:space="preserve">Приемане на национални политики за намаляване на консумацията на сол/натрий от населението и ограничаване на наситените мастни киселини, червеното месо и премахването на трансмастните киселини в преработените храни. </w:t>
            </w:r>
            <w:r w:rsidRPr="00E60152">
              <w:rPr>
                <w:rFonts w:ascii="ADYS" w:hAnsi="ADYS"/>
                <w:szCs w:val="24"/>
              </w:rPr>
              <w:br/>
              <w:t>Политиките биха могли да включват здравно данъчно облагане и ценова подкрепа за здравословни хранителни продукти</w:t>
            </w:r>
          </w:p>
        </w:tc>
      </w:tr>
      <w:tr w:rsidR="00E60152" w:rsidRPr="00E60152" w14:paraId="1DEDB272" w14:textId="77777777" w:rsidTr="009A2FD1">
        <w:trPr>
          <w:trHeight w:val="253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11D92A1B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Физическа активност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53311B35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Да се обърне внимание на значението на достатъчната физическа активност (най-малко 150 мин./седмица) за профилактика на инсулт</w:t>
            </w:r>
          </w:p>
        </w:tc>
      </w:tr>
      <w:tr w:rsidR="00E60152" w:rsidRPr="00E60152" w14:paraId="5DDDCFF7" w14:textId="77777777" w:rsidTr="009A2FD1">
        <w:trPr>
          <w:trHeight w:val="520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42E3925C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Сън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2F72B02F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Скрининг и активно лечение на нарушения на съня в първичната медицинска помощ</w:t>
            </w:r>
            <w:r w:rsidRPr="00E60152">
              <w:rPr>
                <w:rFonts w:ascii="ADYS" w:hAnsi="ADYS"/>
                <w:szCs w:val="24"/>
              </w:rPr>
              <w:br/>
              <w:t>Увеличете употребата на CPAP терапия при хора с обструктивна сънна апнея</w:t>
            </w:r>
          </w:p>
        </w:tc>
      </w:tr>
      <w:tr w:rsidR="00E60152" w:rsidRPr="00E60152" w14:paraId="150A86CA" w14:textId="77777777" w:rsidTr="009A2FD1">
        <w:trPr>
          <w:trHeight w:val="747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21802F38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Електронни цигари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4DA02DD1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Мерки в подкрепа на забраната на продажбата на електронни цигари на малолетни и непълнолетни лица; цялостна забрана на реклама и спонсорство. Налагане на специфични данъци върху електронните цигари и техните консумативи.</w:t>
            </w:r>
          </w:p>
        </w:tc>
      </w:tr>
      <w:tr w:rsidR="00E60152" w:rsidRPr="00E60152" w14:paraId="6DB368E7" w14:textId="77777777" w:rsidTr="009A2FD1">
        <w:trPr>
          <w:trHeight w:val="290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4FE1C162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Затлъстяване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22C4A9D1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Прекратяване тенденцията на нарастване на затлъстяването сред населението е решаваща цел в превенцията на инсулти.</w:t>
            </w:r>
          </w:p>
        </w:tc>
      </w:tr>
      <w:tr w:rsidR="00E60152" w:rsidRPr="00E60152" w14:paraId="6AC3434C" w14:textId="77777777" w:rsidTr="009A2FD1">
        <w:trPr>
          <w:trHeight w:val="520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16CC45AE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Повишено кръвно налягане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3599DD15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Европейските национални медицински професионални дружества следва да се ангажират и да се придържат към препоръките за управление на кръвното налягане при пациенти с хипертония</w:t>
            </w:r>
          </w:p>
        </w:tc>
      </w:tr>
      <w:tr w:rsidR="00E60152" w:rsidRPr="00E60152" w14:paraId="73F1C7F3" w14:textId="77777777" w:rsidTr="009A2FD1">
        <w:trPr>
          <w:trHeight w:val="443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5FF99E30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Дислипидемия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063680A4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 xml:space="preserve">Европейските национални медицински професионални общества следва да се ангажират и да се придържат към препоръките за управление на дислипидемията </w:t>
            </w:r>
          </w:p>
        </w:tc>
      </w:tr>
      <w:tr w:rsidR="00E60152" w:rsidRPr="00E60152" w14:paraId="5D8C910C" w14:textId="77777777" w:rsidTr="009A2FD1">
        <w:trPr>
          <w:trHeight w:val="405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1D90B435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 xml:space="preserve">Нездравословен начин на живот 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535E23B4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Като се има предвид многофакторният характер на инсулта, приемането на множество практики за здравословен начин на живот е от съществено значение за ефективната профилактика на всички видове инсулти.</w:t>
            </w:r>
          </w:p>
        </w:tc>
      </w:tr>
      <w:tr w:rsidR="00E60152" w:rsidRPr="00E60152" w14:paraId="54AB8934" w14:textId="77777777" w:rsidTr="009A2FD1">
        <w:trPr>
          <w:trHeight w:val="405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74A55F55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  <w:highlight w:val="yellow"/>
              </w:rPr>
            </w:pPr>
            <w:r w:rsidRPr="00E60152">
              <w:rPr>
                <w:rFonts w:ascii="ADYS" w:hAnsi="ADYS"/>
                <w:szCs w:val="24"/>
              </w:rPr>
              <w:t>Психосоциални</w:t>
            </w:r>
            <w:r w:rsidRPr="00E60152">
              <w:rPr>
                <w:rFonts w:ascii="ADYS" w:hAnsi="ADYS"/>
                <w:szCs w:val="24"/>
                <w:highlight w:val="yellow"/>
              </w:rPr>
              <w:t xml:space="preserve"> </w:t>
            </w:r>
            <w:r w:rsidRPr="00E60152">
              <w:rPr>
                <w:rFonts w:ascii="ADYS" w:hAnsi="ADYS"/>
                <w:szCs w:val="24"/>
              </w:rPr>
              <w:t xml:space="preserve"> фактори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07474841" w14:textId="77777777" w:rsidR="00E60152" w:rsidRPr="00E60152" w:rsidRDefault="00E60152" w:rsidP="009A2FD1">
            <w:pPr>
              <w:spacing w:line="276" w:lineRule="auto"/>
              <w:rPr>
                <w:rFonts w:ascii="ADYS" w:hAnsi="ADYS"/>
                <w:sz w:val="24"/>
                <w:szCs w:val="24"/>
                <w:highlight w:val="yellow"/>
              </w:rPr>
            </w:pPr>
            <w:r w:rsidRPr="00E60152">
              <w:rPr>
                <w:rFonts w:ascii="ADYS" w:hAnsi="ADYS"/>
                <w:sz w:val="24"/>
                <w:szCs w:val="24"/>
              </w:rPr>
              <w:t xml:space="preserve">Симптомите на стрес и психосоциалните стресори променят риска от сърдечно-съдови заболявания. Трябва да се обмисли оценка на тези стресови фактори, включително депресия, тревожност и безсъние. </w:t>
            </w:r>
          </w:p>
        </w:tc>
      </w:tr>
      <w:tr w:rsidR="00E60152" w:rsidRPr="00E60152" w14:paraId="13E3C611" w14:textId="77777777" w:rsidTr="009A2FD1">
        <w:trPr>
          <w:trHeight w:val="1307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53BB7472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Диабет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596F0A1C" w14:textId="77777777" w:rsidR="00E60152" w:rsidRPr="00E60152" w:rsidRDefault="00E60152" w:rsidP="009A2FD1">
            <w:pPr>
              <w:spacing w:line="276" w:lineRule="auto"/>
              <w:rPr>
                <w:rFonts w:ascii="ADYS" w:hAnsi="ADYS"/>
                <w:sz w:val="24"/>
                <w:szCs w:val="24"/>
              </w:rPr>
            </w:pPr>
            <w:r w:rsidRPr="00E60152">
              <w:rPr>
                <w:rFonts w:ascii="ADYS" w:hAnsi="ADYS"/>
                <w:sz w:val="24"/>
                <w:szCs w:val="24"/>
              </w:rPr>
              <w:t>Активно да използват нелабораторни оценки на риска за скрининг на Диабет Тип2 риск (SCORE2-Diabetes),а лицата с повишени резултати трябва да бъдат подложени на оценки за рискови фактори за гликемия и сърдечно-съдови заболявания (CVD).</w:t>
            </w:r>
            <w:r w:rsidRPr="00E60152">
              <w:rPr>
                <w:rFonts w:ascii="ADYS" w:hAnsi="ADYS"/>
                <w:sz w:val="24"/>
                <w:szCs w:val="24"/>
              </w:rPr>
              <w:br/>
              <w:t>Оптималната профилактика на инсулт при лица с диабет Тип2 включва многофакторно управление, насочено към всички рискови фактори за ССЗ, и трябва да включва използването на глюкозо-понижаващи агенти с доказани сърдечно-съдови ползи</w:t>
            </w:r>
          </w:p>
        </w:tc>
      </w:tr>
      <w:tr w:rsidR="00E60152" w:rsidRPr="00E60152" w14:paraId="4CBB8ABF" w14:textId="77777777" w:rsidTr="009A2FD1">
        <w:trPr>
          <w:trHeight w:val="433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24323140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Предсърдно мъждене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34982B22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Европейските национални медицински специалисти да следват препоръките относно скрининга за предсърдно мъждене и предотвратяването на емболични събития при пациенти с предсърдно мъждене</w:t>
            </w:r>
          </w:p>
        </w:tc>
      </w:tr>
      <w:tr w:rsidR="00E60152" w:rsidRPr="00E60152" w14:paraId="3B05681F" w14:textId="77777777" w:rsidTr="009A2FD1">
        <w:trPr>
          <w:trHeight w:val="682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51C6A198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Бъбречни заболявания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4C3226C0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Като подчертават наличието на терапевтични средства, които ефективно намаляват албуминурията и намаляват риска от сърдечно-съдови заболявания, доставчиците на здравно обслужване следва да обмислят включването на тези агенти в цялостни планове за грижи.</w:t>
            </w:r>
          </w:p>
        </w:tc>
      </w:tr>
      <w:tr w:rsidR="00E60152" w:rsidRPr="00E60152" w14:paraId="319878C0" w14:textId="77777777" w:rsidTr="009A2FD1">
        <w:trPr>
          <w:trHeight w:val="846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597834F8" w14:textId="69FF2CB6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bookmarkStart w:id="0" w:name="_Hlk173844663"/>
            <w:r w:rsidRPr="00E60152">
              <w:rPr>
                <w:rFonts w:ascii="ADYS" w:hAnsi="ADYS"/>
                <w:szCs w:val="24"/>
              </w:rPr>
              <w:t>Скрита мозъчн</w:t>
            </w:r>
            <w:r w:rsidR="00723B9B">
              <w:rPr>
                <w:rFonts w:ascii="ADYS" w:hAnsi="ADYS"/>
                <w:szCs w:val="24"/>
              </w:rPr>
              <w:t>осъдова</w:t>
            </w:r>
            <w:r w:rsidRPr="00E60152">
              <w:rPr>
                <w:rFonts w:ascii="ADYS" w:hAnsi="ADYS"/>
                <w:szCs w:val="24"/>
              </w:rPr>
              <w:t xml:space="preserve"> болест на малките съдове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7394E169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 xml:space="preserve">На пациентите с ccSVD и хипертония трябва да се препоръча да контролират добре кръвното си налягане; по-ниските цели на кръвното налягане могат да намалят прогресията на ccSVD. Спирането на тютюнопушенето е приоритет за здравето. Трябва да се препоръчват редовни упражнения, здравословна диета, добри навици за сън и избягване на затлъстяването и стреса. </w:t>
            </w:r>
          </w:p>
        </w:tc>
      </w:tr>
      <w:bookmarkEnd w:id="0"/>
      <w:tr w:rsidR="00E60152" w:rsidRPr="00E60152" w14:paraId="71340A9B" w14:textId="77777777" w:rsidTr="009A2FD1">
        <w:trPr>
          <w:trHeight w:val="780"/>
        </w:trPr>
        <w:tc>
          <w:tcPr>
            <w:tcW w:w="2263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415D1E1D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Замърсяване на въздуха</w:t>
            </w:r>
          </w:p>
        </w:tc>
        <w:tc>
          <w:tcPr>
            <w:tcW w:w="7365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auto"/>
          </w:tcPr>
          <w:p w14:paraId="2C591980" w14:textId="77777777" w:rsidR="00E60152" w:rsidRPr="00E60152" w:rsidRDefault="00E60152" w:rsidP="009A2FD1">
            <w:pPr>
              <w:pStyle w:val="P68B1DB1-a2"/>
              <w:spacing w:line="276" w:lineRule="auto"/>
              <w:rPr>
                <w:rFonts w:ascii="ADYS" w:hAnsi="ADYS"/>
                <w:szCs w:val="24"/>
              </w:rPr>
            </w:pPr>
            <w:r w:rsidRPr="00E60152">
              <w:rPr>
                <w:rFonts w:ascii="ADYS" w:hAnsi="ADYS"/>
                <w:szCs w:val="24"/>
              </w:rPr>
              <w:t>Европейските държави следва да се ангажират с насоките на СЗО за качеството на въздуха, в които се препоръчват нива и междинни цели за прахови частици и други общи замърсители на въздуха, азотен диоксид, NO2, серен диоксид, SO2 и озон O3.</w:t>
            </w:r>
          </w:p>
        </w:tc>
      </w:tr>
    </w:tbl>
    <w:p w14:paraId="0D1A6DDF" w14:textId="77777777" w:rsidR="00E60152" w:rsidRDefault="00E60152" w:rsidP="005A1AAA">
      <w:pPr>
        <w:spacing w:line="360" w:lineRule="auto"/>
        <w:jc w:val="both"/>
        <w:rPr>
          <w:rFonts w:ascii="ADYS" w:hAnsi="ADYS"/>
          <w:sz w:val="24"/>
          <w:szCs w:val="24"/>
        </w:rPr>
      </w:pPr>
    </w:p>
    <w:p w14:paraId="567DE3F5" w14:textId="5430B940" w:rsidR="00E230AB" w:rsidRDefault="00E230AB" w:rsidP="005A1AAA">
      <w:pPr>
        <w:spacing w:line="360" w:lineRule="auto"/>
        <w:jc w:val="both"/>
        <w:rPr>
          <w:rFonts w:ascii="ADYS" w:hAnsi="ADYS"/>
          <w:sz w:val="24"/>
          <w:szCs w:val="24"/>
        </w:rPr>
      </w:pPr>
      <w:r>
        <w:rPr>
          <w:rFonts w:ascii="ADYS" w:hAnsi="ADYS"/>
          <w:sz w:val="24"/>
          <w:szCs w:val="24"/>
        </w:rPr>
        <w:t xml:space="preserve">С Европейския </w:t>
      </w:r>
      <w:r w:rsidR="004A26B5">
        <w:rPr>
          <w:rFonts w:ascii="ADYS" w:hAnsi="ADYS"/>
          <w:sz w:val="24"/>
          <w:szCs w:val="24"/>
        </w:rPr>
        <w:t xml:space="preserve">план за борба с инсулта(оригинална редакция 2018г.), преведен на български език, можете да се запознаете, следвайки препратката: </w:t>
      </w:r>
      <w:hyperlink r:id="rId11" w:history="1">
        <w:r w:rsidR="004A26B5" w:rsidRPr="004A26B5">
          <w:rPr>
            <w:rStyle w:val="ac"/>
            <w:rFonts w:ascii="ADYS" w:hAnsi="ADYS"/>
            <w:sz w:val="24"/>
            <w:szCs w:val="24"/>
          </w:rPr>
          <w:t>SAP-E-Bulgarian-редакция-1.pdf</w:t>
        </w:r>
      </w:hyperlink>
      <w:r w:rsidR="004A26B5">
        <w:rPr>
          <w:rFonts w:ascii="ADYS" w:hAnsi="ADYS"/>
          <w:sz w:val="24"/>
          <w:szCs w:val="24"/>
        </w:rPr>
        <w:t xml:space="preserve"> </w:t>
      </w:r>
    </w:p>
    <w:p w14:paraId="629C9D76" w14:textId="194C0BDF" w:rsidR="004A26B5" w:rsidRPr="005A1AAA" w:rsidRDefault="004A26B5" w:rsidP="005A1AAA">
      <w:pPr>
        <w:spacing w:line="360" w:lineRule="auto"/>
        <w:jc w:val="both"/>
        <w:rPr>
          <w:rFonts w:ascii="ADYS" w:hAnsi="ADYS"/>
          <w:sz w:val="24"/>
          <w:szCs w:val="24"/>
        </w:rPr>
      </w:pPr>
    </w:p>
    <w:sectPr w:rsidR="004A26B5" w:rsidRPr="005A1AAA">
      <w:headerReference w:type="default" r:id="rId12"/>
      <w:footerReference w:type="default" r:id="rId13"/>
      <w:pgSz w:w="11906" w:h="16838"/>
      <w:pgMar w:top="2404" w:right="1267" w:bottom="1411" w:left="141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DC25" w14:textId="77777777" w:rsidR="003131E4" w:rsidRDefault="003131E4">
      <w:r>
        <w:separator/>
      </w:r>
    </w:p>
  </w:endnote>
  <w:endnote w:type="continuationSeparator" w:id="0">
    <w:p w14:paraId="032AF51E" w14:textId="77777777" w:rsidR="003131E4" w:rsidRDefault="003131E4">
      <w:r>
        <w:continuationSeparator/>
      </w:r>
    </w:p>
  </w:endnote>
  <w:endnote w:type="continuationNotice" w:id="1">
    <w:p w14:paraId="7D7E4EBE" w14:textId="77777777" w:rsidR="003131E4" w:rsidRDefault="00313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YS">
    <w:altName w:val="Calibri"/>
    <w:panose1 w:val="00000500000000000000"/>
    <w:charset w:val="CC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94C9" w14:textId="77777777" w:rsidR="005A1AAA" w:rsidRDefault="005A1AAA">
    <w:pPr>
      <w:pStyle w:val="ab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7BE4023F" w14:textId="77777777" w:rsidR="00BD6000" w:rsidRDefault="00BD6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70144" w14:textId="77777777" w:rsidR="003131E4" w:rsidRDefault="003131E4">
      <w:r>
        <w:separator/>
      </w:r>
    </w:p>
  </w:footnote>
  <w:footnote w:type="continuationSeparator" w:id="0">
    <w:p w14:paraId="6482BA17" w14:textId="77777777" w:rsidR="003131E4" w:rsidRDefault="003131E4">
      <w:r>
        <w:continuationSeparator/>
      </w:r>
    </w:p>
  </w:footnote>
  <w:footnote w:type="continuationNotice" w:id="1">
    <w:p w14:paraId="118B3B54" w14:textId="77777777" w:rsidR="003131E4" w:rsidRDefault="00313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5CA2" w14:textId="6CC64A56" w:rsidR="004575C5" w:rsidRDefault="00DB6C97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622EC9" wp14:editId="11A9A472">
          <wp:simplePos x="0" y="0"/>
          <wp:positionH relativeFrom="column">
            <wp:posOffset>-269238</wp:posOffset>
          </wp:positionH>
          <wp:positionV relativeFrom="paragraph">
            <wp:posOffset>13334</wp:posOffset>
          </wp:positionV>
          <wp:extent cx="2000250" cy="100012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EB5C6F" w14:textId="77777777" w:rsidR="00990B2F" w:rsidRPr="00990B2F" w:rsidRDefault="00990B2F" w:rsidP="00990B2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 w:rsidRPr="00990B2F">
      <w:rPr>
        <w:color w:val="000000"/>
        <w:sz w:val="22"/>
        <w:szCs w:val="22"/>
      </w:rPr>
      <w:t xml:space="preserve">                                               гр. София, бул. Европа, 176</w:t>
    </w:r>
  </w:p>
  <w:p w14:paraId="3E460742" w14:textId="77777777" w:rsidR="00990B2F" w:rsidRPr="00990B2F" w:rsidRDefault="00990B2F" w:rsidP="00990B2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 w:rsidRPr="00990B2F">
      <w:rPr>
        <w:color w:val="000000"/>
        <w:sz w:val="22"/>
        <w:szCs w:val="22"/>
      </w:rPr>
      <w:t>www.stroke.bg</w:t>
    </w:r>
  </w:p>
  <w:p w14:paraId="1F914F69" w14:textId="77777777" w:rsidR="00990B2F" w:rsidRPr="00990B2F" w:rsidRDefault="00990B2F" w:rsidP="00990B2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 w:rsidRPr="00990B2F">
      <w:rPr>
        <w:color w:val="000000"/>
        <w:sz w:val="22"/>
        <w:szCs w:val="22"/>
      </w:rPr>
      <w:t>info@stroke.bg</w:t>
    </w:r>
  </w:p>
  <w:p w14:paraId="24A04038" w14:textId="77777777" w:rsidR="004575C5" w:rsidRDefault="00990B2F" w:rsidP="00990B2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 w:rsidRPr="00990B2F">
      <w:rPr>
        <w:color w:val="000000"/>
        <w:sz w:val="22"/>
        <w:szCs w:val="22"/>
      </w:rPr>
      <w:t>Тел:08</w:t>
    </w:r>
    <w:r w:rsidR="00BD6000">
      <w:rPr>
        <w:color w:val="000000"/>
        <w:sz w:val="22"/>
        <w:szCs w:val="22"/>
      </w:rPr>
      <w:t>7</w:t>
    </w:r>
    <w:r w:rsidRPr="00990B2F">
      <w:rPr>
        <w:color w:val="000000"/>
        <w:sz w:val="22"/>
        <w:szCs w:val="22"/>
      </w:rPr>
      <w:t xml:space="preserve">9 </w:t>
    </w:r>
    <w:r w:rsidR="00BD6000">
      <w:rPr>
        <w:color w:val="000000"/>
        <w:sz w:val="22"/>
        <w:szCs w:val="22"/>
      </w:rPr>
      <w:t>222393</w:t>
    </w:r>
  </w:p>
  <w:p w14:paraId="32CC6C5A" w14:textId="78EB862F" w:rsidR="004575C5" w:rsidRDefault="00DB6C97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34167192" wp14:editId="5C0FC4CE">
              <wp:simplePos x="0" y="0"/>
              <wp:positionH relativeFrom="column">
                <wp:posOffset>-50799</wp:posOffset>
              </wp:positionH>
              <wp:positionV relativeFrom="paragraph">
                <wp:posOffset>139700</wp:posOffset>
              </wp:positionV>
              <wp:extent cx="0" cy="12700"/>
              <wp:effectExtent l="0" t="0" r="0" b="0"/>
              <wp:wrapNone/>
              <wp:docPr id="8" name="Съединител &quot;права стрелка&quot;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69438" y="378000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954741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8" o:spid="_x0000_s1026" type="#_x0000_t32" style="position:absolute;margin-left:-4pt;margin-top:11pt;width:0;height: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48CC"/>
    <w:multiLevelType w:val="hybridMultilevel"/>
    <w:tmpl w:val="0E8A41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12E8"/>
    <w:multiLevelType w:val="hybridMultilevel"/>
    <w:tmpl w:val="9F5CF3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01E2"/>
    <w:multiLevelType w:val="hybridMultilevel"/>
    <w:tmpl w:val="B5ECC72E"/>
    <w:lvl w:ilvl="0" w:tplc="1576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2F3830"/>
    <w:multiLevelType w:val="hybridMultilevel"/>
    <w:tmpl w:val="6EE012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F7E86"/>
    <w:multiLevelType w:val="hybridMultilevel"/>
    <w:tmpl w:val="38CE92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22636">
    <w:abstractNumId w:val="2"/>
  </w:num>
  <w:num w:numId="2" w16cid:durableId="620965350">
    <w:abstractNumId w:val="0"/>
  </w:num>
  <w:num w:numId="3" w16cid:durableId="976494345">
    <w:abstractNumId w:val="3"/>
  </w:num>
  <w:num w:numId="4" w16cid:durableId="1111121696">
    <w:abstractNumId w:val="4"/>
  </w:num>
  <w:num w:numId="5" w16cid:durableId="47672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E4"/>
    <w:rsid w:val="000172A6"/>
    <w:rsid w:val="00046290"/>
    <w:rsid w:val="00052B1B"/>
    <w:rsid w:val="00090B40"/>
    <w:rsid w:val="000B5FCA"/>
    <w:rsid w:val="0015426E"/>
    <w:rsid w:val="001628E9"/>
    <w:rsid w:val="001E19DD"/>
    <w:rsid w:val="001F5F1B"/>
    <w:rsid w:val="002379F6"/>
    <w:rsid w:val="002774F8"/>
    <w:rsid w:val="00283DED"/>
    <w:rsid w:val="00285746"/>
    <w:rsid w:val="002B5A04"/>
    <w:rsid w:val="002D6687"/>
    <w:rsid w:val="002E1A88"/>
    <w:rsid w:val="00303F97"/>
    <w:rsid w:val="003131E4"/>
    <w:rsid w:val="00351834"/>
    <w:rsid w:val="0035379F"/>
    <w:rsid w:val="00366D8D"/>
    <w:rsid w:val="003E17F6"/>
    <w:rsid w:val="0041697E"/>
    <w:rsid w:val="00417131"/>
    <w:rsid w:val="00420A3F"/>
    <w:rsid w:val="00422A28"/>
    <w:rsid w:val="004575C5"/>
    <w:rsid w:val="004917D5"/>
    <w:rsid w:val="004A26B5"/>
    <w:rsid w:val="00505494"/>
    <w:rsid w:val="00577A6C"/>
    <w:rsid w:val="005A1AAA"/>
    <w:rsid w:val="005A255D"/>
    <w:rsid w:val="0063764E"/>
    <w:rsid w:val="00687E4B"/>
    <w:rsid w:val="0069319D"/>
    <w:rsid w:val="006C6C4A"/>
    <w:rsid w:val="00717038"/>
    <w:rsid w:val="00723B9B"/>
    <w:rsid w:val="00790AC1"/>
    <w:rsid w:val="007A5C0C"/>
    <w:rsid w:val="00862A55"/>
    <w:rsid w:val="00870C1E"/>
    <w:rsid w:val="008953E7"/>
    <w:rsid w:val="00985904"/>
    <w:rsid w:val="00990B2F"/>
    <w:rsid w:val="009934D0"/>
    <w:rsid w:val="009F72F0"/>
    <w:rsid w:val="00A050A9"/>
    <w:rsid w:val="00A15C84"/>
    <w:rsid w:val="00A533DE"/>
    <w:rsid w:val="00A642CC"/>
    <w:rsid w:val="00A8768C"/>
    <w:rsid w:val="00A90057"/>
    <w:rsid w:val="00AC6EB5"/>
    <w:rsid w:val="00B166F8"/>
    <w:rsid w:val="00B27432"/>
    <w:rsid w:val="00B30F3D"/>
    <w:rsid w:val="00B43F31"/>
    <w:rsid w:val="00B6269B"/>
    <w:rsid w:val="00B62956"/>
    <w:rsid w:val="00B94ABE"/>
    <w:rsid w:val="00BD6000"/>
    <w:rsid w:val="00BE7847"/>
    <w:rsid w:val="00C33899"/>
    <w:rsid w:val="00CF2A61"/>
    <w:rsid w:val="00D04384"/>
    <w:rsid w:val="00D31B80"/>
    <w:rsid w:val="00D370CD"/>
    <w:rsid w:val="00DB6C97"/>
    <w:rsid w:val="00DF7D9E"/>
    <w:rsid w:val="00E0331D"/>
    <w:rsid w:val="00E038D0"/>
    <w:rsid w:val="00E230AB"/>
    <w:rsid w:val="00E50A60"/>
    <w:rsid w:val="00E60152"/>
    <w:rsid w:val="00E7308B"/>
    <w:rsid w:val="00ED613B"/>
    <w:rsid w:val="00ED70EF"/>
    <w:rsid w:val="00EE1578"/>
    <w:rsid w:val="00EF0171"/>
    <w:rsid w:val="00F40BDE"/>
    <w:rsid w:val="00F6341F"/>
    <w:rsid w:val="00F71244"/>
    <w:rsid w:val="00F92C06"/>
    <w:rsid w:val="00FC3658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1A405"/>
  <w15:docId w15:val="{7A4FC50D-8945-43FA-9B67-25DA7200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Нормален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11">
    <w:name w:val="Шрифт на абзаца по подразбиране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Нормална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qFormat/>
  </w:style>
  <w:style w:type="paragraph" w:customStyle="1" w:styleId="14">
    <w:name w:val="Горен колонтитул1"/>
    <w:basedOn w:val="10"/>
    <w:qFormat/>
    <w:pPr>
      <w:spacing w:after="0" w:line="240" w:lineRule="auto"/>
    </w:pPr>
  </w:style>
  <w:style w:type="character" w:customStyle="1" w:styleId="a4">
    <w:name w:val="Горен колонтитул Знак"/>
    <w:basedOn w:val="11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customStyle="1" w:styleId="15">
    <w:name w:val="Долен колонтитул1"/>
    <w:basedOn w:val="10"/>
    <w:qFormat/>
    <w:pPr>
      <w:spacing w:after="0" w:line="240" w:lineRule="auto"/>
    </w:pPr>
  </w:style>
  <w:style w:type="character" w:customStyle="1" w:styleId="a5">
    <w:name w:val="Долен колонтитул Знак"/>
    <w:basedOn w:val="11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customStyle="1" w:styleId="16">
    <w:name w:val="Изнесен текст1"/>
    <w:basedOn w:val="10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17">
    <w:name w:val="Нормален (уеб)1"/>
    <w:basedOn w:val="1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8">
    <w:name w:val="Списък на абзаци1"/>
    <w:basedOn w:val="10"/>
    <w:pPr>
      <w:ind w:left="720"/>
      <w:contextualSpacing/>
    </w:pPr>
    <w:rPr>
      <w:rFonts w:cs="Times New Roman"/>
    </w:rPr>
  </w:style>
  <w:style w:type="character" w:customStyle="1" w:styleId="19">
    <w:name w:val="Хипервръзка1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00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B40AA"/>
    <w:pPr>
      <w:ind w:left="720"/>
      <w:contextualSpacing/>
    </w:pPr>
  </w:style>
  <w:style w:type="paragraph" w:styleId="aa">
    <w:name w:val="header"/>
    <w:basedOn w:val="a"/>
    <w:link w:val="1a"/>
    <w:uiPriority w:val="99"/>
    <w:unhideWhenUsed/>
    <w:rsid w:val="007A5C0C"/>
    <w:pPr>
      <w:tabs>
        <w:tab w:val="center" w:pos="4536"/>
        <w:tab w:val="right" w:pos="9072"/>
      </w:tabs>
    </w:pPr>
  </w:style>
  <w:style w:type="character" w:customStyle="1" w:styleId="1a">
    <w:name w:val="Горен колонтитул Знак1"/>
    <w:basedOn w:val="a0"/>
    <w:link w:val="aa"/>
    <w:uiPriority w:val="99"/>
    <w:rsid w:val="007A5C0C"/>
  </w:style>
  <w:style w:type="paragraph" w:styleId="ab">
    <w:name w:val="footer"/>
    <w:basedOn w:val="a"/>
    <w:link w:val="1b"/>
    <w:uiPriority w:val="99"/>
    <w:unhideWhenUsed/>
    <w:rsid w:val="007A5C0C"/>
    <w:pPr>
      <w:tabs>
        <w:tab w:val="center" w:pos="4536"/>
        <w:tab w:val="right" w:pos="9072"/>
      </w:tabs>
    </w:pPr>
  </w:style>
  <w:style w:type="character" w:customStyle="1" w:styleId="1b">
    <w:name w:val="Долен колонтитул Знак1"/>
    <w:basedOn w:val="a0"/>
    <w:link w:val="ab"/>
    <w:uiPriority w:val="99"/>
    <w:rsid w:val="007A5C0C"/>
  </w:style>
  <w:style w:type="table" w:customStyle="1" w:styleId="TableNormal1">
    <w:name w:val="Table Normal1"/>
    <w:rsid w:val="00303F9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E60152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0152"/>
    <w:rPr>
      <w:sz w:val="16"/>
    </w:rPr>
  </w:style>
  <w:style w:type="paragraph" w:styleId="ae">
    <w:name w:val="annotation text"/>
    <w:basedOn w:val="a"/>
    <w:link w:val="af"/>
    <w:uiPriority w:val="99"/>
    <w:unhideWhenUsed/>
    <w:rsid w:val="00E60152"/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f">
    <w:name w:val="Текст на коментар Знак"/>
    <w:basedOn w:val="a0"/>
    <w:link w:val="ae"/>
    <w:uiPriority w:val="99"/>
    <w:rsid w:val="00E60152"/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P68B1DB1-a2">
    <w:name w:val="P68B1DB1-a2"/>
    <w:basedOn w:val="a"/>
    <w:rsid w:val="00E60152"/>
    <w:rPr>
      <w:rFonts w:asciiTheme="minorHAnsi" w:eastAsiaTheme="minorHAnsi" w:hAnsiTheme="minorHAnsi"/>
      <w:kern w:val="2"/>
      <w:sz w:val="24"/>
      <w14:ligatures w14:val="standardContextual"/>
    </w:rPr>
  </w:style>
  <w:style w:type="paragraph" w:customStyle="1" w:styleId="P68B1DB1-a4">
    <w:name w:val="P68B1DB1-a4"/>
    <w:basedOn w:val="a"/>
    <w:rsid w:val="00E60152"/>
    <w:rPr>
      <w:rFonts w:asciiTheme="minorHAnsi" w:eastAsiaTheme="minorHAnsi" w:hAnsiTheme="minorHAnsi"/>
      <w:b/>
      <w:kern w:val="2"/>
      <w:sz w:val="24"/>
      <w14:ligatures w14:val="standardContextual"/>
    </w:rPr>
  </w:style>
  <w:style w:type="character" w:styleId="af0">
    <w:name w:val="Unresolved Mention"/>
    <w:basedOn w:val="a0"/>
    <w:uiPriority w:val="99"/>
    <w:semiHidden/>
    <w:unhideWhenUsed/>
    <w:rsid w:val="004A2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tionplan.eso-stroke.org/wp-content/uploads/2023/04/SAP-E-Bulgarian-%D1%80%D0%B5%D0%B4%D0%B0%D0%BA%D1%86%D0%B8%D1%8F-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7;&#1086;&#1088;&#1075;&#1080;&#1043;&#1077;&#1086;&#1088;&#1075;&#1080;&#1077;&#1074;\OneDrive%20-%20Association%20for%20Stroke%20and%20Aphasia\&#1044;&#1086;&#1082;&#1091;&#1084;&#1077;&#1085;&#1090;&#1080;\&#1064;&#1072;&#1073;&#1083;&#1086;&#1085;&#1080;%20&#1085;&#1072;%20Office%20&#1087;&#1086;%20&#1080;&#1079;&#1073;&#1086;&#1088;\&#1041;&#1051;&#1040;&#1053;&#1050;&#1040;%20&#1040;&#1048;&#1040;%20&#1041;&#104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10427-3c28-450a-80d9-60476355f3c7">
      <Terms xmlns="http://schemas.microsoft.com/office/infopath/2007/PartnerControls"/>
    </lcf76f155ced4ddcb4097134ff3c332f>
    <TaxCatchAll xmlns="703215b1-8bda-417b-8902-069e547768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0A9BCA992B3245A7E60719E561F390" ma:contentTypeVersion="15" ma:contentTypeDescription="Създаване на нов документ" ma:contentTypeScope="" ma:versionID="a78f9508f429f782ed9505778309c57a">
  <xsd:schema xmlns:xsd="http://www.w3.org/2001/XMLSchema" xmlns:xs="http://www.w3.org/2001/XMLSchema" xmlns:p="http://schemas.microsoft.com/office/2006/metadata/properties" xmlns:ns2="f7b10427-3c28-450a-80d9-60476355f3c7" xmlns:ns3="703215b1-8bda-417b-8902-069e547768ae" targetNamespace="http://schemas.microsoft.com/office/2006/metadata/properties" ma:root="true" ma:fieldsID="5986d6419b2b27bec57f26f63f2709ba" ns2:_="" ns3:_="">
    <xsd:import namespace="f7b10427-3c28-450a-80d9-60476355f3c7"/>
    <xsd:import namespace="703215b1-8bda-417b-8902-069e54776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10427-3c28-450a-80d9-60476355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4cac5c65-81b4-459e-8e6c-697d54c92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15b1-8bda-417b-8902-069e54776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6d451b-7db8-4e7b-a335-a0d0b0e2dc60}" ma:internalName="TaxCatchAll" ma:showField="CatchAllData" ma:web="703215b1-8bda-417b-8902-069e54776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Ub5AK0Xm76ArtgnXQK3+hMqbA==">AMUW2mUQMyZVesNQoJBI8V6ewZC6UiqFVbKLmHU7Dfc/HF6WuTfy28mGyIIw16yyhxB57jFxhYH3ToqYcosvQZnJ6PTSafpHUJlKNRggEkVWEOUMPc6Hlj8=</go:docsCustomData>
</go:gDocsCustomXmlDataStorage>
</file>

<file path=customXml/itemProps1.xml><?xml version="1.0" encoding="utf-8"?>
<ds:datastoreItem xmlns:ds="http://schemas.openxmlformats.org/officeDocument/2006/customXml" ds:itemID="{F613C42F-A414-4613-8353-54E7F5CBB165}">
  <ds:schemaRefs>
    <ds:schemaRef ds:uri="http://schemas.microsoft.com/office/2006/metadata/properties"/>
    <ds:schemaRef ds:uri="http://schemas.microsoft.com/office/infopath/2007/PartnerControls"/>
    <ds:schemaRef ds:uri="f7b10427-3c28-450a-80d9-60476355f3c7"/>
    <ds:schemaRef ds:uri="703215b1-8bda-417b-8902-069e547768ae"/>
  </ds:schemaRefs>
</ds:datastoreItem>
</file>

<file path=customXml/itemProps2.xml><?xml version="1.0" encoding="utf-8"?>
<ds:datastoreItem xmlns:ds="http://schemas.openxmlformats.org/officeDocument/2006/customXml" ds:itemID="{A7374850-5CD0-4227-907A-BFC8B6726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965B7-F3BB-4D11-A411-0BD61375F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10427-3c28-450a-80d9-60476355f3c7"/>
    <ds:schemaRef ds:uri="703215b1-8bda-417b-8902-069e54776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АИА БГ</Template>
  <TotalTime>28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Бланка АИА БГ</vt:lpstr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Бланка АИА БГ</dc:title>
  <dc:subject/>
  <dc:creator>Георги Георгиев</dc:creator>
  <cp:keywords/>
  <cp:lastModifiedBy>Георги Георгиев</cp:lastModifiedBy>
  <cp:revision>14</cp:revision>
  <dcterms:created xsi:type="dcterms:W3CDTF">2025-01-20T21:09:00Z</dcterms:created>
  <dcterms:modified xsi:type="dcterms:W3CDTF">2025-01-21T06:57:00Z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0x010100A10A9BCA992B3245A7E60719E561F390</vt:lpwstr>
  </property>
  <property fmtid="{D5CDD505-2E9C-101B-9397-08002B2CF9AE}" pid="3" name="MediaServiceImageTags">
    <vt:lpwstr/>
  </property>
</Properties>
</file>