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DE39" w14:textId="77777777" w:rsidR="00BD056C" w:rsidRDefault="00BD056C" w:rsidP="00E94005">
      <w:pPr>
        <w:spacing w:before="160" w:after="160" w:line="360" w:lineRule="auto"/>
        <w:jc w:val="center"/>
        <w:rPr>
          <w:rFonts w:ascii="Verdana" w:eastAsia="Times New Roman" w:hAnsi="Verdana"/>
          <w:b/>
          <w:bCs/>
          <w:kern w:val="36"/>
          <w:sz w:val="20"/>
          <w:szCs w:val="20"/>
        </w:rPr>
      </w:pP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РЕГИСТРАЦИИ И БАНКРУТИ НА ПРАВНИ ЕДИНИЦИ ПРЕЗ </w:t>
      </w:r>
      <w:r>
        <w:rPr>
          <w:rFonts w:ascii="Verdana" w:eastAsia="Times New Roman" w:hAnsi="Verdana"/>
          <w:b/>
          <w:bCs/>
          <w:kern w:val="36"/>
          <w:sz w:val="20"/>
          <w:szCs w:val="20"/>
        </w:rPr>
        <w:t>ЧЕТВЪРТОТО</w:t>
      </w:r>
      <w:r w:rsidRPr="00C74E2A">
        <w:rPr>
          <w:rFonts w:ascii="Verdana" w:eastAsia="Times New Roman" w:hAnsi="Verdana"/>
          <w:b/>
          <w:bCs/>
          <w:kern w:val="36"/>
          <w:sz w:val="20"/>
          <w:szCs w:val="20"/>
        </w:rPr>
        <w:t xml:space="preserve"> </w:t>
      </w:r>
      <w:r w:rsidRPr="0091534D">
        <w:rPr>
          <w:rFonts w:ascii="Verdana" w:eastAsia="Times New Roman" w:hAnsi="Verdana"/>
          <w:b/>
          <w:bCs/>
          <w:kern w:val="36"/>
          <w:sz w:val="20"/>
          <w:szCs w:val="20"/>
        </w:rPr>
        <w:t>ТРИМЕСЕЧИЕ НА 2024 ГОДИНА</w:t>
      </w:r>
    </w:p>
    <w:p w14:paraId="35D52F69" w14:textId="77777777" w:rsidR="00BD056C" w:rsidRPr="002641D5" w:rsidRDefault="00BD056C" w:rsidP="006127B1">
      <w:pPr>
        <w:spacing w:line="360" w:lineRule="auto"/>
        <w:ind w:firstLine="567"/>
        <w:jc w:val="both"/>
        <w:rPr>
          <w:rFonts w:ascii="Verdana" w:eastAsia="Times New Roman" w:hAnsi="Verdana"/>
          <w:b/>
          <w:bCs/>
          <w:kern w:val="36"/>
          <w:sz w:val="20"/>
          <w:szCs w:val="20"/>
        </w:rPr>
      </w:pPr>
    </w:p>
    <w:p w14:paraId="4E88AEFA" w14:textId="77777777" w:rsidR="00BD056C" w:rsidRDefault="00BD056C" w:rsidP="00E94005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През 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</w:rPr>
        <w:t>четвъртото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тримесечие на 202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</w:rPr>
        <w:t>4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г. новорегистрирани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</w:rPr>
        <w:t>те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правни единици в страната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са </w:t>
      </w:r>
      <w:r w:rsidR="009904E4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11 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143, а влезлите в процедура по несъстоятелност/фалит, в това число и обявените в несъстоятелност </w:t>
      </w:r>
      <w:r w:rsidR="003E0428"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>-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1</w:t>
      </w:r>
      <w:r w:rsidR="009904E4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 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165. В сравнение със същото тримесечие на 2023 г. общият брой на новорегистрираните се увеличава с 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4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8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%, а този на банкрутиралите - с 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19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  <w:r w:rsidRPr="002641D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2</w:t>
      </w:r>
      <w:r w:rsidRPr="00883FA1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%.</w:t>
      </w:r>
    </w:p>
    <w:p w14:paraId="6CAD92DF" w14:textId="77777777" w:rsidR="00BD056C" w:rsidRPr="00BD056C" w:rsidRDefault="00BD056C" w:rsidP="00E94005">
      <w:pPr>
        <w:spacing w:before="160" w:after="160" w:line="360" w:lineRule="auto"/>
        <w:jc w:val="center"/>
        <w:rPr>
          <w:b/>
          <w:color w:val="333333"/>
          <w:shd w:val="clear" w:color="auto" w:fill="FFFFFF"/>
        </w:rPr>
      </w:pP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Фиг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.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1.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правни единици през четвъртото тримесечие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BD056C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на 2023 и 2024 година</w:t>
      </w:r>
    </w:p>
    <w:p w14:paraId="59E85DFC" w14:textId="77777777" w:rsidR="00BD056C" w:rsidRPr="00BD056C" w:rsidRDefault="00BD056C" w:rsidP="00BD056C">
      <w:pPr>
        <w:jc w:val="center"/>
      </w:pPr>
      <w:r w:rsidRPr="00BD056C">
        <w:rPr>
          <w:rFonts w:eastAsia="Times New Roman"/>
          <w:noProof/>
          <w:color w:val="6C1329"/>
          <w:lang w:eastAsia="bg-BG"/>
        </w:rPr>
        <w:drawing>
          <wp:inline distT="0" distB="0" distL="0" distR="0" wp14:anchorId="6861E8A3" wp14:editId="3302E731">
            <wp:extent cx="5716270" cy="4371975"/>
            <wp:effectExtent l="0" t="0" r="17780" b="9525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6A78D2" w14:textId="77777777" w:rsidR="00BD056C" w:rsidRPr="00883FA1" w:rsidRDefault="00BD056C" w:rsidP="00BD056C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</w:p>
    <w:p w14:paraId="09A9D5D3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537CC8B5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52CA569" w14:textId="77777777" w:rsidR="00EE4C2D" w:rsidRPr="00F76D42" w:rsidRDefault="00EE4C2D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CD2AF4B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28063DD" w14:textId="05BDBAD2" w:rsidR="0080245B" w:rsidRPr="00E94005" w:rsidRDefault="00064187" w:rsidP="0080245B">
      <w:pPr>
        <w:spacing w:before="160" w:after="160" w:line="360" w:lineRule="auto"/>
        <w:jc w:val="center"/>
        <w:rPr>
          <w:rFonts w:ascii="Verdana" w:hAnsi="Verdana"/>
          <w:noProof/>
          <w:color w:val="002E2E"/>
          <w:sz w:val="20"/>
          <w:szCs w:val="20"/>
          <w:shd w:val="clear" w:color="auto" w:fill="FFFFFF"/>
          <w:lang w:eastAsia="bg-BG"/>
        </w:rPr>
      </w:pPr>
      <w:r w:rsidRPr="0080245B">
        <w:rPr>
          <w:noProof/>
          <w:color w:val="002E2E"/>
          <w:shd w:val="clear" w:color="auto" w:fill="FFFFFF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3CE7EF3C" wp14:editId="77B934C1">
            <wp:simplePos x="0" y="0"/>
            <wp:positionH relativeFrom="column">
              <wp:posOffset>43815</wp:posOffset>
            </wp:positionH>
            <wp:positionV relativeFrom="paragraph">
              <wp:posOffset>568960</wp:posOffset>
            </wp:positionV>
            <wp:extent cx="5669915" cy="3286125"/>
            <wp:effectExtent l="0" t="0" r="6985" b="9525"/>
            <wp:wrapTopAndBottom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45B" w:rsidRPr="00E94005">
        <w:rPr>
          <w:rFonts w:ascii="Verdana" w:hAnsi="Verdana"/>
          <w:b/>
          <w:noProof/>
          <w:color w:val="002E2E"/>
          <w:sz w:val="20"/>
          <w:szCs w:val="20"/>
          <w:shd w:val="clear" w:color="auto" w:fill="FFFFFF"/>
          <w:lang w:eastAsia="bg-BG"/>
        </w:rPr>
        <w:t>Фиг. 2. Брой регистрации и банкрути на правни единици през четвъртото тримесечие в периода 2020</w:t>
      </w:r>
      <w:r w:rsidR="0080245B" w:rsidRPr="00E94005">
        <w:rPr>
          <w:rFonts w:ascii="Verdana" w:hAnsi="Verdana"/>
          <w:b/>
          <w:noProof/>
          <w:color w:val="002E2E"/>
          <w:sz w:val="20"/>
          <w:szCs w:val="20"/>
          <w:shd w:val="clear" w:color="auto" w:fill="FFFFFF"/>
          <w:lang w:val="ru-RU" w:eastAsia="bg-BG"/>
        </w:rPr>
        <w:t xml:space="preserve"> </w:t>
      </w:r>
      <w:r w:rsidR="0080245B" w:rsidRPr="00E94005">
        <w:rPr>
          <w:rFonts w:ascii="Verdana" w:hAnsi="Verdana"/>
          <w:b/>
          <w:noProof/>
          <w:color w:val="002E2E"/>
          <w:sz w:val="20"/>
          <w:szCs w:val="20"/>
          <w:shd w:val="clear" w:color="auto" w:fill="FFFFFF"/>
          <w:lang w:eastAsia="bg-BG"/>
        </w:rPr>
        <w:t>-</w:t>
      </w:r>
      <w:r w:rsidR="0080245B" w:rsidRPr="00E94005">
        <w:rPr>
          <w:rFonts w:ascii="Verdana" w:hAnsi="Verdana"/>
          <w:b/>
          <w:noProof/>
          <w:color w:val="002E2E"/>
          <w:sz w:val="20"/>
          <w:szCs w:val="20"/>
          <w:shd w:val="clear" w:color="auto" w:fill="FFFFFF"/>
          <w:lang w:val="ru-RU" w:eastAsia="bg-BG"/>
        </w:rPr>
        <w:t xml:space="preserve"> </w:t>
      </w:r>
      <w:r w:rsidR="0080245B" w:rsidRPr="00E94005">
        <w:rPr>
          <w:rFonts w:ascii="Verdana" w:hAnsi="Verdana"/>
          <w:b/>
          <w:noProof/>
          <w:color w:val="002E2E"/>
          <w:sz w:val="20"/>
          <w:szCs w:val="20"/>
          <w:shd w:val="clear" w:color="auto" w:fill="FFFFFF"/>
          <w:lang w:eastAsia="bg-BG"/>
        </w:rPr>
        <w:t>2024 година</w:t>
      </w:r>
    </w:p>
    <w:p w14:paraId="72840BBE" w14:textId="65AF00C7" w:rsidR="0080245B" w:rsidRPr="0080245B" w:rsidRDefault="0080245B" w:rsidP="0080245B">
      <w:pPr>
        <w:spacing w:before="160" w:after="160" w:line="360" w:lineRule="auto"/>
        <w:jc w:val="center"/>
        <w:rPr>
          <w:b/>
          <w:noProof/>
          <w:color w:val="002E2E"/>
          <w:shd w:val="clear" w:color="auto" w:fill="FFFFFF"/>
          <w:lang w:eastAsia="bg-BG"/>
        </w:rPr>
      </w:pPr>
    </w:p>
    <w:p w14:paraId="09D24F91" w14:textId="0BB5F8CE" w:rsidR="0066420D" w:rsidRPr="00683AD9" w:rsidRDefault="0080245B" w:rsidP="00683AD9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5751E9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В сравнение с трето тримесечие на 2024 г. новорегистрираните правни единици се увеличават с 4.7%, а влезлите в процедура по несъстоятелност/фалит, в това число и обявените в несъстоятелност се увеличават  с 31.9%.</w:t>
      </w:r>
    </w:p>
    <w:p w14:paraId="16DA1193" w14:textId="1C1C6EC5" w:rsidR="00FD4585" w:rsidRPr="00FD4585" w:rsidRDefault="00BD056C" w:rsidP="00E94005">
      <w:pPr>
        <w:spacing w:before="160" w:after="160" w:line="360" w:lineRule="auto"/>
        <w:jc w:val="center"/>
        <w:rPr>
          <w:b/>
          <w:color w:val="002E2E"/>
          <w:shd w:val="clear" w:color="auto" w:fill="FFFFFF"/>
          <w:lang w:val="ru-RU"/>
        </w:rPr>
      </w:pP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Фиг. </w:t>
      </w: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3.</w:t>
      </w:r>
      <w:r w:rsidRPr="00C74E2A">
        <w:rPr>
          <w:rFonts w:ascii="Verdana" w:hAnsi="Verdana"/>
          <w:b/>
          <w:color w:val="002E2E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Брой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регистрации 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 xml:space="preserve">банкрути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на правни единици 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  <w:lang w:val="ru-RU"/>
        </w:rPr>
        <w:t>през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третото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и 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четвъртото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тримесечие на 202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4</w:t>
      </w:r>
      <w:r w:rsidRPr="00C74E2A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година</w:t>
      </w:r>
      <w:r w:rsidR="00FD4585" w:rsidRPr="00FD4585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</w:p>
    <w:p w14:paraId="46E0E0FC" w14:textId="77777777" w:rsidR="00FD4585" w:rsidRPr="00FD4585" w:rsidRDefault="00FD4585" w:rsidP="00FD4585">
      <w:pPr>
        <w:spacing w:line="360" w:lineRule="auto"/>
        <w:ind w:firstLine="142"/>
        <w:jc w:val="both"/>
        <w:rPr>
          <w:rFonts w:ascii="Verdana" w:hAnsi="Verdana"/>
          <w:sz w:val="20"/>
        </w:rPr>
      </w:pPr>
      <w:r w:rsidRPr="00FD4585">
        <w:rPr>
          <w:noProof/>
          <w:color w:val="002E2E"/>
          <w:shd w:val="clear" w:color="auto" w:fill="FFFFFF"/>
          <w:lang w:eastAsia="bg-BG"/>
        </w:rPr>
        <w:drawing>
          <wp:inline distT="0" distB="0" distL="0" distR="0" wp14:anchorId="7F0CE866" wp14:editId="6ED7DC53">
            <wp:extent cx="5716270" cy="3362325"/>
            <wp:effectExtent l="0" t="0" r="17780" b="9525"/>
            <wp:docPr id="6" name="Chart 2" title="Годи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24004F" w14:textId="77777777" w:rsidR="00FD4585" w:rsidRPr="00FD4585" w:rsidRDefault="00FD4585" w:rsidP="00E94005">
      <w:pPr>
        <w:spacing w:before="160" w:after="160" w:line="360" w:lineRule="auto"/>
        <w:ind w:firstLine="567"/>
        <w:jc w:val="center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lastRenderedPageBreak/>
        <w:t xml:space="preserve">Разпределение на </w:t>
      </w:r>
      <w:proofErr w:type="spellStart"/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новорегистрираните</w:t>
      </w:r>
      <w:proofErr w:type="spellEnd"/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 xml:space="preserve"> и обявилите банкрут правни единици по сектори</w:t>
      </w:r>
    </w:p>
    <w:p w14:paraId="4C2CAB98" w14:textId="77777777" w:rsidR="00FD4585" w:rsidRPr="00FD4585" w:rsidRDefault="00FD4585" w:rsidP="00AD1486">
      <w:pPr>
        <w:spacing w:line="360" w:lineRule="auto"/>
        <w:ind w:firstLine="567"/>
        <w:jc w:val="both"/>
        <w:rPr>
          <w:rFonts w:ascii="Verdana" w:hAnsi="Verdana"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От всички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новорегистрирани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фирми през четвъртото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тримесечие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2024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. 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br/>
        <w:t xml:space="preserve">най-много са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“ - 86.3%. П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обявените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несъстоятелност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отново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най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-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голям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брой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попадат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в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сектор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G „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Търговия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;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ремонт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на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автомобили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 w:hint="cs"/>
          <w:color w:val="002E2E"/>
          <w:sz w:val="20"/>
          <w:szCs w:val="20"/>
          <w:shd w:val="clear" w:color="auto" w:fill="FFFFFF"/>
        </w:rPr>
        <w:t>мотоциклети</w:t>
      </w:r>
      <w:r w:rsidRPr="00FD4585">
        <w:rPr>
          <w:rFonts w:ascii="Verdana" w:hAnsi="Verdana"/>
          <w:color w:val="002E2E"/>
          <w:sz w:val="20"/>
          <w:szCs w:val="20"/>
          <w:shd w:val="clear" w:color="auto" w:fill="FFFFFF"/>
        </w:rPr>
        <w:t>“ - 89.2%.</w:t>
      </w:r>
    </w:p>
    <w:p w14:paraId="68BFB857" w14:textId="77777777" w:rsidR="00FD4585" w:rsidRPr="00FD4585" w:rsidRDefault="00FD4585" w:rsidP="00E94005">
      <w:pPr>
        <w:spacing w:before="160" w:after="160" w:line="360" w:lineRule="auto"/>
        <w:jc w:val="both"/>
        <w:rPr>
          <w:rFonts w:ascii="Verdana" w:hAnsi="Verdana"/>
          <w:b/>
          <w:color w:val="002E2E"/>
          <w:sz w:val="20"/>
          <w:szCs w:val="20"/>
          <w:shd w:val="clear" w:color="auto" w:fill="FFFFFF"/>
        </w:rPr>
      </w:pPr>
      <w:r w:rsidRPr="00FD4585">
        <w:rPr>
          <w:rFonts w:ascii="Verdana" w:hAnsi="Verdana"/>
          <w:b/>
          <w:color w:val="002E2E"/>
          <w:sz w:val="20"/>
          <w:szCs w:val="20"/>
          <w:shd w:val="clear" w:color="auto" w:fill="FFFFFF"/>
        </w:rPr>
        <w:t>1. Брой новорегистрирани и обявили банкрут правни единици през четвъртото тримесечие на 2024 г. по икономически сектори</w:t>
      </w:r>
    </w:p>
    <w:tbl>
      <w:tblPr>
        <w:tblpPr w:leftFromText="141" w:rightFromText="141" w:vertAnchor="text" w:horzAnchor="margin" w:tblpY="199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551"/>
        <w:gridCol w:w="2475"/>
      </w:tblGrid>
      <w:tr w:rsidR="00FD4585" w:rsidRPr="00FD4585" w14:paraId="11CF7CF1" w14:textId="77777777" w:rsidTr="004A5531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FBE72" w14:textId="77777777" w:rsidR="00FD4585" w:rsidRPr="00FD4585" w:rsidRDefault="00FD4585" w:rsidP="00FD4585">
            <w:pPr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Икономически сектор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9D0E9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Новорегистрирани</w:t>
            </w:r>
          </w:p>
        </w:tc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06F02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b/>
                <w:sz w:val="16"/>
                <w:szCs w:val="16"/>
              </w:rPr>
              <w:t>Обявили банкрут</w:t>
            </w:r>
          </w:p>
        </w:tc>
      </w:tr>
      <w:tr w:rsidR="00FD4585" w:rsidRPr="00FD4585" w14:paraId="6185C0AE" w14:textId="77777777" w:rsidTr="004A5531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8DB87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Промишленост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AA9CD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0FC8E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34</w:t>
            </w:r>
          </w:p>
        </w:tc>
      </w:tr>
      <w:tr w:rsidR="00FD4585" w:rsidRPr="00FD4585" w14:paraId="4AD5F585" w14:textId="77777777" w:rsidTr="004A5531">
        <w:trPr>
          <w:trHeight w:val="140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DBF08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Строителство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67E5B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194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A4AD8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FD4585" w:rsidRPr="00FD4585" w14:paraId="00988005" w14:textId="77777777" w:rsidTr="004A5531">
        <w:trPr>
          <w:trHeight w:val="292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8B9E0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Търговия на едро и дребно; ремонт на автомобили и мотоциклети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F6F96" w14:textId="77777777" w:rsidR="00FD4585" w:rsidRPr="00FD4585" w:rsidRDefault="00FD4585" w:rsidP="00FD4585">
            <w:pPr>
              <w:spacing w:before="24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9612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8A396" w14:textId="77777777" w:rsidR="00FD4585" w:rsidRPr="00FD4585" w:rsidRDefault="00FD4585" w:rsidP="00FD4585">
            <w:pPr>
              <w:spacing w:before="240"/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1039</w:t>
            </w:r>
          </w:p>
        </w:tc>
      </w:tr>
      <w:tr w:rsidR="00FD4585" w:rsidRPr="00FD4585" w14:paraId="22E8E589" w14:textId="77777777" w:rsidTr="004A5531">
        <w:trPr>
          <w:trHeight w:val="20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40113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Транспорт и съхранение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A3E1F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128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E192E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</w:tr>
      <w:tr w:rsidR="00FD4585" w:rsidRPr="00FD4585" w14:paraId="7470A85E" w14:textId="77777777" w:rsidTr="004A5531">
        <w:trPr>
          <w:trHeight w:val="146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A7ADB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80558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86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1B604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</w:tr>
      <w:tr w:rsidR="00FD4585" w:rsidRPr="00FD4585" w14:paraId="3CA5F1AC" w14:textId="77777777" w:rsidTr="004A5531">
        <w:trPr>
          <w:trHeight w:val="197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142A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Информация и комуникация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A4607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140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D7247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</w:tr>
      <w:tr w:rsidR="00FD4585" w:rsidRPr="00FD4585" w14:paraId="6BCA4447" w14:textId="77777777" w:rsidTr="004A5531">
        <w:trPr>
          <w:trHeight w:val="579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53232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3726C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ED94CEF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1695366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0B16372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586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0DBC3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133BAF65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73C46A37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512BA67B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  <w:p w14:paraId="129EA91C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36</w:t>
            </w:r>
          </w:p>
        </w:tc>
      </w:tr>
      <w:tr w:rsidR="00FD4585" w:rsidRPr="00FD4585" w14:paraId="7722F1BF" w14:textId="77777777" w:rsidTr="004A5531">
        <w:trPr>
          <w:trHeight w:val="450"/>
        </w:trPr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A3EF8" w14:textId="77777777" w:rsidR="00FD4585" w:rsidRPr="00FD4585" w:rsidRDefault="00FD4585" w:rsidP="00FD4585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 xml:space="preserve">Образование; хуманно здравеопазване и социални дейности 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E8E95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285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09F7B" w14:textId="77777777" w:rsidR="00FD4585" w:rsidRPr="00FD4585" w:rsidRDefault="00FD4585" w:rsidP="00FD4585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 w:rsidRPr="00FD4585"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</w:tbl>
    <w:p w14:paraId="12A111D8" w14:textId="0F78937B" w:rsidR="00C369F8" w:rsidRDefault="00FD4585" w:rsidP="00FD4585">
      <w:pPr>
        <w:spacing w:after="160" w:line="259" w:lineRule="auto"/>
        <w:rPr>
          <w:rFonts w:ascii="Verdana" w:hAnsi="Verdana"/>
          <w:b/>
          <w:sz w:val="20"/>
        </w:rPr>
      </w:pPr>
      <w:r w:rsidRPr="00FD4585">
        <w:rPr>
          <w:rFonts w:ascii="Verdana" w:hAnsi="Verdana"/>
          <w:b/>
          <w:sz w:val="20"/>
        </w:rPr>
        <w:t xml:space="preserve"> </w:t>
      </w:r>
    </w:p>
    <w:p w14:paraId="1FBE9706" w14:textId="77777777" w:rsidR="00C369F8" w:rsidRDefault="00C369F8">
      <w:pPr>
        <w:spacing w:after="160" w:line="259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8363CD9" w14:textId="77777777" w:rsidR="00FD4585" w:rsidRPr="00FD4585" w:rsidRDefault="00FD4585" w:rsidP="00AA610F">
      <w:pPr>
        <w:keepNext/>
        <w:spacing w:line="360" w:lineRule="auto"/>
        <w:jc w:val="center"/>
        <w:rPr>
          <w:rFonts w:ascii="Verdana" w:hAnsi="Verdana"/>
          <w:b/>
          <w:sz w:val="20"/>
        </w:rPr>
      </w:pPr>
      <w:r w:rsidRPr="00FD4585">
        <w:rPr>
          <w:rFonts w:ascii="Verdana" w:hAnsi="Verdana"/>
          <w:b/>
          <w:sz w:val="20"/>
        </w:rPr>
        <w:lastRenderedPageBreak/>
        <w:t>Методологични бележки</w:t>
      </w:r>
    </w:p>
    <w:p w14:paraId="63C91F35" w14:textId="77777777" w:rsidR="00FD4585" w:rsidRPr="00FD4585" w:rsidRDefault="00FD4585" w:rsidP="00AA610F">
      <w:pPr>
        <w:spacing w:line="360" w:lineRule="auto"/>
        <w:ind w:firstLine="567"/>
        <w:jc w:val="both"/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Тримесечната бизнес демография на регистрациите и банкрутите на правните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(юридически) единици е свързана с определени демографски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събития -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дата на създаване на юридическото 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,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дата на обявяване в производство по несъстоятелност,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в несъстоятелност и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дата на обявяване в 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ликвидация.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</w:rPr>
        <w:t>Данните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са представени в абсолютн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стойност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</w:rPr>
        <w:t>и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по избрани раздели </w:t>
      </w:r>
      <w:r w:rsidRPr="00FD4585">
        <w:rPr>
          <w:rFonts w:ascii="Verdana" w:hAnsi="Verdana"/>
          <w:noProof/>
          <w:sz w:val="20"/>
        </w:rPr>
        <w:t>на Класификацията на икономическите дейности (КИД - 2008)</w:t>
      </w:r>
      <w:r w:rsidRPr="00FD4585">
        <w:rPr>
          <w:rFonts w:ascii="Verdana" w:hAnsi="Verdana"/>
          <w:noProof/>
          <w:sz w:val="20"/>
          <w:vertAlign w:val="superscript"/>
        </w:rPr>
        <w:footnoteReference w:id="1"/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съгласно изискван</w:t>
      </w:r>
      <w:proofErr w:type="spellStart"/>
      <w:r w:rsidRPr="00FD4585">
        <w:rPr>
          <w:rFonts w:ascii="Verdana" w:hAnsi="Verdana"/>
          <w:color w:val="333333"/>
          <w:sz w:val="20"/>
          <w:szCs w:val="20"/>
          <w:shd w:val="clear" w:color="auto" w:fill="FFFFFF"/>
        </w:rPr>
        <w:t>ията</w:t>
      </w:r>
      <w:proofErr w:type="spellEnd"/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 xml:space="preserve"> на </w:t>
      </w:r>
      <w:r w:rsidRPr="00FD4585">
        <w:rPr>
          <w:rFonts w:ascii="Verdana" w:hAnsi="Verdana"/>
          <w:sz w:val="20"/>
          <w:szCs w:val="20"/>
        </w:rPr>
        <w:t>Регламент № 2019/2152 на ЕП и на Съвета от 27 ноември 2019 г. за европейската бизнес статистика</w:t>
      </w:r>
      <w:r w:rsidRPr="00FD4585">
        <w:rPr>
          <w:rFonts w:ascii="Verdana" w:hAnsi="Verdana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35BF0DF2" w14:textId="77777777" w:rsidR="00FD4585" w:rsidRPr="00FD4585" w:rsidRDefault="00FD4585" w:rsidP="00A40E38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Промишленост (B, C, D, E):</w:t>
      </w:r>
    </w:p>
    <w:p w14:paraId="7D86C0A5" w14:textId="5251E665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 - Добивна промишленост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359981F0" w14:textId="19E91220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C - Преработваща промишленост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D1AA1BD" w14:textId="56AE8D96" w:rsidR="00FD4585" w:rsidRPr="00FD4585" w:rsidRDefault="00FD4585" w:rsidP="00927060">
      <w:pPr>
        <w:numPr>
          <w:ilvl w:val="0"/>
          <w:numId w:val="4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D - Производство и разпределение на електрическа и топлинна енергия и </w:t>
      </w:r>
      <w:bookmarkStart w:id="0" w:name="_GoBack"/>
      <w:bookmarkEnd w:id="0"/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на газообразни горива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61BBA96C" w14:textId="77777777" w:rsidR="00FD4585" w:rsidRPr="00FD4585" w:rsidRDefault="00FD4585" w:rsidP="00927060">
      <w:pPr>
        <w:numPr>
          <w:ilvl w:val="0"/>
          <w:numId w:val="5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Е - Доставяне на води канализационни услуги управление на отпадъци и възстановяване</w:t>
      </w:r>
    </w:p>
    <w:p w14:paraId="775F854C" w14:textId="77777777" w:rsidR="00FD4585" w:rsidRPr="00FD4585" w:rsidRDefault="00FD4585" w:rsidP="00927060">
      <w:pPr>
        <w:numPr>
          <w:ilvl w:val="0"/>
          <w:numId w:val="8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Строителство (F41, F42, F43):</w:t>
      </w:r>
    </w:p>
    <w:p w14:paraId="2689B87C" w14:textId="1784A265" w:rsidR="00FD4585" w:rsidRPr="00FD4585" w:rsidRDefault="00FD4585" w:rsidP="00927060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F41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Строителство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сгради;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</w:p>
    <w:p w14:paraId="0C773AE7" w14:textId="0CEB47FB" w:rsidR="00FD4585" w:rsidRPr="00FD4585" w:rsidRDefault="00FD4585" w:rsidP="004F33DB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F42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Строителство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съоръжения;</w:t>
      </w:r>
    </w:p>
    <w:p w14:paraId="2D7D185D" w14:textId="1198E2FB" w:rsidR="004F33DB" w:rsidRDefault="00FD4585" w:rsidP="004F33DB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F43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Специализирани строително дейности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152B9D9A" w14:textId="5423D1E8" w:rsidR="00FD4585" w:rsidRPr="004F33DB" w:rsidRDefault="00FD4585" w:rsidP="004F33DB">
      <w:pPr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едро и дребно; ремонт на автомобили и мотоциклети (G45, G46, G47)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4549D597" w14:textId="186C3C3E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G45 - Търговия ремонт на автомобили и мотоциклети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, техническо обслужване и ремонт;</w:t>
      </w:r>
    </w:p>
    <w:p w14:paraId="3C93E7FC" w14:textId="43659E26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G46 - 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едро без , т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ърговия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та</w:t>
      </w: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на автомобили и мотоциклети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11377821" w14:textId="06B023AC" w:rsidR="00FD4585" w:rsidRPr="004F33DB" w:rsidRDefault="00FD4585" w:rsidP="004F33D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G47 - </w:t>
      </w:r>
      <w:r w:rsidR="004F33DB" w:rsidRP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Търговия на дребно без, търговията на автомобили и мотоциклети;</w:t>
      </w:r>
    </w:p>
    <w:p w14:paraId="18084BB4" w14:textId="00BB5E9D" w:rsidR="00FD4585" w:rsidRPr="00FD4585" w:rsidRDefault="00FD4585" w:rsidP="004F33DB">
      <w:pPr>
        <w:numPr>
          <w:ilvl w:val="0"/>
          <w:numId w:val="1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Транспорт и съхранение  (H49, H50, H51, H52, H53)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114CF755" w14:textId="62A29ED7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H49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Сухопътен транспорт;</w:t>
      </w:r>
    </w:p>
    <w:p w14:paraId="50B94188" w14:textId="587EB028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H50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Воден транспорт;</w:t>
      </w:r>
    </w:p>
    <w:p w14:paraId="6E13ED73" w14:textId="5CA1048D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H51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Въздушен транспорт;</w:t>
      </w:r>
    </w:p>
    <w:p w14:paraId="0D8935F6" w14:textId="6AECDCA5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H52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Складиране на товари и спомагателни дейности в транспорта;</w:t>
      </w:r>
    </w:p>
    <w:p w14:paraId="63E7E878" w14:textId="60D46CFF" w:rsidR="00FD4585" w:rsidRPr="00FD4585" w:rsidRDefault="00FD4585" w:rsidP="00086B0A">
      <w:pPr>
        <w:numPr>
          <w:ilvl w:val="0"/>
          <w:numId w:val="12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H53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4F33DB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Пощенски и куриерски дейности;</w:t>
      </w:r>
    </w:p>
    <w:p w14:paraId="52CE3615" w14:textId="692E488C" w:rsidR="00FD4585" w:rsidRPr="00FD4585" w:rsidRDefault="00FD4585" w:rsidP="00086B0A">
      <w:pPr>
        <w:numPr>
          <w:ilvl w:val="0"/>
          <w:numId w:val="11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Хотелиерство и ресторантьорство (I55, I56)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4BFDB273" w14:textId="789682E6" w:rsidR="00FD4585" w:rsidRPr="00FD4585" w:rsidRDefault="00FD4585" w:rsidP="00086B0A">
      <w:pPr>
        <w:numPr>
          <w:ilvl w:val="0"/>
          <w:numId w:val="1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I55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Хотелиерство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EB3B20E" w14:textId="7BD0EAC8" w:rsidR="00FD4585" w:rsidRPr="00FD4585" w:rsidRDefault="00FD4585" w:rsidP="00086B0A">
      <w:pPr>
        <w:numPr>
          <w:ilvl w:val="0"/>
          <w:numId w:val="13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I56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есторантьорство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2EC2997B" w14:textId="77777777" w:rsidR="00FD4585" w:rsidRPr="00FD4585" w:rsidRDefault="00FD4585" w:rsidP="00086B0A">
      <w:pPr>
        <w:numPr>
          <w:ilvl w:val="0"/>
          <w:numId w:val="14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Информация и комуникация (J58, J59, J60, J61, J62, J63)</w:t>
      </w:r>
    </w:p>
    <w:p w14:paraId="7A86C7B7" w14:textId="01B15F3A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J58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Издателска дейност;</w:t>
      </w:r>
    </w:p>
    <w:p w14:paraId="1FA8B4FD" w14:textId="0564DBD3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lastRenderedPageBreak/>
        <w:t xml:space="preserve">J59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Производство на филми и телевизионни предавания, звукозаписване и издаване на музика;</w:t>
      </w:r>
    </w:p>
    <w:p w14:paraId="26340AFB" w14:textId="298C39A6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J60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Радио- и телевизионна дейност;</w:t>
      </w:r>
    </w:p>
    <w:p w14:paraId="3595F415" w14:textId="50DC35EB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J61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алекосъобщения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54C1AC9C" w14:textId="57B86C77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J62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-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Дейност в областта на информационните технологии;</w:t>
      </w:r>
    </w:p>
    <w:p w14:paraId="2507B47D" w14:textId="77A78D54" w:rsidR="00FD4585" w:rsidRPr="00FD4585" w:rsidRDefault="00FD4585" w:rsidP="00086B0A">
      <w:pPr>
        <w:numPr>
          <w:ilvl w:val="0"/>
          <w:numId w:val="16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J63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Информационни услуги;</w:t>
      </w:r>
    </w:p>
    <w:p w14:paraId="33A3F4C1" w14:textId="2CF4EFFF" w:rsidR="00FD4585" w:rsidRPr="00FD4585" w:rsidRDefault="00FD4585" w:rsidP="00086B0A">
      <w:pPr>
        <w:numPr>
          <w:ilvl w:val="0"/>
          <w:numId w:val="15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Финансови и застрахователни дейности; дейности с недвижими имоти; професионални, научни и технически дейности; административни и спомагателни дейности (K, L, M, N)</w:t>
      </w:r>
      <w:r w:rsidR="00086B0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:</w:t>
      </w:r>
    </w:p>
    <w:p w14:paraId="33F165AF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К - Финансови и застрахователни дейности</w:t>
      </w:r>
    </w:p>
    <w:p w14:paraId="4ED6AEAF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L - Операции с недвижими имоти</w:t>
      </w:r>
    </w:p>
    <w:p w14:paraId="1CF84DB0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М - Професионални дейности и научни изследвания</w:t>
      </w:r>
    </w:p>
    <w:p w14:paraId="7CC911CE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N - Административни и спомагателни дейности</w:t>
      </w:r>
    </w:p>
    <w:p w14:paraId="48BD06DE" w14:textId="77777777" w:rsidR="00FD4585" w:rsidRPr="00FD4585" w:rsidRDefault="00FD4585" w:rsidP="00086B0A">
      <w:pPr>
        <w:numPr>
          <w:ilvl w:val="0"/>
          <w:numId w:val="19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Образование; хуманно здравеопазване и социални дейности (P, Q, R, S95, S96)</w:t>
      </w:r>
    </w:p>
    <w:p w14:paraId="16BD5661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P - Образование</w:t>
      </w:r>
    </w:p>
    <w:p w14:paraId="78A79802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Q - Хуманно здравеопазване и социална работа</w:t>
      </w:r>
    </w:p>
    <w:p w14:paraId="507F7D96" w14:textId="77777777" w:rsidR="00FD4585" w:rsidRPr="00FD4585" w:rsidRDefault="00FD4585" w:rsidP="00086B0A">
      <w:pPr>
        <w:numPr>
          <w:ilvl w:val="0"/>
          <w:numId w:val="18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R - Култура спорт и развлечения</w:t>
      </w:r>
    </w:p>
    <w:p w14:paraId="4601BCE2" w14:textId="0BCA79AD" w:rsidR="00FD4585" w:rsidRPr="00FD4585" w:rsidRDefault="00FD4585" w:rsidP="00EC35C6">
      <w:pPr>
        <w:numPr>
          <w:ilvl w:val="0"/>
          <w:numId w:val="2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S95 </w:t>
      </w:r>
      <w:r w:rsidR="00EC35C6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–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="00EC35C6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Ремонт на компютърна техника, на лични и домакински вещи;</w:t>
      </w:r>
    </w:p>
    <w:p w14:paraId="4BB7F854" w14:textId="2DC0A5AF" w:rsidR="00FD4585" w:rsidRPr="00FD4585" w:rsidRDefault="00FD4585" w:rsidP="00EC35C6">
      <w:pPr>
        <w:numPr>
          <w:ilvl w:val="0"/>
          <w:numId w:val="20"/>
        </w:numPr>
        <w:spacing w:line="360" w:lineRule="auto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S96 - Други </w:t>
      </w:r>
      <w:r w:rsidR="00EC35C6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персонални услуги.</w:t>
      </w:r>
    </w:p>
    <w:p w14:paraId="6BBE7A44" w14:textId="77777777" w:rsidR="00FD4585" w:rsidRPr="00FD4585" w:rsidRDefault="00FD4585" w:rsidP="00AD1486">
      <w:p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</w:p>
    <w:p w14:paraId="0565750C" w14:textId="77777777" w:rsidR="00FD4585" w:rsidRPr="00FD4585" w:rsidRDefault="00FD4585" w:rsidP="00AD1486">
      <w:pPr>
        <w:spacing w:line="360" w:lineRule="auto"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/>
          <w:b/>
          <w:color w:val="0D0D0D" w:themeColor="text1" w:themeTint="F2"/>
          <w:sz w:val="20"/>
          <w:szCs w:val="20"/>
          <w:shd w:val="clear" w:color="auto" w:fill="FFFFFF"/>
          <w:lang w:val="ru-RU"/>
        </w:rPr>
        <w:t>Правна единица е юридическо лице на публичното или частното право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. Това юридическо лице може да бъде:</w:t>
      </w:r>
    </w:p>
    <w:p w14:paraId="20480808" w14:textId="77777777" w:rsidR="00FD4585" w:rsidRPr="00FD4585" w:rsidRDefault="00FD4585" w:rsidP="00AD1486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Юридическо</w:t>
      </w:r>
      <w:r w:rsidRPr="00C369F8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-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чието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съществуване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признато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закон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a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независимо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лицата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или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институциите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които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го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притежават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или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членове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;</w:t>
      </w:r>
    </w:p>
    <w:p w14:paraId="0668D701" w14:textId="77777777" w:rsidR="00FD4585" w:rsidRPr="00FD4585" w:rsidRDefault="00FD4585" w:rsidP="00AD1486">
      <w:pPr>
        <w:numPr>
          <w:ilvl w:val="0"/>
          <w:numId w:val="1"/>
        </w:numPr>
        <w:spacing w:line="360" w:lineRule="auto"/>
        <w:ind w:left="0" w:firstLine="567"/>
        <w:contextualSpacing/>
        <w:jc w:val="both"/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</w:pP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Физическо</w:t>
      </w:r>
      <w:r w:rsidRPr="00C369F8">
        <w:rPr>
          <w:rFonts w:ascii="Verdana" w:hAnsi="Verdana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C369F8">
        <w:rPr>
          <w:rFonts w:ascii="Verdana" w:hAnsi="Verdana" w:hint="cs"/>
          <w:i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-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което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като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независимо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упражнява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стопанска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дейност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.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съществува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трябва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регистрирано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по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закон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пред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компетентните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административни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органи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(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Търговски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юридическите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лица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с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нестопанска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цел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,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Регистър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Булстат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 xml:space="preserve"> </w:t>
      </w:r>
      <w:r w:rsidRPr="00FD4585">
        <w:rPr>
          <w:rFonts w:ascii="Verdana" w:hAnsi="Verdana" w:hint="cs"/>
          <w:color w:val="0D0D0D" w:themeColor="text1" w:themeTint="F2"/>
          <w:sz w:val="20"/>
          <w:szCs w:val="20"/>
          <w:shd w:val="clear" w:color="auto" w:fill="FFFFFF"/>
          <w:lang w:val="ru-RU"/>
        </w:rPr>
        <w:t>други</w:t>
      </w:r>
      <w:r w:rsidRPr="00FD458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  <w:lang w:val="ru-RU"/>
        </w:rPr>
        <w:t>).</w:t>
      </w:r>
    </w:p>
    <w:p w14:paraId="7B54D33A" w14:textId="77777777" w:rsidR="00BD056C" w:rsidRPr="00017740" w:rsidRDefault="00BD056C" w:rsidP="00BD056C">
      <w:pPr>
        <w:spacing w:before="160" w:after="160" w:line="360" w:lineRule="auto"/>
        <w:jc w:val="center"/>
        <w:rPr>
          <w:b/>
          <w:color w:val="002E2E"/>
          <w:shd w:val="clear" w:color="auto" w:fill="FFFFFF"/>
          <w:lang w:val="ru-RU"/>
        </w:rPr>
      </w:pPr>
    </w:p>
    <w:p w14:paraId="1BFA3221" w14:textId="2722F0AC" w:rsidR="00D83F28" w:rsidRPr="00F76D42" w:rsidRDefault="00D83F28" w:rsidP="000D4282">
      <w:pPr>
        <w:spacing w:line="360" w:lineRule="auto"/>
        <w:jc w:val="both"/>
        <w:rPr>
          <w:rFonts w:ascii="Verdana" w:hAnsi="Verdana"/>
          <w:sz w:val="20"/>
        </w:rPr>
      </w:pPr>
    </w:p>
    <w:sectPr w:rsidR="00D83F28" w:rsidRPr="00F76D42" w:rsidSect="006A4C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911A6" w14:textId="77777777" w:rsidR="001B1E66" w:rsidRDefault="001B1E66" w:rsidP="00D83F28">
      <w:r>
        <w:separator/>
      </w:r>
    </w:p>
  </w:endnote>
  <w:endnote w:type="continuationSeparator" w:id="0">
    <w:p w14:paraId="2B065064" w14:textId="77777777" w:rsidR="001B1E66" w:rsidRDefault="001B1E66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3ADB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917D69" wp14:editId="5584FA30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B1945" w14:textId="5E07192B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21E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917D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80B1945" w14:textId="5E07192B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421E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7EE37E" wp14:editId="43EA53B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F9B098C" wp14:editId="49CA06D1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D1B8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5B457A" wp14:editId="59853C86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2F823" w14:textId="630228A4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553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5B45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352F823" w14:textId="630228A4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A553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6FCD66" wp14:editId="4727B166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9995" w14:textId="77777777" w:rsidR="001B1E66" w:rsidRDefault="001B1E66" w:rsidP="00D83F28">
      <w:r>
        <w:separator/>
      </w:r>
    </w:p>
  </w:footnote>
  <w:footnote w:type="continuationSeparator" w:id="0">
    <w:p w14:paraId="3A33BB41" w14:textId="77777777" w:rsidR="001B1E66" w:rsidRDefault="001B1E66" w:rsidP="00D83F28">
      <w:r>
        <w:continuationSeparator/>
      </w:r>
    </w:p>
  </w:footnote>
  <w:footnote w:id="1">
    <w:p w14:paraId="0583DAD6" w14:textId="77777777" w:rsidR="00FD4585" w:rsidRPr="0078573B" w:rsidRDefault="00FD4585" w:rsidP="00FD458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78573B">
        <w:rPr>
          <w:rStyle w:val="FootnoteReference"/>
          <w:rFonts w:ascii="Verdana" w:hAnsi="Verdana"/>
          <w:sz w:val="16"/>
          <w:szCs w:val="16"/>
        </w:rPr>
        <w:footnoteRef/>
      </w:r>
      <w:r w:rsidRPr="0078573B">
        <w:rPr>
          <w:rFonts w:ascii="Verdana" w:hAnsi="Verdana"/>
          <w:sz w:val="16"/>
          <w:szCs w:val="16"/>
        </w:rPr>
        <w:t xml:space="preserve"> </w:t>
      </w:r>
      <w:hyperlink r:id="rId1" w:history="1">
        <w:r w:rsidRPr="0078573B">
          <w:rPr>
            <w:rStyle w:val="Hyperlink"/>
            <w:rFonts w:ascii="Verdana" w:hAnsi="Verdana"/>
            <w:sz w:val="16"/>
            <w:szCs w:val="16"/>
          </w:rPr>
          <w:t>https://www.nsi.bg/sites/default/files/files/publications/KID-2008.pdf</w:t>
        </w:r>
      </w:hyperlink>
      <w:r w:rsidRPr="0078573B">
        <w:rPr>
          <w:rStyle w:val="Hyperlink"/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4911D" w14:textId="77777777" w:rsidR="00D83F28" w:rsidRPr="00F76D42" w:rsidRDefault="00D83F28" w:rsidP="00D83F28">
    <w:pPr>
      <w:spacing w:after="24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2F6A0FF" wp14:editId="4A8B0026">
              <wp:simplePos x="0" y="0"/>
              <wp:positionH relativeFrom="margin">
                <wp:align>left</wp:align>
              </wp:positionH>
              <wp:positionV relativeFrom="paragraph">
                <wp:posOffset>333375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B6608" id="Graphic 7" o:spid="_x0000_s1026" style="position:absolute;margin-left:0;margin-top:26.25pt;width:477.7pt;height:.1pt;z-index:-2516428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BTmNO1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D056C">
      <w:rPr>
        <w:rFonts w:ascii="Verdana" w:eastAsia="Calibri" w:hAnsi="Verdana" w:cs="Times New Roman"/>
        <w:b/>
        <w:sz w:val="20"/>
        <w:szCs w:val="20"/>
      </w:rPr>
      <w:t>РЕГИСТРАЦИИ И БАНКРУТИ НА ПРАВНИ ЕДИНИЦИ ПРЕЗ ЧЕТВЪРТОТО</w:t>
    </w:r>
    <w:r w:rsidR="00502500">
      <w:rPr>
        <w:rFonts w:ascii="Verdana" w:eastAsia="Calibri" w:hAnsi="Verdana" w:cs="Times New Roman"/>
        <w:b/>
        <w:sz w:val="20"/>
        <w:szCs w:val="20"/>
        <w:lang w:val="en-US"/>
      </w:rPr>
      <w:t> </w:t>
    </w:r>
    <w:r w:rsidR="00BD056C">
      <w:rPr>
        <w:rFonts w:ascii="Verdana" w:eastAsia="Calibri" w:hAnsi="Verdana" w:cs="Times New Roman"/>
        <w:b/>
        <w:sz w:val="20"/>
        <w:szCs w:val="20"/>
      </w:rPr>
      <w:t>ТРИМЕСЕЧИЕ НА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296B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66745A4A" wp14:editId="18B8A4F9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9DA0FF" wp14:editId="00364DDA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E7629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397BE0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F615EFE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A0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18CE7629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397BE0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F615EFE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55575F" wp14:editId="6B05B3AC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4CAC5BE" wp14:editId="0210F866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0160385" wp14:editId="4791F470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841"/>
    <w:multiLevelType w:val="hybridMultilevel"/>
    <w:tmpl w:val="C57483F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AE5714"/>
    <w:multiLevelType w:val="hybridMultilevel"/>
    <w:tmpl w:val="A2CC1C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933"/>
    <w:multiLevelType w:val="hybridMultilevel"/>
    <w:tmpl w:val="EBEEAA82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60010B"/>
    <w:multiLevelType w:val="hybridMultilevel"/>
    <w:tmpl w:val="45E82B9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BD52B5"/>
    <w:multiLevelType w:val="hybridMultilevel"/>
    <w:tmpl w:val="57CA5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A6D"/>
    <w:multiLevelType w:val="hybridMultilevel"/>
    <w:tmpl w:val="515EF3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8C07FF"/>
    <w:multiLevelType w:val="hybridMultilevel"/>
    <w:tmpl w:val="E02A3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03292"/>
    <w:multiLevelType w:val="hybridMultilevel"/>
    <w:tmpl w:val="AB3A66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46C5"/>
    <w:multiLevelType w:val="hybridMultilevel"/>
    <w:tmpl w:val="7ABAC3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5635"/>
    <w:multiLevelType w:val="hybridMultilevel"/>
    <w:tmpl w:val="CF8CDA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740C8"/>
    <w:multiLevelType w:val="hybridMultilevel"/>
    <w:tmpl w:val="ED8253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660B80"/>
    <w:multiLevelType w:val="hybridMultilevel"/>
    <w:tmpl w:val="A79EC6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747D"/>
    <w:multiLevelType w:val="hybridMultilevel"/>
    <w:tmpl w:val="4676A8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1CF3"/>
    <w:multiLevelType w:val="hybridMultilevel"/>
    <w:tmpl w:val="AB5A35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1C07"/>
    <w:multiLevelType w:val="hybridMultilevel"/>
    <w:tmpl w:val="0046CBCC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E8617C8"/>
    <w:multiLevelType w:val="hybridMultilevel"/>
    <w:tmpl w:val="FE4AFDE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751F60"/>
    <w:multiLevelType w:val="hybridMultilevel"/>
    <w:tmpl w:val="CF8A5F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7CEE"/>
    <w:multiLevelType w:val="hybridMultilevel"/>
    <w:tmpl w:val="6A32644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1B1E03"/>
    <w:multiLevelType w:val="hybridMultilevel"/>
    <w:tmpl w:val="36F85B4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AB49CC"/>
    <w:multiLevelType w:val="hybridMultilevel"/>
    <w:tmpl w:val="A6489656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8"/>
  </w:num>
  <w:num w:numId="17">
    <w:abstractNumId w:val="9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0EBE"/>
    <w:rsid w:val="00006AE9"/>
    <w:rsid w:val="0001593E"/>
    <w:rsid w:val="000247A7"/>
    <w:rsid w:val="00064187"/>
    <w:rsid w:val="00086B0A"/>
    <w:rsid w:val="000A690E"/>
    <w:rsid w:val="000D257F"/>
    <w:rsid w:val="000D4282"/>
    <w:rsid w:val="001010BB"/>
    <w:rsid w:val="0015715B"/>
    <w:rsid w:val="001B1E66"/>
    <w:rsid w:val="001B66D2"/>
    <w:rsid w:val="001D1B5A"/>
    <w:rsid w:val="002523E3"/>
    <w:rsid w:val="00266E6D"/>
    <w:rsid w:val="002832A6"/>
    <w:rsid w:val="00296B88"/>
    <w:rsid w:val="002A5F3D"/>
    <w:rsid w:val="002E5B7F"/>
    <w:rsid w:val="002F3222"/>
    <w:rsid w:val="0036245B"/>
    <w:rsid w:val="003C40D9"/>
    <w:rsid w:val="003E0428"/>
    <w:rsid w:val="003E75E1"/>
    <w:rsid w:val="00415313"/>
    <w:rsid w:val="00435F35"/>
    <w:rsid w:val="00452AD8"/>
    <w:rsid w:val="004A5531"/>
    <w:rsid w:val="004A61BE"/>
    <w:rsid w:val="004A74A0"/>
    <w:rsid w:val="004B754D"/>
    <w:rsid w:val="004F33DB"/>
    <w:rsid w:val="004F7615"/>
    <w:rsid w:val="004F7791"/>
    <w:rsid w:val="00502500"/>
    <w:rsid w:val="005044B9"/>
    <w:rsid w:val="00545441"/>
    <w:rsid w:val="005751E9"/>
    <w:rsid w:val="006127B1"/>
    <w:rsid w:val="006421EB"/>
    <w:rsid w:val="00643044"/>
    <w:rsid w:val="0066420D"/>
    <w:rsid w:val="00683AD9"/>
    <w:rsid w:val="006971A9"/>
    <w:rsid w:val="006A1F4A"/>
    <w:rsid w:val="006A4C8F"/>
    <w:rsid w:val="006B1DD3"/>
    <w:rsid w:val="0072207C"/>
    <w:rsid w:val="0078573B"/>
    <w:rsid w:val="0078575E"/>
    <w:rsid w:val="0079014F"/>
    <w:rsid w:val="00795B6E"/>
    <w:rsid w:val="007F6395"/>
    <w:rsid w:val="0080245B"/>
    <w:rsid w:val="00810779"/>
    <w:rsid w:val="0081633F"/>
    <w:rsid w:val="0082222D"/>
    <w:rsid w:val="008E6CB5"/>
    <w:rsid w:val="009116ED"/>
    <w:rsid w:val="0091534D"/>
    <w:rsid w:val="00927060"/>
    <w:rsid w:val="00937DAF"/>
    <w:rsid w:val="009757F5"/>
    <w:rsid w:val="00980DF6"/>
    <w:rsid w:val="009904E4"/>
    <w:rsid w:val="009A7A1E"/>
    <w:rsid w:val="009F7A6C"/>
    <w:rsid w:val="00A40E38"/>
    <w:rsid w:val="00A46D65"/>
    <w:rsid w:val="00A92E7E"/>
    <w:rsid w:val="00AA610F"/>
    <w:rsid w:val="00AD1486"/>
    <w:rsid w:val="00AD1939"/>
    <w:rsid w:val="00BC4FCA"/>
    <w:rsid w:val="00BD056C"/>
    <w:rsid w:val="00C2146C"/>
    <w:rsid w:val="00C369F8"/>
    <w:rsid w:val="00C73E89"/>
    <w:rsid w:val="00CF7C11"/>
    <w:rsid w:val="00D60CD2"/>
    <w:rsid w:val="00D83F28"/>
    <w:rsid w:val="00E638E8"/>
    <w:rsid w:val="00E94005"/>
    <w:rsid w:val="00EC35C6"/>
    <w:rsid w:val="00EE4C2D"/>
    <w:rsid w:val="00EF4FC0"/>
    <w:rsid w:val="00F476C7"/>
    <w:rsid w:val="00F667F8"/>
    <w:rsid w:val="00F76D42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4C5A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6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056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056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BD056C"/>
    <w:rPr>
      <w:vertAlign w:val="superscript"/>
    </w:rPr>
  </w:style>
  <w:style w:type="character" w:styleId="Hyperlink">
    <w:name w:val="Hyperlink"/>
    <w:uiPriority w:val="99"/>
    <w:unhideWhenUsed/>
    <w:rsid w:val="00BD056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3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3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313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sites/default/files/files/publications/KID-200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412583885756352E-2"/>
          <c:y val="8.430492403238328E-2"/>
          <c:w val="0.85388516568146811"/>
          <c:h val="0.7538089164910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Четвърто тримесечие 2023</c:v>
                </c:pt>
                <c:pt idx="1">
                  <c:v>Четвърто тримесечие 2024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10633</c:v>
                </c:pt>
                <c:pt idx="1">
                  <c:v>11143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FC-4FC6-A349-73FADE3A7E5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Четвърто тримесечие 2023</c:v>
                </c:pt>
                <c:pt idx="1">
                  <c:v>Четвърто тримесечие 2024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977</c:v>
                </c:pt>
                <c:pt idx="1">
                  <c:v>1165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FC-4FC6-A349-73FADE3A7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5247"/>
        <c:axId val="1"/>
      </c:barChart>
      <c:catAx>
        <c:axId val="1786115247"/>
        <c:scaling>
          <c:orientation val="minMax"/>
        </c:scaling>
        <c:delete val="0"/>
        <c:axPos val="b"/>
        <c:title>
          <c:tx>
            <c:rich>
              <a:bodyPr rot="0" vert="horz" anchor="t" anchorCtr="0"/>
              <a:lstStyle/>
              <a:p>
                <a:pPr>
                  <a:defRPr sz="1000" b="0">
                    <a:latin typeface="+mn-lt"/>
                  </a:defRPr>
                </a:pPr>
                <a:r>
                  <a:rPr lang="bg-BG" sz="1000" b="0">
                    <a:latin typeface="+mn-lt"/>
                    <a:cs typeface="Times New Roman" panose="02020603050405020304" pitchFamily="18" charset="0"/>
                  </a:rPr>
                  <a:t>Брой</a:t>
                </a:r>
                <a:endParaRPr lang="en-US" sz="1000" b="0">
                  <a:latin typeface="+mn-lt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4097735760698826E-2"/>
              <c:y val="1.7654017536108131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5247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29942899828034714"/>
          <c:y val="0.93329216200916065"/>
          <c:w val="0.41891565653826718"/>
          <c:h val="4.92786440910572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>
      <a:softEdge rad="0"/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483318215426358E-2"/>
          <c:y val="9.3968253968253951E-2"/>
          <c:w val="0.88747505545349914"/>
          <c:h val="0.7514257978026720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3881897386253627E-2"/>
                  <c:y val="-6.046319552521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9B-4BCE-BC61-AD001FBE5A3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9438</c:v>
                </c:pt>
                <c:pt idx="1">
                  <c:v>10139</c:v>
                </c:pt>
                <c:pt idx="2">
                  <c:v>10891</c:v>
                </c:pt>
                <c:pt idx="3">
                  <c:v>10633</c:v>
                </c:pt>
                <c:pt idx="4">
                  <c:v>11143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9B-4BCE-BC61-AD001FBE5A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1007</c:v>
                </c:pt>
                <c:pt idx="1">
                  <c:v>1099</c:v>
                </c:pt>
                <c:pt idx="2">
                  <c:v>1123</c:v>
                </c:pt>
                <c:pt idx="3">
                  <c:v>977</c:v>
                </c:pt>
                <c:pt idx="4">
                  <c:v>1165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9B-4BCE-BC61-AD001FBE5A3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99319423"/>
        <c:axId val="599320255"/>
      </c:lineChart>
      <c:catAx>
        <c:axId val="59931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20255"/>
        <c:crosses val="autoZero"/>
        <c:auto val="1"/>
        <c:lblAlgn val="ctr"/>
        <c:lblOffset val="100"/>
        <c:noMultiLvlLbl val="0"/>
      </c:catAx>
      <c:valAx>
        <c:axId val="599320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Брой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5202795923500856E-2"/>
              <c:y val="1.801685748185586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59931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958451758095138"/>
          <c:y val="0.9115937464338697"/>
          <c:w val="0.55010859951163293"/>
          <c:h val="6.5217847769028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bg-BG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95253257717518"/>
          <c:y val="8.604565020961831E-2"/>
          <c:w val="0.79980238825969707"/>
          <c:h val="0.76512983988191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Регистрации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Трето тримесечие 2024</c:v>
                </c:pt>
                <c:pt idx="1">
                  <c:v>Четвърто тримесечие 2024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10646</c:v>
                </c:pt>
                <c:pt idx="1">
                  <c:v>11143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20-4C58-9A3E-C92C0388BD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Банкрути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20-4C58-9A3E-C92C0388BDE6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20-4C58-9A3E-C92C0388BDE6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Трето тримесечие 2024</c:v>
                </c:pt>
                <c:pt idx="1">
                  <c:v>Четвърто тримесечие 2024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883</c:v>
                </c:pt>
                <c:pt idx="1">
                  <c:v>1165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20-4C58-9A3E-C92C0388B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786113999"/>
        <c:axId val="1"/>
      </c:barChart>
      <c:catAx>
        <c:axId val="1786113999"/>
        <c:scaling>
          <c:orientation val="minMax"/>
        </c:scaling>
        <c:delete val="0"/>
        <c:axPos val="b"/>
        <c:title>
          <c:tx>
            <c:rich>
              <a:bodyPr rot="0" vert="horz" anchor="b" anchorCtr="0"/>
              <a:lstStyle/>
              <a:p>
                <a:pPr>
                  <a:defRPr sz="800" b="0" baseline="0">
                    <a:latin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bg-BG" sz="800" b="0" baseline="0">
                    <a:latin typeface="Verdana" panose="020B0604030504040204" pitchFamily="34" charset="0"/>
                    <a:cs typeface="Times New Roman" panose="02020603050405020304" pitchFamily="18" charset="0"/>
                  </a:rPr>
                  <a:t>Брой</a:t>
                </a:r>
                <a:endParaRPr lang="en-US" sz="800" b="0" baseline="0">
                  <a:latin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413483569530324E-2"/>
              <c:y val="1.0025161044706419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6113999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28953915752754861"/>
          <c:y val="0.9244238881433664"/>
          <c:w val="0.42317315312257819"/>
          <c:h val="3.7735913923290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4114-98D3-44C4-A3B5-2ACF1D28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Rumyana Stoyanova</cp:lastModifiedBy>
  <cp:revision>8</cp:revision>
  <dcterms:created xsi:type="dcterms:W3CDTF">2025-01-15T08:14:00Z</dcterms:created>
  <dcterms:modified xsi:type="dcterms:W3CDTF">2025-01-15T10:41:00Z</dcterms:modified>
</cp:coreProperties>
</file>