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57" w:rsidRPr="00301E75" w:rsidRDefault="008C1457" w:rsidP="00596DB0">
      <w:pPr>
        <w:pStyle w:val="NormalWeb"/>
        <w:tabs>
          <w:tab w:val="left" w:pos="5670"/>
        </w:tabs>
        <w:jc w:val="both"/>
        <w:rPr>
          <w:rFonts w:eastAsiaTheme="majorEastAsia"/>
          <w:b/>
          <w:bCs/>
        </w:rPr>
      </w:pPr>
      <w:r w:rsidRPr="00301E75">
        <w:rPr>
          <w:rStyle w:val="Strong"/>
          <w:rFonts w:eastAsiaTheme="majorEastAsia"/>
        </w:rPr>
        <w:t xml:space="preserve">                                </w:t>
      </w:r>
      <w:r w:rsidR="00301E75" w:rsidRPr="00301E75">
        <w:rPr>
          <w:rStyle w:val="Strong"/>
          <w:rFonts w:eastAsiaTheme="majorEastAsia"/>
        </w:rPr>
        <w:t xml:space="preserve">                          </w:t>
      </w:r>
      <w:r w:rsidRPr="00301E75">
        <w:rPr>
          <w:rStyle w:val="Strong"/>
          <w:rFonts w:eastAsiaTheme="majorEastAsia"/>
        </w:rPr>
        <w:t>До членовете на Централната избирателна комисия (ЦИК)</w:t>
      </w:r>
    </w:p>
    <w:p w:rsidR="008C1457" w:rsidRPr="00301E75" w:rsidRDefault="008C1457" w:rsidP="00596DB0">
      <w:pPr>
        <w:pStyle w:val="NormalWeb"/>
        <w:ind w:left="3540"/>
        <w:jc w:val="both"/>
      </w:pPr>
      <w:r w:rsidRPr="00301E75">
        <w:t>Камелия Стоянова Нейкова – Председател</w:t>
      </w:r>
      <w:r w:rsidR="000F3452" w:rsidRPr="00301E75">
        <w:t>,</w:t>
      </w:r>
      <w:r w:rsidRPr="00301E75">
        <w:t xml:space="preserve">  Димитър Генчев Димитров – Заместник-председател , Емил Цветанов Войнов – Заместник-председател </w:t>
      </w:r>
      <w:r w:rsidRPr="00301E75">
        <w:rPr>
          <w:lang w:val="en-US"/>
        </w:rPr>
        <w:t>q</w:t>
      </w:r>
      <w:r w:rsidRPr="00301E75">
        <w:t xml:space="preserve">Росица Борисова Матева – Заместник-председател , Цветозар Томов </w:t>
      </w:r>
      <w:proofErr w:type="spellStart"/>
      <w:r w:rsidRPr="00301E75">
        <w:t>Томов</w:t>
      </w:r>
      <w:proofErr w:type="spellEnd"/>
      <w:r w:rsidRPr="00301E75">
        <w:t xml:space="preserve"> – Заместник-председател </w:t>
      </w:r>
      <w:r w:rsidRPr="00301E75">
        <w:rPr>
          <w:lang w:val="en-US"/>
        </w:rPr>
        <w:t>,</w:t>
      </w:r>
      <w:r w:rsidRPr="00301E75">
        <w:t>Севинч Османова Солакова – Секретар ,</w:t>
      </w:r>
      <w:r w:rsidR="000F3452" w:rsidRPr="00301E75">
        <w:t xml:space="preserve"> </w:t>
      </w:r>
      <w:r w:rsidRPr="00301E75">
        <w:t xml:space="preserve">Георги Славчев </w:t>
      </w:r>
      <w:proofErr w:type="spellStart"/>
      <w:r w:rsidRPr="00301E75">
        <w:t>Баханов</w:t>
      </w:r>
      <w:proofErr w:type="spellEnd"/>
      <w:r w:rsidRPr="00301E75">
        <w:t>, Елка Тодорова Стоянова, Ерхан Юксел Чаушев, Йорданка Цвяткова Ганчева, Красимир Георгиев Ципов, Любомир Петров Георгиев, Силвия Тодорова Стойчева, Цветанка Петкова Георгиева</w:t>
      </w:r>
      <w:r w:rsidR="000F3452" w:rsidRPr="00301E75">
        <w:t>,</w:t>
      </w:r>
      <w:r w:rsidRPr="00301E75">
        <w:t xml:space="preserve"> Гергана Петрова Стоянова </w:t>
      </w:r>
      <w:r w:rsidR="00301E75" w:rsidRPr="00301E75">
        <w:t xml:space="preserve">: </w:t>
      </w:r>
      <w:proofErr w:type="spellStart"/>
      <w:r w:rsidRPr="00301E75">
        <w:t>email</w:t>
      </w:r>
      <w:proofErr w:type="spellEnd"/>
      <w:r w:rsidRPr="00301E75">
        <w:t xml:space="preserve">: </w:t>
      </w:r>
      <w:hyperlink r:id="rId7" w:history="1">
        <w:r w:rsidRPr="00301E75">
          <w:rPr>
            <w:rStyle w:val="Hyperlink"/>
          </w:rPr>
          <w:t>cik@cik.bg</w:t>
        </w:r>
      </w:hyperlink>
    </w:p>
    <w:p w:rsidR="008C1457" w:rsidRPr="00301E75" w:rsidRDefault="008C1457" w:rsidP="00596DB0">
      <w:pPr>
        <w:pStyle w:val="NormalWeb"/>
        <w:ind w:left="2124" w:firstLine="708"/>
        <w:rPr>
          <w:b/>
        </w:rPr>
      </w:pPr>
      <w:r w:rsidRPr="00301E75">
        <w:rPr>
          <w:b/>
        </w:rPr>
        <w:t>Копие :</w:t>
      </w:r>
    </w:p>
    <w:p w:rsidR="008C1457" w:rsidRPr="00301E75" w:rsidRDefault="008C1457" w:rsidP="00596DB0">
      <w:pPr>
        <w:pStyle w:val="NormalWeb"/>
        <w:ind w:left="3540"/>
      </w:pPr>
      <w:r w:rsidRPr="00301E75">
        <w:rPr>
          <w:b/>
        </w:rPr>
        <w:t xml:space="preserve"> До Конституционния съд на Република България (КС)</w:t>
      </w:r>
      <w:r w:rsidRPr="00301E75">
        <w:br/>
        <w:t xml:space="preserve">г-жа </w:t>
      </w:r>
      <w:r w:rsidRPr="00301E75">
        <w:rPr>
          <w:rStyle w:val="Strong"/>
          <w:rFonts w:eastAsiaTheme="majorEastAsia"/>
        </w:rPr>
        <w:t>Павлина Панова</w:t>
      </w:r>
      <w:r w:rsidRPr="00301E75">
        <w:t xml:space="preserve"> –председател, Надежда </w:t>
      </w:r>
      <w:proofErr w:type="spellStart"/>
      <w:r w:rsidRPr="00301E75">
        <w:t>Джелепова</w:t>
      </w:r>
      <w:proofErr w:type="spellEnd"/>
      <w:r w:rsidRPr="00301E75">
        <w:t xml:space="preserve">, Борислав </w:t>
      </w:r>
      <w:proofErr w:type="spellStart"/>
      <w:r w:rsidRPr="00301E75">
        <w:t>Белазелков</w:t>
      </w:r>
      <w:proofErr w:type="spellEnd"/>
      <w:r w:rsidRPr="00301E75">
        <w:t xml:space="preserve">, Атанас Семов, Десислава Атанасова, Красимир Влахов, Галина Тонева, Янаки Стоилов, Сашо Пенов, Соня Янкулова, Невин </w:t>
      </w:r>
      <w:proofErr w:type="spellStart"/>
      <w:r w:rsidRPr="00301E75">
        <w:t>Фети</w:t>
      </w:r>
      <w:proofErr w:type="spellEnd"/>
      <w:r w:rsidRPr="00301E75">
        <w:t xml:space="preserve">. </w:t>
      </w:r>
      <w:proofErr w:type="spellStart"/>
      <w:r w:rsidRPr="00301E75">
        <w:t>email:</w:t>
      </w:r>
      <w:hyperlink r:id="rId8" w:history="1">
        <w:r w:rsidRPr="00301E75">
          <w:rPr>
            <w:rStyle w:val="Hyperlink"/>
          </w:rPr>
          <w:t>secretariat@constcourt.bg</w:t>
        </w:r>
        <w:proofErr w:type="spellEnd"/>
      </w:hyperlink>
      <w:r w:rsidRPr="00301E75">
        <w:t>.</w:t>
      </w:r>
    </w:p>
    <w:p w:rsidR="008C1457" w:rsidRPr="00301E75" w:rsidRDefault="008C1457" w:rsidP="00596DB0">
      <w:pPr>
        <w:pStyle w:val="NormalWeb"/>
        <w:ind w:left="3540"/>
      </w:pPr>
      <w:r w:rsidRPr="00301E75">
        <w:rPr>
          <w:b/>
        </w:rPr>
        <w:t xml:space="preserve">До Президента на Република България, </w:t>
      </w:r>
      <w:r w:rsidRPr="00301E75">
        <w:br/>
        <w:t xml:space="preserve">г-н Румен Радев </w:t>
      </w:r>
      <w:r w:rsidRPr="00301E75">
        <w:br/>
      </w:r>
      <w:proofErr w:type="spellStart"/>
      <w:r w:rsidRPr="00301E75">
        <w:t>email</w:t>
      </w:r>
      <w:proofErr w:type="spellEnd"/>
      <w:r w:rsidRPr="00301E75">
        <w:t xml:space="preserve">: </w:t>
      </w:r>
      <w:hyperlink r:id="rId9" w:history="1">
        <w:r w:rsidRPr="00301E75">
          <w:rPr>
            <w:rStyle w:val="Hyperlink"/>
          </w:rPr>
          <w:t>president@president.bg</w:t>
        </w:r>
      </w:hyperlink>
    </w:p>
    <w:p w:rsidR="008C1457" w:rsidRPr="00301E75" w:rsidRDefault="008C1457" w:rsidP="00596DB0">
      <w:pPr>
        <w:pStyle w:val="NormalWeb"/>
        <w:ind w:left="3540"/>
      </w:pPr>
      <w:r w:rsidRPr="00301E75">
        <w:rPr>
          <w:b/>
        </w:rPr>
        <w:t xml:space="preserve">До Министър-председателя </w:t>
      </w:r>
      <w:r w:rsidRPr="00301E75">
        <w:rPr>
          <w:b/>
        </w:rPr>
        <w:br/>
        <w:t>на Република България</w:t>
      </w:r>
      <w:r w:rsidRPr="00301E75">
        <w:t xml:space="preserve">, </w:t>
      </w:r>
      <w:r w:rsidRPr="00301E75">
        <w:br/>
        <w:t>г-н Димитър Главчев</w:t>
      </w:r>
      <w:r w:rsidRPr="00301E75">
        <w:br/>
      </w:r>
      <w:proofErr w:type="spellStart"/>
      <w:r w:rsidRPr="00301E75">
        <w:t>email</w:t>
      </w:r>
      <w:proofErr w:type="spellEnd"/>
      <w:r w:rsidRPr="00301E75">
        <w:t xml:space="preserve">: </w:t>
      </w:r>
      <w:hyperlink r:id="rId10" w:history="1">
        <w:r w:rsidRPr="00301E75">
          <w:rPr>
            <w:rStyle w:val="Hyperlink"/>
          </w:rPr>
          <w:t>pm@government.bg</w:t>
        </w:r>
      </w:hyperlink>
    </w:p>
    <w:p w:rsidR="008C1457" w:rsidRPr="00301E75" w:rsidRDefault="008C1457" w:rsidP="00596DB0">
      <w:pPr>
        <w:pStyle w:val="NormalWeb"/>
        <w:ind w:left="3540"/>
      </w:pPr>
      <w:r w:rsidRPr="00301E75">
        <w:rPr>
          <w:b/>
        </w:rPr>
        <w:t>До Председателя на Върховния касационен съд (ВКС)</w:t>
      </w:r>
      <w:r w:rsidRPr="00301E75">
        <w:rPr>
          <w:b/>
        </w:rPr>
        <w:br/>
      </w:r>
      <w:r w:rsidRPr="00301E75">
        <w:t xml:space="preserve">г-н Галина </w:t>
      </w:r>
      <w:proofErr w:type="spellStart"/>
      <w:r w:rsidRPr="00301E75">
        <w:t>Захарова</w:t>
      </w:r>
      <w:proofErr w:type="spellEnd"/>
      <w:r w:rsidRPr="00301E75">
        <w:br/>
      </w:r>
      <w:proofErr w:type="spellStart"/>
      <w:r w:rsidRPr="00301E75">
        <w:t>email</w:t>
      </w:r>
      <w:proofErr w:type="spellEnd"/>
      <w:r w:rsidRPr="00301E75">
        <w:t xml:space="preserve">: </w:t>
      </w:r>
      <w:hyperlink r:id="rId11" w:history="1">
        <w:r w:rsidRPr="00301E75">
          <w:rPr>
            <w:rStyle w:val="Hyperlink"/>
          </w:rPr>
          <w:t>info@vks.bg</w:t>
        </w:r>
      </w:hyperlink>
    </w:p>
    <w:p w:rsidR="008C1457" w:rsidRPr="00301E75" w:rsidRDefault="008C1457" w:rsidP="00596DB0">
      <w:pPr>
        <w:pStyle w:val="NormalWeb"/>
        <w:ind w:left="3540"/>
      </w:pPr>
      <w:r w:rsidRPr="00301E75">
        <w:rPr>
          <w:b/>
        </w:rPr>
        <w:t>До Председателя на Върховния административен съд (ВАС</w:t>
      </w:r>
      <w:r w:rsidRPr="00301E75">
        <w:t>)</w:t>
      </w:r>
      <w:r w:rsidRPr="00301E75">
        <w:br/>
        <w:t xml:space="preserve">г-н Георги Чолаков </w:t>
      </w:r>
      <w:r w:rsidRPr="00301E75">
        <w:br/>
      </w:r>
      <w:proofErr w:type="spellStart"/>
      <w:r w:rsidRPr="00301E75">
        <w:t>email</w:t>
      </w:r>
      <w:proofErr w:type="spellEnd"/>
      <w:r w:rsidRPr="00301E75">
        <w:t xml:space="preserve">: </w:t>
      </w:r>
      <w:hyperlink r:id="rId12" w:history="1">
        <w:r w:rsidRPr="00301E75">
          <w:rPr>
            <w:rStyle w:val="Hyperlink"/>
          </w:rPr>
          <w:t>info@vas.bg</w:t>
        </w:r>
      </w:hyperlink>
    </w:p>
    <w:p w:rsidR="008C1457" w:rsidRPr="00301E75" w:rsidRDefault="008C1457" w:rsidP="00596DB0">
      <w:pPr>
        <w:pStyle w:val="NormalWeb"/>
        <w:ind w:left="3540"/>
        <w:jc w:val="both"/>
      </w:pPr>
      <w:r w:rsidRPr="00301E75">
        <w:rPr>
          <w:b/>
        </w:rPr>
        <w:t>До председателите на парламентарните групи в 51-то Народно събрание</w:t>
      </w:r>
    </w:p>
    <w:p w:rsidR="008C1457" w:rsidRPr="00301E75" w:rsidRDefault="008C1457" w:rsidP="00301E75">
      <w:pPr>
        <w:pStyle w:val="NormalWeb"/>
        <w:ind w:left="3540"/>
        <w:jc w:val="both"/>
      </w:pPr>
      <w:r w:rsidRPr="00301E75">
        <w:t xml:space="preserve">Г-н Бойко Борисов (ГЕРБ-СДС), Г-н Кирил Петков (ПП - ДБ), Г-н Делян Пеевски (ДПС Ново начало) ,Г-н Костадин Костадинов (Възраждане),Г-н Джевджет Чакъров </w:t>
      </w:r>
      <w:r w:rsidRPr="00301E75">
        <w:rPr>
          <w:lang w:val="en-US"/>
        </w:rPr>
        <w:t>(</w:t>
      </w:r>
      <w:r w:rsidRPr="00301E75">
        <w:t>Демокрация, права и свободи</w:t>
      </w:r>
      <w:r w:rsidRPr="00301E75">
        <w:rPr>
          <w:lang w:val="en-US"/>
        </w:rPr>
        <w:t>)</w:t>
      </w:r>
      <w:r w:rsidRPr="00301E75">
        <w:t xml:space="preserve">,Г-н Атанас Зафиров (БСП за България),Г-н Тошко Иванов </w:t>
      </w:r>
      <w:r w:rsidRPr="00301E75">
        <w:rPr>
          <w:lang w:val="en-US"/>
        </w:rPr>
        <w:t>(</w:t>
      </w:r>
      <w:r w:rsidRPr="00301E75">
        <w:t>ИТН</w:t>
      </w:r>
      <w:r w:rsidRPr="00301E75">
        <w:rPr>
          <w:lang w:val="en-US"/>
        </w:rPr>
        <w:t>)</w:t>
      </w:r>
      <w:r w:rsidRPr="00301E75">
        <w:t xml:space="preserve">,Г-н Кирил </w:t>
      </w:r>
      <w:proofErr w:type="spellStart"/>
      <w:r w:rsidRPr="00301E75">
        <w:t>Веселински</w:t>
      </w:r>
      <w:proofErr w:type="spellEnd"/>
      <w:r w:rsidRPr="00301E75">
        <w:t xml:space="preserve"> (МЕЧ) </w:t>
      </w:r>
      <w:r w:rsidR="00596DB0" w:rsidRPr="00301E75">
        <w:t xml:space="preserve"> </w:t>
      </w:r>
      <w:proofErr w:type="spellStart"/>
      <w:r w:rsidRPr="00301E75">
        <w:t>email</w:t>
      </w:r>
      <w:proofErr w:type="spellEnd"/>
      <w:r w:rsidRPr="00301E75">
        <w:t xml:space="preserve">:  </w:t>
      </w:r>
      <w:hyperlink r:id="rId13" w:history="1">
        <w:r w:rsidRPr="00301E75">
          <w:rPr>
            <w:rStyle w:val="Hyperlink"/>
          </w:rPr>
          <w:t>infocenter@parliament.bg</w:t>
        </w:r>
      </w:hyperlink>
    </w:p>
    <w:p w:rsidR="008C1457" w:rsidRPr="00301E75" w:rsidRDefault="008C1457" w:rsidP="00596DB0">
      <w:pPr>
        <w:pStyle w:val="NormalWeb"/>
        <w:ind w:left="3540"/>
        <w:jc w:val="both"/>
      </w:pPr>
      <w:r w:rsidRPr="00301E75">
        <w:rPr>
          <w:b/>
        </w:rPr>
        <w:t>До и.д. Главния прокурор на Република България</w:t>
      </w:r>
      <w:r w:rsidRPr="00301E75">
        <w:t xml:space="preserve"> </w:t>
      </w:r>
      <w:r w:rsidRPr="00301E75">
        <w:br/>
        <w:t xml:space="preserve">г-н </w:t>
      </w:r>
      <w:r w:rsidR="00596DB0" w:rsidRPr="00301E75">
        <w:t xml:space="preserve">Борислав Сарафов </w:t>
      </w:r>
      <w:proofErr w:type="spellStart"/>
      <w:r w:rsidRPr="00301E75">
        <w:t>email</w:t>
      </w:r>
      <w:proofErr w:type="spellEnd"/>
      <w:r w:rsidRPr="00301E75">
        <w:t xml:space="preserve">: </w:t>
      </w:r>
      <w:hyperlink r:id="rId14" w:history="1">
        <w:r w:rsidRPr="00301E75">
          <w:rPr>
            <w:rStyle w:val="Hyperlink"/>
          </w:rPr>
          <w:t>info@prb.bg</w:t>
        </w:r>
      </w:hyperlink>
    </w:p>
    <w:p w:rsidR="008C1457" w:rsidRPr="00301E75" w:rsidRDefault="008C1457" w:rsidP="00596DB0">
      <w:pPr>
        <w:pStyle w:val="NormalWeb"/>
        <w:ind w:left="3540"/>
        <w:jc w:val="both"/>
        <w:rPr>
          <w:b/>
        </w:rPr>
      </w:pPr>
      <w:r w:rsidRPr="00301E75">
        <w:rPr>
          <w:b/>
        </w:rPr>
        <w:lastRenderedPageBreak/>
        <w:t>До окръжните и районните прокурори</w:t>
      </w:r>
    </w:p>
    <w:p w:rsidR="008C1457" w:rsidRPr="00301E75" w:rsidRDefault="008C1457" w:rsidP="00596DB0">
      <w:pPr>
        <w:pStyle w:val="NormalWeb"/>
        <w:ind w:left="3540"/>
        <w:jc w:val="both"/>
        <w:rPr>
          <w:b/>
        </w:rPr>
      </w:pPr>
      <w:r w:rsidRPr="00301E75">
        <w:rPr>
          <w:b/>
        </w:rPr>
        <w:t>До средства та за масова информация</w:t>
      </w:r>
    </w:p>
    <w:p w:rsidR="008C1457" w:rsidRPr="00301E75" w:rsidRDefault="008C1457" w:rsidP="00596DB0">
      <w:pPr>
        <w:pStyle w:val="NormalWeb"/>
        <w:jc w:val="both"/>
      </w:pPr>
      <w:r w:rsidRPr="00301E75">
        <w:rPr>
          <w:b/>
        </w:rPr>
        <w:t xml:space="preserve">ОТ  г-жа </w:t>
      </w:r>
      <w:r w:rsidRPr="00301E75">
        <w:rPr>
          <w:rStyle w:val="xeuugli"/>
          <w:rFonts w:eastAsiaTheme="minorEastAsia"/>
          <w:b/>
        </w:rPr>
        <w:t>АЛБЕНА ГЕОРГИЕВА ПЕКОВА</w:t>
      </w:r>
      <w:r w:rsidRPr="00301E75">
        <w:rPr>
          <w:rStyle w:val="xeuugli"/>
          <w:rFonts w:eastAsiaTheme="minorEastAsia"/>
        </w:rPr>
        <w:t xml:space="preserve"> в качеството й на Председател и законен представител на ПОЛИТИЧЕСКА ПАРТИЯ „ВЕЛИЧИЕ“,  вписана по ф.д. 35/2023г. на VI-14 с-в на СГС в Регистъра на политическите партии по описа на Софийски градски</w:t>
      </w:r>
      <w:r w:rsidR="00B60E07">
        <w:rPr>
          <w:rStyle w:val="xeuugli"/>
          <w:rFonts w:eastAsiaTheme="minorEastAsia"/>
        </w:rPr>
        <w:t xml:space="preserve"> </w:t>
      </w:r>
      <w:r w:rsidRPr="00301E75">
        <w:rPr>
          <w:rStyle w:val="xeuugli"/>
          <w:rFonts w:eastAsiaTheme="minorEastAsia"/>
        </w:rPr>
        <w:t xml:space="preserve">съд, регистрирана с код по БУЛСТАТ 181001004 в Регистър Булстат към АВ </w:t>
      </w:r>
      <w:r w:rsidR="00B60E07">
        <w:rPr>
          <w:rStyle w:val="xeuugli"/>
          <w:rFonts w:eastAsiaTheme="minorEastAsia"/>
        </w:rPr>
        <w:t>чрез пълномощник</w:t>
      </w:r>
      <w:r w:rsidR="0001775A">
        <w:rPr>
          <w:rStyle w:val="xeuugli"/>
          <w:rFonts w:eastAsiaTheme="minorEastAsia"/>
        </w:rPr>
        <w:t>а</w:t>
      </w:r>
      <w:bookmarkStart w:id="0" w:name="_GoBack"/>
      <w:bookmarkEnd w:id="0"/>
      <w:r w:rsidR="00B60E07">
        <w:rPr>
          <w:rStyle w:val="xeuugli"/>
          <w:rFonts w:eastAsiaTheme="minorEastAsia"/>
        </w:rPr>
        <w:t xml:space="preserve"> си Стиляна Иванова </w:t>
      </w:r>
      <w:proofErr w:type="spellStart"/>
      <w:r w:rsidR="00B60E07">
        <w:rPr>
          <w:rStyle w:val="xeuugli"/>
          <w:rFonts w:eastAsiaTheme="minorEastAsia"/>
        </w:rPr>
        <w:t>Бобчева</w:t>
      </w:r>
      <w:proofErr w:type="spellEnd"/>
      <w:r w:rsidR="00B60E07">
        <w:rPr>
          <w:rStyle w:val="xeuugli"/>
          <w:rFonts w:eastAsiaTheme="minorEastAsia"/>
        </w:rPr>
        <w:t xml:space="preserve"> с квалифициран електронен подпис</w:t>
      </w:r>
      <w:r w:rsidRPr="00301E75">
        <w:rPr>
          <w:rStyle w:val="xeuugli"/>
          <w:rFonts w:eastAsiaTheme="minorEastAsia"/>
        </w:rPr>
        <w:t xml:space="preserve">, </w:t>
      </w:r>
      <w:proofErr w:type="spellStart"/>
      <w:r w:rsidRPr="00301E75">
        <w:rPr>
          <w:rStyle w:val="xeuugli"/>
          <w:rFonts w:eastAsiaTheme="minorEastAsia"/>
        </w:rPr>
        <w:t>mail</w:t>
      </w:r>
      <w:proofErr w:type="spellEnd"/>
      <w:r w:rsidRPr="00301E75">
        <w:rPr>
          <w:rStyle w:val="xeuugli"/>
          <w:rFonts w:eastAsiaTheme="minorEastAsia"/>
        </w:rPr>
        <w:t xml:space="preserve">: </w:t>
      </w:r>
      <w:hyperlink r:id="rId15" w:history="1">
        <w:r w:rsidRPr="00301E75">
          <w:rPr>
            <w:rStyle w:val="Hyperlink"/>
          </w:rPr>
          <w:t>office@velichie.bg</w:t>
        </w:r>
      </w:hyperlink>
      <w:r w:rsidRPr="00301E75">
        <w:rPr>
          <w:rStyle w:val="xeuugli"/>
          <w:rFonts w:eastAsiaTheme="minorEastAsia"/>
        </w:rPr>
        <w:t xml:space="preserve"> тел.: 0888804384</w:t>
      </w:r>
    </w:p>
    <w:p w:rsidR="008C1457" w:rsidRPr="00301E75" w:rsidRDefault="008C1457" w:rsidP="00596DB0">
      <w:pPr>
        <w:pStyle w:val="NormalWeb"/>
        <w:jc w:val="both"/>
      </w:pPr>
      <w:r w:rsidRPr="00301E75">
        <w:rPr>
          <w:rStyle w:val="Strong"/>
          <w:rFonts w:eastAsiaTheme="majorEastAsia"/>
        </w:rPr>
        <w:t>Относно: Изборни нарушения и отговорностите на Централната избирателна комисия (ЦИК)</w:t>
      </w:r>
      <w:r w:rsidRPr="00301E75">
        <w:t xml:space="preserve">  Изложението има за цел да обърне внимание на установените изборни нарушения по време на проведените избори за Народно събрание и Европейски парламент през 2024 година, както и да подчертае отговорностите на Централната избирателна комисия (ЦИК) за осигуряване на законосъобразност и прозрачност в изборния процес и да се отговори на поставените въпроси.</w:t>
      </w:r>
    </w:p>
    <w:p w:rsidR="008C1457" w:rsidRPr="00301E75" w:rsidRDefault="008C1457" w:rsidP="00596DB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1E75">
        <w:rPr>
          <w:rFonts w:ascii="Times New Roman" w:hAnsi="Times New Roman" w:cs="Times New Roman"/>
          <w:b/>
          <w:sz w:val="24"/>
          <w:szCs w:val="24"/>
          <w:lang w:val="bg-BG"/>
        </w:rPr>
        <w:t>УВАЖАЕМИ ГОСПОЖИ И ГОСПОДА ЧЛЕНОВЕ НА ЦИК,</w:t>
      </w:r>
    </w:p>
    <w:p w:rsidR="008C1457" w:rsidRPr="00301E75" w:rsidRDefault="008C1457" w:rsidP="00596DB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1E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СЪДИИ, </w:t>
      </w:r>
    </w:p>
    <w:p w:rsidR="008C1457" w:rsidRPr="00301E75" w:rsidRDefault="008C1457" w:rsidP="00596DB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1E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ГОСПОДИН ПРЕЗИДЕНТ, </w:t>
      </w:r>
    </w:p>
    <w:p w:rsidR="008C1457" w:rsidRPr="00301E75" w:rsidRDefault="008C1457" w:rsidP="00596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1E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 – ПРЕДСЕДАТЕЛ, </w:t>
      </w:r>
    </w:p>
    <w:p w:rsidR="008C1457" w:rsidRPr="00301E75" w:rsidRDefault="008C1457" w:rsidP="00596DB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1E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ПРЕДСЕДАТЕЛИ НА ПАРЛАМЕНТАРНИ ГРУПИ </w:t>
      </w:r>
      <w:r w:rsidRPr="00301E75">
        <w:rPr>
          <w:rFonts w:ascii="Times New Roman" w:hAnsi="Times New Roman" w:cs="Times New Roman"/>
          <w:b/>
          <w:sz w:val="24"/>
          <w:szCs w:val="24"/>
          <w:lang w:val="bg-BG"/>
        </w:rPr>
        <w:br/>
        <w:t>И ОТГОВОРНИ ДЛЪЖНОСТНИ ЛИЦА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основание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. 57, ал.1, т. 47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кодекс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Централната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„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извършва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анализ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проведените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внася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Народното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събрание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доклад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който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съдържа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предложения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усъвършенстване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изборното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законодателство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“.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извършена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справка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интернет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страницата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ЦИК (</w:t>
      </w:r>
      <w:r w:rsidRPr="00301E75">
        <w:rPr>
          <w:rFonts w:ascii="Times New Roman" w:hAnsi="Times New Roman" w:cs="Times New Roman"/>
          <w:sz w:val="24"/>
          <w:szCs w:val="28"/>
          <w:u w:val="single"/>
        </w:rPr>
        <w:t>www.cik.bg</w:t>
      </w:r>
      <w:r w:rsidRPr="00301E75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установихме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последните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доклади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изготвени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приети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: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Доклад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произведените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 xml:space="preserve">избори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2022 и 2023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приет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решение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протокол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13.07.2023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Доклад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произвеждане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общински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съветници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кметове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произведени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29.10.2023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установихме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Централната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извършила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анализ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приела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доклад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произведените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изминалата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Европейския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парламент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Република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България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събрание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09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юни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2024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  <w:lang w:val="bg-BG"/>
        </w:rPr>
        <w:t>, както</w:t>
      </w:r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 xml:space="preserve">доклад за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  <w:lang w:val="bg-BG"/>
        </w:rPr>
        <w:t>те</w:t>
      </w:r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събрание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27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октомври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2024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Анализът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произведените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съответно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изготвянето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доклад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основа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направения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анализ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съдържащ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препоръки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законодателя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усъвършенстване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законодателството</w:t>
      </w:r>
      <w:proofErr w:type="spellEnd"/>
      <w:r w:rsidRPr="00301E75">
        <w:rPr>
          <w:rFonts w:ascii="Times New Roman" w:hAnsi="Times New Roman" w:cs="Times New Roman"/>
          <w:sz w:val="24"/>
          <w:szCs w:val="28"/>
          <w:lang w:val="bg-BG"/>
        </w:rPr>
        <w:t>,</w:t>
      </w:r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има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смисъл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единствено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ако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той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изготвен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най-кратките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разумни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срокове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след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отчитане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резултатите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съответния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Още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повече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оглед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задаващите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нови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вероятността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отварянето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кодекс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звучи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все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по-актуално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1E75">
        <w:rPr>
          <w:rFonts w:ascii="Times New Roman" w:hAnsi="Times New Roman" w:cs="Times New Roman"/>
          <w:sz w:val="24"/>
          <w:szCs w:val="28"/>
        </w:rPr>
        <w:lastRenderedPageBreak/>
        <w:t xml:space="preserve">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изборите</w:t>
      </w:r>
      <w:proofErr w:type="spellEnd"/>
      <w:r w:rsidRPr="00301E75">
        <w:rPr>
          <w:rFonts w:ascii="Times New Roman" w:hAnsi="Times New Roman" w:cs="Times New Roman"/>
          <w:sz w:val="24"/>
          <w:szCs w:val="28"/>
          <w:lang w:val="bg-BG"/>
        </w:rPr>
        <w:t>,</w:t>
      </w:r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произведени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27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октомври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2024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станаха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обществено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достояние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бяха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показани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редица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закононарушения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страна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секционни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провокираха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общественото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недоволство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сринаха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доверието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>ния</w:t>
      </w:r>
      <w:proofErr w:type="spellEnd"/>
      <w:r w:rsidRPr="00301E75">
        <w:rPr>
          <w:rFonts w:ascii="Times New Roman" w:hAnsi="Times New Roman" w:cs="Times New Roman"/>
          <w:sz w:val="24"/>
          <w:szCs w:val="28"/>
          <w:lang w:val="bg-BG"/>
        </w:rPr>
        <w:t xml:space="preserve"> процес</w:t>
      </w:r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доведоха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оспорване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резултати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Конституционния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pStyle w:val="Heading2"/>
        <w:spacing w:line="240" w:lineRule="auto"/>
        <w:jc w:val="both"/>
        <w:rPr>
          <w:rFonts w:ascii="Times New Roman" w:hAnsi="Times New Roman"/>
          <w:color w:val="auto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основание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изложеното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по-горе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моля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да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бъде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отговорено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писмено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следните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въпроси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>:</w:t>
      </w:r>
    </w:p>
    <w:p w:rsidR="00301E75" w:rsidRPr="00301E75" w:rsidRDefault="00301E75" w:rsidP="00301E75">
      <w:pPr>
        <w:spacing w:line="240" w:lineRule="auto"/>
        <w:rPr>
          <w:rFonts w:ascii="Times New Roman" w:hAnsi="Times New Roman" w:cs="Times New Roman"/>
          <w:sz w:val="20"/>
          <w:lang w:val="bg-BG"/>
        </w:rPr>
      </w:pP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Смята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Централната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изготви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анализ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произведените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Европейския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парламент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Република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България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събрание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09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юни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2024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събрание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27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октомври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2024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какви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срокове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?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Как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ще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бъде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оповестен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анализът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медиите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?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извършената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справка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интернет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страницата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ЦИК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установихме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образувани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административно-наказателни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производства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отношение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председателите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секционни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имало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видеоизлъчване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отношение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където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имало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видеоизлъчване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него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видно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нарушават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права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гражданите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Ето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защо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моля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отговорите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какви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административни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административно-наказателни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мерки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предприети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отношение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секционни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записите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видео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наблюдението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деня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вижда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как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подправят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резултати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диктовката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външни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лица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взаимно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споразумение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както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правят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недействителни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действителните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гласове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Има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образувани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административно-наказателни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наказателни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производства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срещу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секционни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сезирана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Прокуратурата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Република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България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страна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Централната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извършени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престъпления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?</w:t>
      </w:r>
    </w:p>
    <w:p w:rsidR="00301E75" w:rsidRPr="00301E75" w:rsidRDefault="00301E75" w:rsidP="00301E7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Във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връзка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проведените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27.10.2024 г.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представители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>51</w:t>
      </w:r>
      <w:r w:rsidRPr="00301E75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Народно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събрание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моля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бъде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предоставена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подробна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информация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относно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замени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секционни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(СИК)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време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ден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както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всички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свързани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обстоятелства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засягащи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Централната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комисия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pStyle w:val="Heading3"/>
        <w:spacing w:line="240" w:lineRule="auto"/>
        <w:ind w:firstLine="720"/>
        <w:jc w:val="both"/>
        <w:rPr>
          <w:rFonts w:ascii="Times New Roman" w:hAnsi="Times New Roman"/>
          <w:color w:val="auto"/>
          <w:sz w:val="24"/>
          <w:szCs w:val="28"/>
        </w:rPr>
      </w:pP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Правно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основание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>:</w:t>
      </w:r>
      <w:r w:rsidRPr="00301E75">
        <w:rPr>
          <w:rFonts w:ascii="Times New Roman" w:hAnsi="Times New Roman"/>
          <w:color w:val="auto"/>
          <w:sz w:val="24"/>
          <w:szCs w:val="28"/>
          <w:lang w:val="bg-BG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Молбата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е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основана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Изборния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кодекс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който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изисква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прозрачност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спазване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демократичните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принципи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провеждането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изборния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процес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както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съответните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законови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разпоредби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гарантиращи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равнопоставеност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защита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правата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избирателите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>.</w:t>
      </w:r>
    </w:p>
    <w:p w:rsidR="00301E75" w:rsidRPr="00301E75" w:rsidRDefault="00301E75" w:rsidP="00301E75">
      <w:pPr>
        <w:pStyle w:val="Heading3"/>
        <w:spacing w:line="240" w:lineRule="auto"/>
        <w:ind w:firstLine="720"/>
        <w:jc w:val="both"/>
        <w:rPr>
          <w:rFonts w:ascii="Times New Roman" w:hAnsi="Times New Roman"/>
          <w:color w:val="auto"/>
          <w:sz w:val="24"/>
          <w:szCs w:val="28"/>
        </w:rPr>
      </w:pP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Мотиви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>: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Установени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съществени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нарушения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свързани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със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замени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СИК,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поставят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съмнение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легитимността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процес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2.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документите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видеоматериали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изследвани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експерти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наблюдават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несъответствия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необосновани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размествания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водещи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съмнения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целенасочени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манипулации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Честото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заменяне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СИК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непосредствено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 xml:space="preserve">и в самия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избор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>ен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ден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води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липса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прозрачност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е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индикация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потенциални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опити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неправомерно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въздействие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върху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вота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pStyle w:val="Heading3"/>
        <w:spacing w:line="240" w:lineRule="auto"/>
        <w:ind w:firstLine="720"/>
        <w:jc w:val="both"/>
        <w:rPr>
          <w:rFonts w:ascii="Times New Roman" w:hAnsi="Times New Roman"/>
          <w:color w:val="auto"/>
          <w:sz w:val="24"/>
          <w:szCs w:val="28"/>
          <w:lang w:val="bg-BG"/>
        </w:rPr>
      </w:pPr>
      <w:r w:rsidRPr="00301E75">
        <w:rPr>
          <w:rFonts w:ascii="Times New Roman" w:hAnsi="Times New Roman"/>
          <w:color w:val="auto"/>
          <w:sz w:val="24"/>
          <w:szCs w:val="28"/>
          <w:lang w:val="bg-BG"/>
        </w:rPr>
        <w:lastRenderedPageBreak/>
        <w:t>В това число отправяме и следното и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скане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>:</w:t>
      </w:r>
      <w:r w:rsidRPr="00301E75">
        <w:rPr>
          <w:rFonts w:ascii="Times New Roman" w:hAnsi="Times New Roman"/>
          <w:color w:val="auto"/>
          <w:sz w:val="24"/>
          <w:szCs w:val="28"/>
          <w:lang w:val="bg-BG"/>
        </w:rPr>
        <w:t>с</w:t>
      </w:r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оглед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гореизложеното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моля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да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бъде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предоставена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следната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информация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color w:val="auto"/>
          <w:sz w:val="24"/>
          <w:szCs w:val="28"/>
        </w:rPr>
        <w:t>от</w:t>
      </w:r>
      <w:proofErr w:type="spellEnd"/>
      <w:r w:rsidRPr="00301E75">
        <w:rPr>
          <w:rFonts w:ascii="Times New Roman" w:hAnsi="Times New Roman"/>
          <w:color w:val="auto"/>
          <w:sz w:val="24"/>
          <w:szCs w:val="28"/>
        </w:rPr>
        <w:t xml:space="preserve"> ЦИК:</w:t>
      </w:r>
    </w:p>
    <w:p w:rsidR="00301E75" w:rsidRPr="00301E75" w:rsidRDefault="00301E75" w:rsidP="00301E75">
      <w:pPr>
        <w:pStyle w:val="NormalWeb"/>
        <w:numPr>
          <w:ilvl w:val="0"/>
          <w:numId w:val="3"/>
        </w:numPr>
        <w:jc w:val="both"/>
        <w:rPr>
          <w:szCs w:val="28"/>
        </w:rPr>
      </w:pPr>
      <w:r w:rsidRPr="00301E75">
        <w:rPr>
          <w:szCs w:val="28"/>
        </w:rPr>
        <w:t>Настояваме Централната избирателна комисия да изготви анализ на проведените избори за членове на Европейския парламент от Република България и за Народно събрание на 09 юни 2024 година, както и за изборите за Народно събрание на 27 октомври 2024 година. Анализът следва да бъде представен в разумни срокове пред Народното събрание, като включва всички установени нередности и препоръки за промени в изборното законодателство, за което ЦИК дължи обяснение за забавата и отказа от задължение да го направи.</w:t>
      </w:r>
    </w:p>
    <w:p w:rsidR="00301E75" w:rsidRPr="00301E75" w:rsidRDefault="00301E75" w:rsidP="00301E75">
      <w:pPr>
        <w:pStyle w:val="NormalWeb"/>
        <w:numPr>
          <w:ilvl w:val="0"/>
          <w:numId w:val="3"/>
        </w:numPr>
        <w:jc w:val="both"/>
        <w:rPr>
          <w:szCs w:val="28"/>
        </w:rPr>
      </w:pPr>
      <w:r w:rsidRPr="00301E75">
        <w:rPr>
          <w:szCs w:val="28"/>
        </w:rPr>
        <w:t>Настояваме за публично оповестяване на анализа пред медиите и широката общественост.</w:t>
      </w:r>
    </w:p>
    <w:p w:rsidR="00301E75" w:rsidRPr="00301E75" w:rsidRDefault="00301E75" w:rsidP="00301E75">
      <w:pPr>
        <w:pStyle w:val="NormalWeb"/>
        <w:numPr>
          <w:ilvl w:val="0"/>
          <w:numId w:val="3"/>
        </w:numPr>
        <w:jc w:val="both"/>
        <w:rPr>
          <w:szCs w:val="28"/>
        </w:rPr>
      </w:pPr>
      <w:r w:rsidRPr="00301E75">
        <w:rPr>
          <w:szCs w:val="28"/>
        </w:rPr>
        <w:t>Изискваме информация относно административните и административно-наказателни мерки, предприети по отношение на членовете на секционните избирателни комисии, за които от записите на видеонаблюдението в изборния ден се вижда, че подправят изборни резултати, правят недействителни действителни гласове или нарушават изборните права на гражданите, брой жалби заведени в прокуратурата, образувани досъдебни производства и какво съдействие е оказала ЦИК на разследващите органи по тези казуси.</w:t>
      </w:r>
    </w:p>
    <w:p w:rsidR="00301E75" w:rsidRPr="00301E75" w:rsidRDefault="00301E75" w:rsidP="00301E75">
      <w:pPr>
        <w:pStyle w:val="NormalWeb"/>
        <w:numPr>
          <w:ilvl w:val="0"/>
          <w:numId w:val="3"/>
        </w:numPr>
        <w:jc w:val="both"/>
        <w:rPr>
          <w:szCs w:val="28"/>
        </w:rPr>
      </w:pPr>
      <w:r w:rsidRPr="00301E75">
        <w:rPr>
          <w:szCs w:val="28"/>
        </w:rPr>
        <w:t>Настояваме да бъде предоставена информация дали прокуратурата е сезирана за извършени престъпления от страна на членове на секционни комисии, по принцип за установените и чрез жалбите подадени по електронен път сигнали в изборния ден, както и за тези, по които е взето или не е взето становище в самия изборен ден.</w:t>
      </w:r>
    </w:p>
    <w:p w:rsidR="00301E75" w:rsidRPr="00301E75" w:rsidRDefault="00301E75" w:rsidP="00301E75">
      <w:pPr>
        <w:pStyle w:val="NormalWeb"/>
        <w:numPr>
          <w:ilvl w:val="0"/>
          <w:numId w:val="3"/>
        </w:numPr>
        <w:jc w:val="both"/>
        <w:rPr>
          <w:szCs w:val="28"/>
        </w:rPr>
      </w:pPr>
      <w:r w:rsidRPr="00301E75">
        <w:rPr>
          <w:szCs w:val="28"/>
        </w:rPr>
        <w:t>Да ни се предостави информация, за задължението на ЦИК да проследи съхранението на изборните книжа, върнатите протоколи от съответното запечатване, окомплектоване на книжата и тяхното надлежно съхранение от местната власт, кога и по какъв начин е осъществен контрола на тази дейност от ЦИК.</w:t>
      </w:r>
    </w:p>
    <w:p w:rsidR="00301E75" w:rsidRPr="00301E75" w:rsidRDefault="00301E75" w:rsidP="00301E75">
      <w:pPr>
        <w:pStyle w:val="NormalWeb"/>
        <w:jc w:val="both"/>
        <w:rPr>
          <w:szCs w:val="28"/>
        </w:rPr>
      </w:pPr>
      <w:r w:rsidRPr="00301E75">
        <w:rPr>
          <w:rStyle w:val="Strong"/>
          <w:szCs w:val="28"/>
        </w:rPr>
        <w:t>Нарушения:</w:t>
      </w:r>
      <w:r w:rsidRPr="00301E75">
        <w:rPr>
          <w:szCs w:val="28"/>
        </w:rPr>
        <w:t xml:space="preserve"> Установяват се значителни нарушения при организацията и провеждането на изборите, включително:</w:t>
      </w:r>
    </w:p>
    <w:p w:rsidR="00301E75" w:rsidRPr="00301E75" w:rsidRDefault="00301E75" w:rsidP="00301E75">
      <w:pPr>
        <w:pStyle w:val="NormalWeb"/>
        <w:jc w:val="both"/>
        <w:rPr>
          <w:szCs w:val="28"/>
        </w:rPr>
      </w:pPr>
      <w:r w:rsidRPr="00301E75">
        <w:rPr>
          <w:b/>
          <w:szCs w:val="28"/>
        </w:rPr>
        <w:t>Масово несъответствие в избирателните списъци,</w:t>
      </w:r>
      <w:r w:rsidRPr="00301E75">
        <w:rPr>
          <w:szCs w:val="28"/>
        </w:rPr>
        <w:t xml:space="preserve"> включително присъствие на починали лица и граждани, които са подали заявления за гласуване в чужбина.</w:t>
      </w:r>
    </w:p>
    <w:p w:rsidR="00301E75" w:rsidRPr="00301E75" w:rsidRDefault="00301E75" w:rsidP="00301E75">
      <w:pPr>
        <w:pStyle w:val="NormalWeb"/>
        <w:jc w:val="both"/>
        <w:rPr>
          <w:szCs w:val="28"/>
        </w:rPr>
      </w:pPr>
      <w:r w:rsidRPr="00301E75">
        <w:rPr>
          <w:b/>
          <w:szCs w:val="28"/>
        </w:rPr>
        <w:t xml:space="preserve">Образуване на избирателни секции </w:t>
      </w:r>
      <w:r w:rsidRPr="00301E75">
        <w:rPr>
          <w:szCs w:val="28"/>
        </w:rPr>
        <w:t>в противоречие с изискванията на закона, включително необосновано голям брой секции в райони с ниска избирателна активност.</w:t>
      </w:r>
    </w:p>
    <w:p w:rsidR="00301E75" w:rsidRPr="00301E75" w:rsidRDefault="00301E75" w:rsidP="00301E75">
      <w:pPr>
        <w:pStyle w:val="NormalWeb"/>
        <w:jc w:val="both"/>
        <w:rPr>
          <w:szCs w:val="28"/>
        </w:rPr>
      </w:pPr>
      <w:r w:rsidRPr="00301E75">
        <w:rPr>
          <w:b/>
          <w:szCs w:val="28"/>
        </w:rPr>
        <w:t>Неправомерни действия от страна</w:t>
      </w:r>
      <w:r w:rsidRPr="00301E75">
        <w:rPr>
          <w:szCs w:val="28"/>
        </w:rPr>
        <w:t xml:space="preserve"> на членове на секционните избирателни комисии, включително подправяне на протоколи, манипулиране и неправилно обявяване на недействителни бюлетини.</w:t>
      </w:r>
    </w:p>
    <w:p w:rsidR="00301E75" w:rsidRPr="00301E75" w:rsidRDefault="00301E75" w:rsidP="00301E75">
      <w:pPr>
        <w:pStyle w:val="NormalWeb"/>
        <w:jc w:val="both"/>
        <w:rPr>
          <w:szCs w:val="28"/>
        </w:rPr>
      </w:pPr>
      <w:r w:rsidRPr="00301E75">
        <w:rPr>
          <w:b/>
          <w:szCs w:val="28"/>
        </w:rPr>
        <w:t>Неизпълнение на задължението за видеонаблюдение</w:t>
      </w:r>
      <w:r w:rsidRPr="00301E75">
        <w:rPr>
          <w:szCs w:val="28"/>
        </w:rPr>
        <w:t xml:space="preserve"> в секции и липса на действия спрямо заснетите нарушения в секции, където е имало видеонаблюдение.</w:t>
      </w:r>
    </w:p>
    <w:p w:rsidR="00301E75" w:rsidRPr="00301E75" w:rsidRDefault="00301E75" w:rsidP="00301E75">
      <w:pPr>
        <w:pStyle w:val="NormalWeb"/>
        <w:ind w:firstLine="720"/>
        <w:jc w:val="both"/>
        <w:rPr>
          <w:b/>
          <w:szCs w:val="28"/>
        </w:rPr>
      </w:pPr>
      <w:r w:rsidRPr="00301E75">
        <w:rPr>
          <w:b/>
          <w:szCs w:val="28"/>
        </w:rPr>
        <w:t>Във връзка с което отправяме допълнителни искания :</w:t>
      </w:r>
    </w:p>
    <w:p w:rsidR="00301E75" w:rsidRPr="00301E75" w:rsidRDefault="00301E75" w:rsidP="00301E75">
      <w:pPr>
        <w:pStyle w:val="Heading3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lastRenderedPageBreak/>
        <w:t>Пълен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списък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извършените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замени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СИК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преди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по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време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изборите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27.10.2024 г.</w:t>
      </w:r>
      <w:r w:rsidRPr="00301E75">
        <w:rPr>
          <w:rFonts w:ascii="Times New Roman" w:hAnsi="Times New Roman"/>
          <w:b w:val="0"/>
          <w:color w:val="auto"/>
          <w:sz w:val="24"/>
          <w:szCs w:val="28"/>
          <w:lang w:val="bg-BG"/>
        </w:rPr>
        <w:t>, законовото основание за тяхното извършване, както и какви мерки и контрол е осъществила ЦИК на тези масови замени, кои и с какви актове тези замени са били санкционирани и отменени, като РИК няма правното основание да се произнася по тези замени в деня предхождащ изборите и в изборния ден.</w:t>
      </w:r>
    </w:p>
    <w:p w:rsidR="00301E75" w:rsidRPr="00301E75" w:rsidRDefault="00301E75" w:rsidP="00301E75">
      <w:pPr>
        <w:pStyle w:val="Heading3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Причините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за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извършените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замени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предоставените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основания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за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всяка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от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тях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>.</w:t>
      </w:r>
    </w:p>
    <w:p w:rsidR="00301E75" w:rsidRPr="00F91E56" w:rsidRDefault="00301E75" w:rsidP="00F91E56">
      <w:pPr>
        <w:pStyle w:val="Heading3"/>
        <w:spacing w:line="240" w:lineRule="auto"/>
        <w:jc w:val="both"/>
        <w:rPr>
          <w:rFonts w:ascii="Times New Roman" w:hAnsi="Times New Roman"/>
          <w:b w:val="0"/>
          <w:color w:val="auto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Всякакви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други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данни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обстоятелства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засягащи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процеса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назначаване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замяна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членове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/>
          <w:b w:val="0"/>
          <w:color w:val="auto"/>
          <w:sz w:val="24"/>
          <w:szCs w:val="28"/>
        </w:rPr>
        <w:t>на</w:t>
      </w:r>
      <w:proofErr w:type="spellEnd"/>
      <w:r w:rsidRPr="00301E75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  <w:r w:rsidRPr="00F91E56">
        <w:rPr>
          <w:rFonts w:ascii="Times New Roman" w:hAnsi="Times New Roman"/>
          <w:b w:val="0"/>
          <w:color w:val="auto"/>
          <w:sz w:val="24"/>
          <w:szCs w:val="28"/>
        </w:rPr>
        <w:t>СИК.</w:t>
      </w:r>
      <w:r w:rsidR="00F91E56" w:rsidRPr="00F91E56">
        <w:rPr>
          <w:rFonts w:ascii="Times New Roman" w:hAnsi="Times New Roman"/>
          <w:b w:val="0"/>
          <w:color w:val="auto"/>
          <w:sz w:val="24"/>
          <w:szCs w:val="28"/>
          <w:lang w:val="bg-BG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Събраните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документи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заявления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образуване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подвижни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избирателни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секции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последните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три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изборни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цикъла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включително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броя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подадените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заявления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общата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бройка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разкритите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подвижни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секции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региони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>.</w:t>
      </w:r>
      <w:r w:rsidR="00F91E56" w:rsidRPr="00F91E56">
        <w:rPr>
          <w:rFonts w:ascii="Times New Roman" w:hAnsi="Times New Roman"/>
          <w:color w:val="auto"/>
          <w:sz w:val="24"/>
          <w:szCs w:val="28"/>
          <w:lang w:val="bg-BG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Мерките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контрол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и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проверка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достоверността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подадените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заявления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за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гласуване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чрез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подвижни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секции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особено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отношение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удостоверяването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уврежданията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които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позволяват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напускане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на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/>
          <w:color w:val="auto"/>
          <w:sz w:val="24"/>
          <w:szCs w:val="28"/>
        </w:rPr>
        <w:t>дома</w:t>
      </w:r>
      <w:proofErr w:type="spellEnd"/>
      <w:r w:rsidRPr="00F91E56">
        <w:rPr>
          <w:rFonts w:ascii="Times New Roman" w:hAnsi="Times New Roman"/>
          <w:color w:val="auto"/>
          <w:sz w:val="24"/>
          <w:szCs w:val="28"/>
        </w:rPr>
        <w:t>.</w:t>
      </w:r>
    </w:p>
    <w:p w:rsidR="00F91E56" w:rsidRDefault="00F91E56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</w:p>
    <w:p w:rsidR="00301E75" w:rsidRPr="00F91E56" w:rsidRDefault="00301E75" w:rsidP="00301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Констатирани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случаи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на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нарушения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при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използването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на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подвижни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избирателни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секции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Pr="00F91E56">
        <w:rPr>
          <w:rFonts w:ascii="Times New Roman" w:hAnsi="Times New Roman" w:cs="Times New Roman"/>
          <w:b/>
          <w:sz w:val="24"/>
          <w:szCs w:val="28"/>
        </w:rPr>
        <w:t>включително</w:t>
      </w:r>
      <w:proofErr w:type="spellEnd"/>
      <w:r w:rsidRPr="00F91E56">
        <w:rPr>
          <w:rFonts w:ascii="Times New Roman" w:hAnsi="Times New Roman" w:cs="Times New Roman"/>
          <w:b/>
          <w:sz w:val="24"/>
          <w:szCs w:val="28"/>
        </w:rPr>
        <w:t>:</w:t>
      </w:r>
    </w:p>
    <w:p w:rsidR="00301E75" w:rsidRPr="00301E75" w:rsidRDefault="00301E75" w:rsidP="00301E7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   -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Гласуване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лица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нямат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правото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възползват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този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метод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301E7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   -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Подадени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заявления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фалшиви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подписи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други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нарушения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документите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F91E56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  <w:lang w:val="bg-BG"/>
        </w:rPr>
        <w:t xml:space="preserve">        - 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Разследвания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предприети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мерки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предотвратяване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злоупотреби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F91E56" w:rsidRDefault="00301E75" w:rsidP="00301E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Актуални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насоки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указания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издадени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ЦИК,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гарантиране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законосъобразността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прозрачността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процедурите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свързани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подвижните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секции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301E75" w:rsidRPr="00301E75" w:rsidRDefault="00301E75" w:rsidP="00F91E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Настоящата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молба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подава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духа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прозрачност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цел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гарантиране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доверие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избирателния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процес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съобразно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принципите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демокрацията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върховенството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закона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.</w:t>
      </w:r>
    </w:p>
    <w:p w:rsidR="00F91E56" w:rsidRDefault="00301E75" w:rsidP="00F91E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  <w:lang w:val="bg-BG"/>
        </w:rPr>
        <w:t>На база на анализираните нарушения в предоставения текст споделям с Вас видео материал в подкрепа на гореизложеното.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ab/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</w:p>
    <w:p w:rsidR="00F91E56" w:rsidRDefault="00301E75" w:rsidP="00F91E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  <w:lang w:val="bg-BG"/>
        </w:rPr>
        <w:t>Видео материалите можете да гледате тук: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ab/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16" w:history="1">
        <w:r w:rsidRPr="00301E75">
          <w:rPr>
            <w:rStyle w:val="Hyperlink"/>
            <w:rFonts w:ascii="Times New Roman" w:hAnsi="Times New Roman" w:cs="Times New Roman"/>
            <w:sz w:val="24"/>
            <w:szCs w:val="28"/>
            <w:lang w:val="bg-BG"/>
          </w:rPr>
          <w:t>https://vidko.net/en/video/watch/W4azslKNgdID6jOT2Hwf</w:t>
        </w:r>
      </w:hyperlink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17" w:history="1">
        <w:r w:rsidRPr="00301E75">
          <w:rPr>
            <w:rStyle w:val="Hyperlink"/>
            <w:rFonts w:ascii="Times New Roman" w:hAnsi="Times New Roman" w:cs="Times New Roman"/>
            <w:sz w:val="24"/>
            <w:szCs w:val="28"/>
            <w:lang w:val="bg-BG"/>
          </w:rPr>
          <w:t>https://vidko.net/en/video/watch/FfHdcDCYqp4zsAuS9i2k</w:t>
        </w:r>
      </w:hyperlink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18" w:history="1">
        <w:r w:rsidRPr="00301E75">
          <w:rPr>
            <w:rStyle w:val="Hyperlink"/>
            <w:rFonts w:ascii="Times New Roman" w:hAnsi="Times New Roman" w:cs="Times New Roman"/>
            <w:sz w:val="24"/>
            <w:szCs w:val="28"/>
            <w:lang w:val="bg-BG"/>
          </w:rPr>
          <w:t>https://vidko.net/en/video/watch/jw5lyIoz4F2EHUtxe8Kc</w:t>
        </w:r>
      </w:hyperlink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19" w:history="1">
        <w:r w:rsidRPr="00301E75">
          <w:rPr>
            <w:rStyle w:val="Hyperlink"/>
            <w:rFonts w:ascii="Times New Roman" w:hAnsi="Times New Roman" w:cs="Times New Roman"/>
            <w:sz w:val="24"/>
            <w:szCs w:val="28"/>
            <w:lang w:val="bg-BG"/>
          </w:rPr>
          <w:t>https://vidko.net/en/video/watch/HrjE15230bsdoqUym8eI</w:t>
        </w:r>
      </w:hyperlink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20" w:history="1">
        <w:r w:rsidRPr="00301E75">
          <w:rPr>
            <w:rStyle w:val="Hyperlink"/>
            <w:rFonts w:ascii="Times New Roman" w:hAnsi="Times New Roman" w:cs="Times New Roman"/>
            <w:sz w:val="24"/>
            <w:szCs w:val="28"/>
            <w:lang w:val="bg-BG"/>
          </w:rPr>
          <w:t>https://vidko.net/en/video/watch/W0crumZq52zv9eVIHJis</w:t>
        </w:r>
      </w:hyperlink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21" w:history="1">
        <w:r w:rsidRPr="00301E75">
          <w:rPr>
            <w:rStyle w:val="Hyperlink"/>
            <w:rFonts w:ascii="Times New Roman" w:hAnsi="Times New Roman" w:cs="Times New Roman"/>
            <w:sz w:val="24"/>
            <w:szCs w:val="28"/>
            <w:lang w:val="bg-BG"/>
          </w:rPr>
          <w:t>https://vidko.net/en/video/watch/BCWOepsnt3YgukINbJam</w:t>
        </w:r>
      </w:hyperlink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</w:p>
    <w:p w:rsidR="00301E75" w:rsidRPr="00301E75" w:rsidRDefault="00301E75" w:rsidP="00F91E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  <w:lang w:val="bg-BG"/>
        </w:rPr>
        <w:t>Желая да получавам кореспонденцията си с Вас на следния електронен адрес: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  <w:hyperlink r:id="rId22" w:history="1">
        <w:r w:rsidRPr="00301E75">
          <w:rPr>
            <w:rStyle w:val="Hyperlink"/>
            <w:rFonts w:ascii="Times New Roman" w:hAnsi="Times New Roman" w:cs="Times New Roman"/>
            <w:sz w:val="24"/>
            <w:szCs w:val="24"/>
          </w:rPr>
          <w:t>office@velichie.bg</w:t>
        </w:r>
      </w:hyperlink>
    </w:p>
    <w:p w:rsidR="00301E75" w:rsidRPr="00301E75" w:rsidRDefault="00301E75" w:rsidP="00301E75">
      <w:pPr>
        <w:spacing w:line="240" w:lineRule="auto"/>
        <w:rPr>
          <w:rFonts w:ascii="Times New Roman" w:hAnsi="Times New Roman" w:cs="Times New Roman"/>
          <w:sz w:val="24"/>
          <w:szCs w:val="28"/>
          <w:lang w:val="bg-BG"/>
        </w:rPr>
      </w:pPr>
    </w:p>
    <w:p w:rsidR="00596DB0" w:rsidRPr="00301E75" w:rsidRDefault="00301E75" w:rsidP="00301E75">
      <w:pPr>
        <w:spacing w:line="240" w:lineRule="auto"/>
        <w:rPr>
          <w:rFonts w:ascii="Times New Roman" w:hAnsi="Times New Roman" w:cs="Times New Roman"/>
          <w:sz w:val="20"/>
          <w:lang w:val="bg-BG"/>
        </w:rPr>
      </w:pPr>
      <w:r w:rsidRPr="00301E75">
        <w:rPr>
          <w:rFonts w:ascii="Times New Roman" w:hAnsi="Times New Roman" w:cs="Times New Roman"/>
          <w:sz w:val="24"/>
          <w:szCs w:val="28"/>
        </w:rPr>
        <w:t xml:space="preserve">С </w:t>
      </w:r>
      <w:proofErr w:type="spellStart"/>
      <w:r w:rsidRPr="00301E75">
        <w:rPr>
          <w:rFonts w:ascii="Times New Roman" w:hAnsi="Times New Roman" w:cs="Times New Roman"/>
          <w:sz w:val="24"/>
          <w:szCs w:val="28"/>
        </w:rPr>
        <w:t>уважение</w:t>
      </w:r>
      <w:proofErr w:type="spellEnd"/>
      <w:r w:rsidRPr="00301E75">
        <w:rPr>
          <w:rFonts w:ascii="Times New Roman" w:hAnsi="Times New Roman" w:cs="Times New Roman"/>
          <w:sz w:val="24"/>
          <w:szCs w:val="28"/>
        </w:rPr>
        <w:t>:</w:t>
      </w:r>
      <w:r w:rsidRPr="00301E75">
        <w:rPr>
          <w:rFonts w:ascii="Times New Roman" w:hAnsi="Times New Roman" w:cs="Times New Roman"/>
          <w:sz w:val="24"/>
          <w:szCs w:val="28"/>
        </w:rPr>
        <w:br/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t>Албена Пекова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  <w:t>Председател на ПП Величие</w:t>
      </w:r>
      <w:r w:rsidRPr="00301E75">
        <w:rPr>
          <w:rFonts w:ascii="Times New Roman" w:hAnsi="Times New Roman" w:cs="Times New Roman"/>
          <w:sz w:val="24"/>
          <w:szCs w:val="28"/>
          <w:lang w:val="bg-BG"/>
        </w:rPr>
        <w:br/>
      </w:r>
    </w:p>
    <w:sectPr w:rsidR="00596DB0" w:rsidRPr="00301E75" w:rsidSect="00301E75">
      <w:footerReference w:type="default" r:id="rId23"/>
      <w:pgSz w:w="11906" w:h="16838"/>
      <w:pgMar w:top="1135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5D" w:rsidRDefault="00AD035D" w:rsidP="000F3452">
      <w:pPr>
        <w:spacing w:after="0" w:line="240" w:lineRule="auto"/>
      </w:pPr>
      <w:r>
        <w:separator/>
      </w:r>
    </w:p>
  </w:endnote>
  <w:endnote w:type="continuationSeparator" w:id="0">
    <w:p w:rsidR="00AD035D" w:rsidRDefault="00AD035D" w:rsidP="000F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751"/>
      <w:docPartObj>
        <w:docPartGallery w:val="Page Numbers (Bottom of Page)"/>
        <w:docPartUnique/>
      </w:docPartObj>
    </w:sdtPr>
    <w:sdtEndPr/>
    <w:sdtContent>
      <w:p w:rsidR="000F3452" w:rsidRDefault="00AD03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452" w:rsidRDefault="000F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5D" w:rsidRDefault="00AD035D" w:rsidP="000F3452">
      <w:pPr>
        <w:spacing w:after="0" w:line="240" w:lineRule="auto"/>
      </w:pPr>
      <w:r>
        <w:separator/>
      </w:r>
    </w:p>
  </w:footnote>
  <w:footnote w:type="continuationSeparator" w:id="0">
    <w:p w:rsidR="00AD035D" w:rsidRDefault="00AD035D" w:rsidP="000F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7D72"/>
    <w:multiLevelType w:val="hybridMultilevel"/>
    <w:tmpl w:val="59928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84B"/>
    <w:multiLevelType w:val="multilevel"/>
    <w:tmpl w:val="8882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F3AE4"/>
    <w:multiLevelType w:val="hybridMultilevel"/>
    <w:tmpl w:val="D1B81A6A"/>
    <w:lvl w:ilvl="0" w:tplc="BC9C4A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7"/>
    <w:rsid w:val="0001775A"/>
    <w:rsid w:val="000F3452"/>
    <w:rsid w:val="00301E75"/>
    <w:rsid w:val="00596DB0"/>
    <w:rsid w:val="008C1457"/>
    <w:rsid w:val="00AD035D"/>
    <w:rsid w:val="00B557B1"/>
    <w:rsid w:val="00B60E07"/>
    <w:rsid w:val="00B876D0"/>
    <w:rsid w:val="00CC7118"/>
    <w:rsid w:val="00D00005"/>
    <w:rsid w:val="00D0293F"/>
    <w:rsid w:val="00D61B17"/>
    <w:rsid w:val="00DB2585"/>
    <w:rsid w:val="00F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706E"/>
  <w15:docId w15:val="{1CD5AA27-2EA3-475D-938A-DE23DE71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457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E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E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1457"/>
    <w:rPr>
      <w:b/>
      <w:bCs/>
    </w:rPr>
  </w:style>
  <w:style w:type="paragraph" w:styleId="NormalWeb">
    <w:name w:val="Normal (Web)"/>
    <w:basedOn w:val="Normal"/>
    <w:uiPriority w:val="99"/>
    <w:unhideWhenUsed/>
    <w:rsid w:val="008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C1457"/>
    <w:rPr>
      <w:color w:val="0000FF" w:themeColor="hyperlink"/>
      <w:u w:val="single"/>
    </w:rPr>
  </w:style>
  <w:style w:type="character" w:customStyle="1" w:styleId="xeuugli">
    <w:name w:val="xeuugli"/>
    <w:basedOn w:val="DefaultParagraphFont"/>
    <w:rsid w:val="008C1457"/>
  </w:style>
  <w:style w:type="paragraph" w:styleId="ListParagraph">
    <w:name w:val="List Paragraph"/>
    <w:basedOn w:val="Normal"/>
    <w:uiPriority w:val="34"/>
    <w:qFormat/>
    <w:rsid w:val="00D00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45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52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1E7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01E75"/>
    <w:rPr>
      <w:rFonts w:ascii="Cambria" w:eastAsia="Times New Roman" w:hAnsi="Cambria" w:cs="Times New Roman"/>
      <w:b/>
      <w:bCs/>
      <w:color w:val="4F81B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onstcourt.bg" TargetMode="External"/><Relationship Id="rId13" Type="http://schemas.openxmlformats.org/officeDocument/2006/relationships/hyperlink" Target="mailto:infocenter@parliament.bg" TargetMode="External"/><Relationship Id="rId18" Type="http://schemas.openxmlformats.org/officeDocument/2006/relationships/hyperlink" Target="https://vidko.net/en/video/watch/jw5lyIoz4F2EHUtxe8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ko.net/en/video/watch/BCWOepsnt3YgukINbJam" TargetMode="External"/><Relationship Id="rId7" Type="http://schemas.openxmlformats.org/officeDocument/2006/relationships/hyperlink" Target="mailto:cik@cik.bg" TargetMode="External"/><Relationship Id="rId12" Type="http://schemas.openxmlformats.org/officeDocument/2006/relationships/hyperlink" Target="mailto:info@vas.bg" TargetMode="External"/><Relationship Id="rId17" Type="http://schemas.openxmlformats.org/officeDocument/2006/relationships/hyperlink" Target="https://vidko.net/en/video/watch/FfHdcDCYqp4zsAuS9i2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dko.net/en/video/watch/W4azslKNgdID6jOT2Hwf" TargetMode="External"/><Relationship Id="rId20" Type="http://schemas.openxmlformats.org/officeDocument/2006/relationships/hyperlink" Target="https://vidko.net/en/video/watch/W0crumZq52zv9eVIHJ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ks.b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ffice@velichie.b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m@government.bg" TargetMode="External"/><Relationship Id="rId19" Type="http://schemas.openxmlformats.org/officeDocument/2006/relationships/hyperlink" Target="https://vidko.net/en/video/watch/HrjE15230bsdoqUym8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@president.bg" TargetMode="External"/><Relationship Id="rId14" Type="http://schemas.openxmlformats.org/officeDocument/2006/relationships/hyperlink" Target="mailto:info@prb.bg" TargetMode="External"/><Relationship Id="rId22" Type="http://schemas.openxmlformats.org/officeDocument/2006/relationships/hyperlink" Target="mailto:office@velichie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1902</Words>
  <Characters>10846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MP</cp:lastModifiedBy>
  <cp:revision>2</cp:revision>
  <dcterms:created xsi:type="dcterms:W3CDTF">2025-01-08T13:37:00Z</dcterms:created>
  <dcterms:modified xsi:type="dcterms:W3CDTF">2025-01-08T13:37:00Z</dcterms:modified>
</cp:coreProperties>
</file>