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FC" w:rsidRDefault="00C536FC" w:rsidP="00B10CA2">
      <w:pPr>
        <w:spacing w:before="160" w:line="360" w:lineRule="auto"/>
        <w:ind w:firstLine="567"/>
        <w:jc w:val="center"/>
        <w:rPr>
          <w:rFonts w:ascii="Verdana" w:hAnsi="Verdana"/>
          <w:b/>
          <w:sz w:val="20"/>
          <w:lang w:val="bg-BG"/>
        </w:rPr>
      </w:pPr>
    </w:p>
    <w:p w:rsidR="00C536FC" w:rsidRDefault="00C536FC" w:rsidP="00B10CA2">
      <w:pPr>
        <w:spacing w:before="160" w:line="360" w:lineRule="auto"/>
        <w:ind w:firstLine="567"/>
        <w:jc w:val="center"/>
        <w:rPr>
          <w:rFonts w:ascii="Verdana" w:hAnsi="Verdana"/>
          <w:b/>
          <w:sz w:val="20"/>
          <w:lang w:val="bg-BG"/>
        </w:rPr>
      </w:pPr>
    </w:p>
    <w:p w:rsidR="006A4C8F" w:rsidRPr="00F76D42" w:rsidRDefault="00B10CA2" w:rsidP="00B10CA2">
      <w:pPr>
        <w:spacing w:before="160" w:line="360" w:lineRule="auto"/>
        <w:ind w:firstLine="567"/>
        <w:jc w:val="center"/>
        <w:rPr>
          <w:rFonts w:ascii="Verdana" w:hAnsi="Verdana"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t>ИНДЕКСИ НА ПРОИЗВОДСТВОТО В УСЛУГИТЕ ПРЕЗ</w:t>
      </w:r>
      <w:r w:rsidRPr="00B10CA2">
        <w:rPr>
          <w:rFonts w:ascii="Verdana" w:hAnsi="Verdana"/>
          <w:b/>
          <w:sz w:val="20"/>
          <w:lang w:val="ru-RU"/>
        </w:rPr>
        <w:t xml:space="preserve"> ОКТОМВРИ</w:t>
      </w:r>
      <w:r w:rsidRPr="00B10CA2">
        <w:rPr>
          <w:rFonts w:ascii="Verdana" w:hAnsi="Verdana"/>
          <w:b/>
          <w:sz w:val="20"/>
          <w:lang w:val="bg-BG"/>
        </w:rPr>
        <w:br/>
        <w:t>2024 ГОДИНА</w:t>
      </w:r>
    </w:p>
    <w:p w:rsidR="00B10CA2" w:rsidRPr="00B10CA2" w:rsidRDefault="00B10CA2" w:rsidP="00B10CA2">
      <w:pPr>
        <w:keepNext/>
        <w:spacing w:after="0"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B10CA2">
        <w:rPr>
          <w:rFonts w:ascii="Verdana" w:hAnsi="Verdana"/>
          <w:sz w:val="20"/>
          <w:szCs w:val="24"/>
          <w:lang w:val="bg-BG"/>
        </w:rPr>
        <w:t>През октомври 2024 г. общият индекс на производството в областта на</w:t>
      </w:r>
      <w:r w:rsidRPr="00B10CA2">
        <w:rPr>
          <w:rFonts w:ascii="Verdana" w:hAnsi="Verdana"/>
          <w:b/>
          <w:sz w:val="20"/>
          <w:szCs w:val="24"/>
          <w:lang w:val="bg-BG"/>
        </w:rPr>
        <w:t xml:space="preserve"> Бизнес услугите</w:t>
      </w:r>
      <w:r w:rsidRPr="00B10CA2">
        <w:rPr>
          <w:rFonts w:ascii="Verdana" w:hAnsi="Verdana"/>
          <w:b/>
          <w:sz w:val="20"/>
          <w:szCs w:val="24"/>
          <w:vertAlign w:val="superscript"/>
          <w:lang w:val="bg-BG"/>
        </w:rPr>
        <w:footnoteReference w:id="1"/>
      </w:r>
      <w:r w:rsidRPr="00B10CA2">
        <w:rPr>
          <w:rFonts w:ascii="Verdana" w:hAnsi="Verdana"/>
          <w:sz w:val="20"/>
          <w:szCs w:val="20"/>
          <w:lang w:val="bg-BG"/>
        </w:rPr>
        <w:t xml:space="preserve"> намалява с 0.4% спрямо </w:t>
      </w:r>
      <w:r w:rsidRPr="00B10CA2">
        <w:rPr>
          <w:rFonts w:ascii="Verdana" w:hAnsi="Verdana"/>
          <w:sz w:val="20"/>
          <w:szCs w:val="24"/>
          <w:lang w:val="bg-BG"/>
        </w:rPr>
        <w:t>предходния месец. Данните са предварителни и сезонно изгладени.</w:t>
      </w:r>
    </w:p>
    <w:p w:rsidR="00B10CA2" w:rsidRPr="00B10CA2" w:rsidRDefault="00B10CA2" w:rsidP="00B10CA2">
      <w:pPr>
        <w:keepNext/>
        <w:spacing w:after="0"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B10CA2">
        <w:rPr>
          <w:rFonts w:ascii="Verdana" w:hAnsi="Verdana"/>
          <w:sz w:val="20"/>
          <w:szCs w:val="24"/>
          <w:lang w:val="bg-BG"/>
        </w:rPr>
        <w:t xml:space="preserve">Спрямо октомври 2023 г. е регистрирано нарастване с 5.6% на календарно изгладения индекс на производството в областта на </w:t>
      </w:r>
      <w:r w:rsidRPr="00B10CA2">
        <w:rPr>
          <w:rFonts w:ascii="Verdana" w:hAnsi="Verdana"/>
          <w:b/>
          <w:sz w:val="20"/>
          <w:szCs w:val="24"/>
          <w:lang w:val="bg-BG"/>
        </w:rPr>
        <w:t>Бизнес услугите</w:t>
      </w:r>
      <w:r w:rsidRPr="00B10CA2">
        <w:rPr>
          <w:rFonts w:ascii="Verdana" w:hAnsi="Verdana"/>
          <w:sz w:val="20"/>
          <w:szCs w:val="24"/>
          <w:lang w:val="bg-BG"/>
        </w:rPr>
        <w:t>.</w:t>
      </w:r>
    </w:p>
    <w:p w:rsidR="00B10CA2" w:rsidRPr="00B10CA2" w:rsidRDefault="00B10CA2" w:rsidP="00B10CA2">
      <w:pPr>
        <w:spacing w:before="160" w:line="360" w:lineRule="auto"/>
        <w:jc w:val="center"/>
        <w:rPr>
          <w:rFonts w:ascii="Verdana" w:hAnsi="Verdana"/>
          <w:b/>
          <w:sz w:val="20"/>
          <w:szCs w:val="24"/>
          <w:lang w:val="bg-BG"/>
        </w:rPr>
      </w:pPr>
      <w:r w:rsidRPr="00B10CA2">
        <w:rPr>
          <w:rFonts w:ascii="Verdana" w:hAnsi="Verdana"/>
          <w:b/>
          <w:sz w:val="20"/>
          <w:szCs w:val="24"/>
          <w:lang w:val="bg-BG"/>
        </w:rPr>
        <w:t>Фиг. 1. Индекси на производството за Бизнес услуги</w:t>
      </w:r>
      <w:r w:rsidRPr="00B10CA2">
        <w:rPr>
          <w:rFonts w:ascii="Verdana" w:hAnsi="Verdana"/>
          <w:b/>
          <w:sz w:val="20"/>
          <w:szCs w:val="24"/>
          <w:lang w:val="ru-RU"/>
        </w:rPr>
        <w:t xml:space="preserve"> </w:t>
      </w:r>
      <w:r w:rsidRPr="00B10CA2">
        <w:rPr>
          <w:rFonts w:ascii="Verdana" w:hAnsi="Verdana"/>
          <w:b/>
          <w:sz w:val="20"/>
          <w:szCs w:val="24"/>
          <w:lang w:val="bg-BG"/>
        </w:rPr>
        <w:t>(2021 = 100)</w:t>
      </w:r>
    </w:p>
    <w:p w:rsidR="00D83F28" w:rsidRPr="00F76D42" w:rsidRDefault="00B10CA2" w:rsidP="00B10CA2">
      <w:pPr>
        <w:spacing w:after="0" w:line="360" w:lineRule="auto"/>
        <w:jc w:val="both"/>
        <w:rPr>
          <w:rFonts w:ascii="Verdana" w:hAnsi="Verdana"/>
          <w:sz w:val="20"/>
        </w:rPr>
      </w:pPr>
      <w:r w:rsidRPr="00F57148">
        <w:rPr>
          <w:rFonts w:ascii="Verdana" w:hAnsi="Verdana"/>
          <w:noProof/>
          <w:sz w:val="20"/>
          <w:szCs w:val="20"/>
        </w:rPr>
        <w:drawing>
          <wp:inline distT="0" distB="0" distL="0" distR="0" wp14:anchorId="2AD4F14F" wp14:editId="41803E04">
            <wp:extent cx="5760085" cy="381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C536FC" w:rsidRDefault="00C536FC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</w:p>
    <w:p w:rsidR="00C536FC" w:rsidRDefault="00C536FC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</w:p>
    <w:p w:rsidR="00C536FC" w:rsidRDefault="00C536FC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</w:p>
    <w:p w:rsidR="00B10CA2" w:rsidRPr="00B10CA2" w:rsidRDefault="00B10CA2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lastRenderedPageBreak/>
        <w:t>Месечни изменения</w:t>
      </w:r>
    </w:p>
    <w:p w:rsidR="00B10CA2" w:rsidRPr="00B10CA2" w:rsidRDefault="00B10CA2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B10CA2">
        <w:rPr>
          <w:rFonts w:ascii="Verdana" w:hAnsi="Verdana"/>
          <w:sz w:val="20"/>
          <w:lang w:val="bg-BG"/>
        </w:rPr>
        <w:t>През октомври 2024 г. увеличение спрямо предходния месец е отчетено в два сектора: „Транспорт, складиране и пощи“ - с 3.4%, и „Хотелиерство и ресторантьорство“ - с 0.1%. Понижение се наблюдава в следните сектори: „Операции с недвижими имоти“ - с 4.1%, „Административни и спомагателни дейности“ - с 3.3%</w:t>
      </w:r>
      <w:r w:rsidRPr="00B10CA2">
        <w:rPr>
          <w:rFonts w:ascii="Verdana" w:hAnsi="Verdana"/>
          <w:sz w:val="20"/>
        </w:rPr>
        <w:t>,</w:t>
      </w:r>
      <w:r w:rsidRPr="00B10CA2">
        <w:rPr>
          <w:rFonts w:ascii="Verdana" w:hAnsi="Verdana"/>
          <w:sz w:val="20"/>
          <w:lang w:val="bg-BG"/>
        </w:rPr>
        <w:t xml:space="preserve"> „Създаване и разпространение на информация и творчески продукти; далекосъобщения“ - с 1.9%, и „Професионални дейности и научни изследвания“ - </w:t>
      </w:r>
      <w:r w:rsidRPr="00B10CA2">
        <w:rPr>
          <w:rFonts w:ascii="Verdana" w:hAnsi="Verdana"/>
          <w:sz w:val="20"/>
          <w:lang w:val="bg-BG"/>
        </w:rPr>
        <w:br/>
        <w:t>с 0.7%.</w:t>
      </w:r>
    </w:p>
    <w:p w:rsidR="00B10CA2" w:rsidRPr="00B10CA2" w:rsidRDefault="00B10CA2" w:rsidP="006442C6">
      <w:pPr>
        <w:spacing w:before="160" w:after="0" w:line="360" w:lineRule="auto"/>
        <w:ind w:firstLine="567"/>
        <w:jc w:val="center"/>
        <w:rPr>
          <w:rFonts w:ascii="Verdana" w:hAnsi="Verdana"/>
          <w:b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t xml:space="preserve">Фиг. </w:t>
      </w:r>
      <w:r w:rsidRPr="00B10CA2">
        <w:rPr>
          <w:rFonts w:ascii="Verdana" w:hAnsi="Verdana"/>
          <w:b/>
          <w:sz w:val="20"/>
          <w:lang w:val="ru-RU"/>
        </w:rPr>
        <w:t>2</w:t>
      </w:r>
      <w:r w:rsidRPr="00B10CA2">
        <w:rPr>
          <w:rFonts w:ascii="Verdana" w:hAnsi="Verdana"/>
          <w:b/>
          <w:sz w:val="20"/>
          <w:lang w:val="bg-BG"/>
        </w:rPr>
        <w:t>. Изменение на индекса на производството за Бизнес услуги</w:t>
      </w:r>
      <w:r w:rsidRPr="00B10CA2">
        <w:rPr>
          <w:rFonts w:ascii="Verdana" w:hAnsi="Verdana"/>
          <w:b/>
          <w:sz w:val="20"/>
          <w:lang w:val="ru-RU"/>
        </w:rPr>
        <w:t xml:space="preserve"> </w:t>
      </w:r>
      <w:r w:rsidRPr="00B10CA2">
        <w:rPr>
          <w:rFonts w:ascii="Verdana" w:hAnsi="Verdana"/>
          <w:b/>
          <w:sz w:val="20"/>
          <w:lang w:val="bg-BG"/>
        </w:rPr>
        <w:t>спрямо предходния месец</w:t>
      </w:r>
      <w:r w:rsidRPr="00B10CA2">
        <w:rPr>
          <w:rFonts w:ascii="Verdana" w:hAnsi="Verdana"/>
          <w:b/>
          <w:sz w:val="20"/>
        </w:rPr>
        <w:br/>
      </w:r>
      <w:r w:rsidRPr="00B10CA2">
        <w:rPr>
          <w:rFonts w:ascii="Verdana" w:hAnsi="Verdana"/>
          <w:b/>
          <w:sz w:val="20"/>
          <w:lang w:val="ru-RU"/>
        </w:rPr>
        <w:t>(</w:t>
      </w:r>
      <w:r w:rsidRPr="00B10CA2">
        <w:rPr>
          <w:rFonts w:ascii="Verdana" w:hAnsi="Verdana"/>
          <w:b/>
          <w:sz w:val="20"/>
          <w:lang w:val="bg-BG"/>
        </w:rPr>
        <w:t>сезонно изгладени данни</w:t>
      </w:r>
      <w:r w:rsidRPr="00B10CA2">
        <w:rPr>
          <w:rFonts w:ascii="Verdana" w:hAnsi="Verdana"/>
          <w:b/>
          <w:sz w:val="20"/>
          <w:lang w:val="ru-RU"/>
        </w:rPr>
        <w:t>)</w:t>
      </w:r>
    </w:p>
    <w:p w:rsidR="00D83F28" w:rsidRPr="00F76D42" w:rsidRDefault="00B10CA2" w:rsidP="00B10CA2">
      <w:pPr>
        <w:spacing w:after="0" w:line="360" w:lineRule="auto"/>
        <w:jc w:val="both"/>
        <w:rPr>
          <w:rFonts w:ascii="Verdana" w:hAnsi="Verdana"/>
          <w:sz w:val="20"/>
        </w:rPr>
      </w:pPr>
      <w:r w:rsidRPr="000037C5">
        <w:rPr>
          <w:rFonts w:ascii="Verdana" w:hAnsi="Verdana"/>
          <w:noProof/>
          <w:sz w:val="20"/>
          <w:szCs w:val="20"/>
        </w:rPr>
        <w:drawing>
          <wp:inline distT="0" distB="0" distL="0" distR="0" wp14:anchorId="140E5443" wp14:editId="516A847A">
            <wp:extent cx="5760085" cy="33528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0CA2" w:rsidRPr="00B10CA2" w:rsidRDefault="00B10CA2" w:rsidP="00B10CA2">
      <w:pPr>
        <w:spacing w:before="16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t>Годишни изменения</w:t>
      </w:r>
    </w:p>
    <w:p w:rsidR="00B10CA2" w:rsidRPr="00B10CA2" w:rsidRDefault="00B10CA2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ru-RU"/>
        </w:rPr>
      </w:pPr>
      <w:r w:rsidRPr="00B10CA2">
        <w:rPr>
          <w:rFonts w:ascii="Verdana" w:hAnsi="Verdana"/>
          <w:sz w:val="20"/>
          <w:lang w:val="bg-BG"/>
        </w:rPr>
        <w:t>На годишна база ръст е отчетен в следните сектори</w:t>
      </w:r>
      <w:r w:rsidRPr="00B10CA2">
        <w:rPr>
          <w:rFonts w:ascii="Verdana" w:hAnsi="Verdana"/>
          <w:sz w:val="20"/>
          <w:lang w:val="ru-RU"/>
        </w:rPr>
        <w:t xml:space="preserve">: „Създаване и разпространение на информация и творчески продукти; далекосъобщения“ - с 12.2%, „Професионални дейности и научни изследвания“ - с 9.1%, „Транспорт, складиране и пощи“ - с 4.2%, „Операции с недвижими имоти“ - с 2.9%, и </w:t>
      </w:r>
      <w:r w:rsidRPr="00B10CA2">
        <w:rPr>
          <w:rFonts w:ascii="Verdana" w:hAnsi="Verdana"/>
          <w:sz w:val="20"/>
          <w:lang w:val="bg-BG"/>
        </w:rPr>
        <w:t>„Хотелиерство и ресторантьорство“ - с 2.4%. Намаление се наблюдава само в сектор „Административни и спомагателни дейности“ - със 7.1%.</w:t>
      </w: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6442C6" w:rsidRPr="006442C6" w:rsidRDefault="006442C6" w:rsidP="006442C6">
      <w:pPr>
        <w:spacing w:before="160" w:after="0" w:line="360" w:lineRule="auto"/>
        <w:ind w:firstLine="567"/>
        <w:jc w:val="center"/>
        <w:rPr>
          <w:rFonts w:ascii="Verdana" w:hAnsi="Verdana"/>
          <w:b/>
          <w:sz w:val="20"/>
          <w:szCs w:val="24"/>
          <w:lang w:val="ru-RU"/>
        </w:rPr>
      </w:pPr>
      <w:r w:rsidRPr="006442C6">
        <w:rPr>
          <w:rFonts w:ascii="Verdana" w:hAnsi="Verdana"/>
          <w:b/>
          <w:sz w:val="20"/>
          <w:szCs w:val="24"/>
          <w:lang w:val="bg-BG"/>
        </w:rPr>
        <w:lastRenderedPageBreak/>
        <w:t xml:space="preserve">Фиг. </w:t>
      </w:r>
      <w:r w:rsidRPr="006442C6">
        <w:rPr>
          <w:rFonts w:ascii="Verdana" w:hAnsi="Verdana"/>
          <w:b/>
          <w:sz w:val="20"/>
          <w:szCs w:val="24"/>
          <w:lang w:val="ru-RU"/>
        </w:rPr>
        <w:t>3</w:t>
      </w:r>
      <w:r w:rsidRPr="006442C6">
        <w:rPr>
          <w:rFonts w:ascii="Verdana" w:hAnsi="Verdana"/>
          <w:b/>
          <w:sz w:val="20"/>
          <w:szCs w:val="24"/>
          <w:lang w:val="bg-BG"/>
        </w:rPr>
        <w:t>. Изменение на индекса на производството за Бизнес услуги спрямо съответния месец на предходната година</w:t>
      </w:r>
    </w:p>
    <w:p w:rsidR="006442C6" w:rsidRPr="006442C6" w:rsidRDefault="006442C6" w:rsidP="006442C6">
      <w:pPr>
        <w:spacing w:line="360" w:lineRule="auto"/>
        <w:ind w:left="851"/>
        <w:jc w:val="center"/>
        <w:rPr>
          <w:rFonts w:ascii="Verdana" w:hAnsi="Verdana"/>
          <w:noProof/>
          <w:sz w:val="24"/>
          <w:szCs w:val="24"/>
          <w:lang w:val="bg-BG"/>
        </w:rPr>
      </w:pPr>
      <w:r w:rsidRPr="006442C6">
        <w:rPr>
          <w:rFonts w:ascii="Verdana" w:hAnsi="Verdana"/>
          <w:b/>
          <w:sz w:val="20"/>
          <w:szCs w:val="24"/>
          <w:lang w:val="ru-RU"/>
        </w:rPr>
        <w:t>(</w:t>
      </w:r>
      <w:r w:rsidRPr="006442C6">
        <w:rPr>
          <w:rFonts w:ascii="Verdana" w:hAnsi="Verdana"/>
          <w:b/>
          <w:sz w:val="20"/>
          <w:szCs w:val="24"/>
          <w:lang w:val="bg-BG"/>
        </w:rPr>
        <w:t>календарно изгладени данни</w:t>
      </w:r>
      <w:r w:rsidRPr="006442C6">
        <w:rPr>
          <w:rFonts w:ascii="Verdana" w:hAnsi="Verdana"/>
          <w:b/>
          <w:sz w:val="20"/>
          <w:szCs w:val="24"/>
          <w:lang w:val="ru-RU"/>
        </w:rPr>
        <w:t>)</w:t>
      </w:r>
    </w:p>
    <w:p w:rsidR="00D83F28" w:rsidRPr="00F76D42" w:rsidRDefault="006442C6" w:rsidP="006442C6">
      <w:pPr>
        <w:spacing w:after="0" w:line="360" w:lineRule="auto"/>
        <w:jc w:val="both"/>
        <w:rPr>
          <w:rFonts w:ascii="Verdana" w:hAnsi="Verdana"/>
          <w:sz w:val="20"/>
        </w:rPr>
      </w:pPr>
      <w:r w:rsidRPr="000D264C">
        <w:rPr>
          <w:rFonts w:ascii="Verdana" w:hAnsi="Verdana"/>
          <w:noProof/>
          <w:sz w:val="16"/>
          <w:szCs w:val="16"/>
        </w:rPr>
        <w:drawing>
          <wp:inline distT="0" distB="0" distL="0" distR="0" wp14:anchorId="57FD855C" wp14:editId="6542B3DA">
            <wp:extent cx="5760085" cy="30861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42C6" w:rsidRPr="006442C6" w:rsidRDefault="00B279E0" w:rsidP="00B279E0">
      <w:pPr>
        <w:tabs>
          <w:tab w:val="left" w:pos="1020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sz w:val="20"/>
        </w:rPr>
        <w:tab/>
      </w:r>
      <w:r w:rsidR="006442C6" w:rsidRPr="006442C6">
        <w:rPr>
          <w:rFonts w:ascii="Verdana" w:hAnsi="Verdana"/>
          <w:b/>
          <w:sz w:val="20"/>
          <w:lang w:val="bg-BG"/>
        </w:rPr>
        <w:t>Методологични бележки</w:t>
      </w:r>
    </w:p>
    <w:p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 xml:space="preserve">Месечните индекси на производството в услугите се изчисляват и публикуват два месеца след отчетния период (М+2) в съответствие с изискванията на Регламент (ЕС) 2019/2152 на Европейския парламент и на Съвета за европейската бизнес статистика. </w:t>
      </w:r>
    </w:p>
    <w:p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 xml:space="preserve">Индексите на производството в областта на Бизнес услугите се изчисляват чрез </w:t>
      </w:r>
      <w:proofErr w:type="spellStart"/>
      <w:r w:rsidRPr="006442C6">
        <w:rPr>
          <w:rFonts w:ascii="Verdana" w:hAnsi="Verdana"/>
          <w:sz w:val="20"/>
          <w:lang w:val="bg-BG"/>
        </w:rPr>
        <w:t>дефлиране</w:t>
      </w:r>
      <w:proofErr w:type="spellEnd"/>
      <w:r w:rsidRPr="006442C6">
        <w:rPr>
          <w:rFonts w:ascii="Verdana" w:hAnsi="Verdana"/>
          <w:sz w:val="20"/>
          <w:lang w:val="bg-BG"/>
        </w:rPr>
        <w:t xml:space="preserve"> на индексите на оборота за всяка дейност със съответните индекси на цени на производител. Целта на производствения индекс е да измерва промените в обема на продукцията на месечни интервали. Индексите на производството се изчисляват при база 2021 година.</w:t>
      </w:r>
    </w:p>
    <w:p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  <w:p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</w:t>
      </w:r>
      <w:r w:rsidRPr="006442C6">
        <w:rPr>
          <w:rFonts w:ascii="Verdana" w:hAnsi="Verdana"/>
          <w:sz w:val="20"/>
        </w:rPr>
        <w:t>,</w:t>
      </w:r>
      <w:r w:rsidRPr="006442C6">
        <w:rPr>
          <w:rFonts w:ascii="Verdana" w:hAnsi="Verdana"/>
          <w:sz w:val="20"/>
          <w:lang w:val="bg-BG"/>
        </w:rPr>
        <w:t xml:space="preserve"> например наличието на повече неработни дни през май може да допринесе до спад на производството в някои дейности.</w:t>
      </w:r>
    </w:p>
    <w:p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>От юли 2024</w:t>
      </w:r>
      <w:r w:rsidRPr="006442C6">
        <w:rPr>
          <w:rFonts w:ascii="Verdana" w:hAnsi="Verdana"/>
          <w:sz w:val="20"/>
        </w:rPr>
        <w:t xml:space="preserve"> </w:t>
      </w:r>
      <w:r w:rsidRPr="006442C6">
        <w:rPr>
          <w:rFonts w:ascii="Verdana" w:hAnsi="Verdana"/>
          <w:sz w:val="20"/>
          <w:lang w:val="bg-BG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6442C6">
        <w:rPr>
          <w:rFonts w:ascii="Verdana" w:hAnsi="Verdana"/>
          <w:sz w:val="20"/>
          <w:lang w:val="bg-BG"/>
        </w:rPr>
        <w:t>Инфостат</w:t>
      </w:r>
      <w:proofErr w:type="spellEnd"/>
      <w:r w:rsidRPr="006442C6">
        <w:rPr>
          <w:rFonts w:ascii="Verdana" w:hAnsi="Verdana"/>
          <w:sz w:val="20"/>
          <w:lang w:val="bg-BG"/>
        </w:rPr>
        <w:t>.</w:t>
      </w:r>
    </w:p>
    <w:p w:rsidR="00B279E0" w:rsidRDefault="00B279E0" w:rsidP="006442C6">
      <w:pPr>
        <w:spacing w:before="160" w:line="360" w:lineRule="auto"/>
        <w:jc w:val="center"/>
        <w:rPr>
          <w:rFonts w:ascii="Verdana" w:hAnsi="Verdana"/>
          <w:b/>
          <w:sz w:val="20"/>
          <w:szCs w:val="24"/>
          <w:lang w:val="bg-BG"/>
        </w:rPr>
      </w:pPr>
    </w:p>
    <w:p w:rsidR="006442C6" w:rsidRPr="006442C6" w:rsidRDefault="006442C6" w:rsidP="006442C6">
      <w:pPr>
        <w:spacing w:before="160" w:line="360" w:lineRule="auto"/>
        <w:jc w:val="center"/>
        <w:rPr>
          <w:rFonts w:ascii="Verdana" w:hAnsi="Verdana"/>
          <w:b/>
          <w:sz w:val="20"/>
          <w:szCs w:val="24"/>
          <w:lang w:val="bg-BG"/>
        </w:rPr>
      </w:pPr>
      <w:r w:rsidRPr="006442C6">
        <w:rPr>
          <w:rFonts w:ascii="Verdana" w:hAnsi="Verdana"/>
          <w:b/>
          <w:sz w:val="20"/>
          <w:szCs w:val="24"/>
          <w:lang w:val="bg-BG"/>
        </w:rPr>
        <w:lastRenderedPageBreak/>
        <w:t>Приложение</w:t>
      </w:r>
    </w:p>
    <w:p w:rsidR="006442C6" w:rsidRPr="006442C6" w:rsidRDefault="006442C6" w:rsidP="006B4E77">
      <w:pPr>
        <w:spacing w:line="240" w:lineRule="auto"/>
        <w:ind w:right="-568"/>
        <w:jc w:val="right"/>
        <w:rPr>
          <w:rFonts w:ascii="Verdana" w:hAnsi="Verdana"/>
          <w:b/>
          <w:sz w:val="20"/>
          <w:szCs w:val="24"/>
          <w:lang w:val="ru-RU"/>
        </w:rPr>
      </w:pPr>
      <w:bookmarkStart w:id="0" w:name="_GoBack"/>
      <w:bookmarkEnd w:id="0"/>
      <w:r w:rsidRPr="006442C6">
        <w:rPr>
          <w:rFonts w:ascii="Verdana" w:hAnsi="Verdana"/>
          <w:b/>
          <w:sz w:val="20"/>
          <w:szCs w:val="24"/>
          <w:lang w:val="bg-BG"/>
        </w:rPr>
        <w:t>Таблица 1</w:t>
      </w:r>
    </w:p>
    <w:p w:rsidR="006442C6" w:rsidRPr="006442C6" w:rsidRDefault="006442C6" w:rsidP="006442C6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6442C6">
        <w:rPr>
          <w:rFonts w:ascii="Verdana" w:hAnsi="Verdana"/>
          <w:b/>
          <w:sz w:val="20"/>
          <w:szCs w:val="20"/>
          <w:lang w:val="bg-BG"/>
        </w:rPr>
        <w:t>Изменение на индексите на производството в услугите</w:t>
      </w:r>
      <w:r w:rsidRPr="006442C6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2"/>
        <w:t>1</w:t>
      </w:r>
    </w:p>
    <w:p w:rsidR="006B4E77" w:rsidRDefault="006442C6" w:rsidP="006B4E77">
      <w:pPr>
        <w:tabs>
          <w:tab w:val="left" w:pos="2325"/>
        </w:tabs>
        <w:spacing w:after="0" w:line="240" w:lineRule="auto"/>
        <w:ind w:right="-567"/>
        <w:jc w:val="center"/>
        <w:rPr>
          <w:rFonts w:ascii="Verdana" w:hAnsi="Verdana"/>
          <w:b/>
          <w:sz w:val="20"/>
          <w:szCs w:val="20"/>
          <w:lang w:val="ru-RU"/>
        </w:rPr>
      </w:pPr>
      <w:r w:rsidRPr="006442C6">
        <w:rPr>
          <w:rFonts w:ascii="Verdana" w:hAnsi="Verdana"/>
          <w:b/>
          <w:sz w:val="20"/>
          <w:szCs w:val="20"/>
          <w:lang w:val="bg-BG"/>
        </w:rPr>
        <w:t>(спрямо предходния месец)</w:t>
      </w:r>
    </w:p>
    <w:tbl>
      <w:tblPr>
        <w:tblpPr w:leftFromText="141" w:rightFromText="141" w:vertAnchor="text" w:horzAnchor="margin" w:tblpXSpec="center" w:tblpY="369"/>
        <w:tblW w:w="10274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8"/>
        <w:gridCol w:w="147"/>
        <w:gridCol w:w="1134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B279E0" w:rsidRPr="006B4E77" w:rsidTr="00B279E0">
        <w:trPr>
          <w:trHeight w:val="397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</w:t>
            </w:r>
            <w:r w:rsidRPr="006B4E7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кономически дейности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6B4E7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Код по </w:t>
            </w:r>
          </w:p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B4E7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КИД -</w:t>
            </w:r>
            <w:r w:rsidRPr="006B4E7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6B4E7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6B4E77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2024</w:t>
            </w:r>
          </w:p>
        </w:tc>
      </w:tr>
      <w:tr w:rsidR="00B279E0" w:rsidRPr="006B4E77" w:rsidTr="00B279E0">
        <w:trPr>
          <w:trHeight w:val="398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B4E7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B4E7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B4E7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6B4E7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B4E7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6B4E7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III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6B4E7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IX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 w:rsidRPr="006B4E7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*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Бизнес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-0.4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bCs/>
                <w:sz w:val="16"/>
                <w:szCs w:val="16"/>
                <w:lang w:val="bg-BG"/>
              </w:rPr>
              <w:t>Транспорт, складиране и пощи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-4.4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-3.1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3.4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Сухопътен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2.6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Воден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0.0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Въздушен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22.4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0.1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Пощенски и куриерски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4.9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Хотелиерство и 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-1.2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0.1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Хотелиерство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-3.7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2.1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-1.9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Издателска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36.0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28.9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-44.6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-0.5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 xml:space="preserve">Производство на филми и телевизионни предавания, </w:t>
            </w:r>
            <w:proofErr w:type="spellStart"/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звукозаписване</w:t>
            </w:r>
            <w:proofErr w:type="spellEnd"/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 xml:space="preserve"> и издаване на музика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47.9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-20.5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29.4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-5.0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Радио- и телевизионна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-2.5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0.4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в областта на информационните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-3.2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Информационни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-2.5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Операции с недвижими имоти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-4.3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-9.0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-4.1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Професионални дейности и научни изследвания (специфична групировка съгласно Регламент (ЕС) 2019/2152)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5.4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-0.7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Юридически и счетоводни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-0.8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Консултантски дейности в областта на управлението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-15.1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-12.2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7.2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Рекламна дейност и проучване на пазари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8.4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Други професионални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2.5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Административни и спомагателни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-2.2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0.1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-3.3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Даване под наем и оперативен лизинг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-4.3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наемане и предоставяне на работна сила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27.4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-0.4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Туристическа агентска и операторска дейност, други дейности свързани с пътувания и резервации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-10.2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охрана и разследване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-4.6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по обслужване на сгради и озеленяване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1.6</w:t>
            </w:r>
          </w:p>
        </w:tc>
      </w:tr>
      <w:tr w:rsidR="00B279E0" w:rsidRPr="006B4E77" w:rsidTr="00B279E0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279E0" w:rsidRPr="006B4E77" w:rsidRDefault="00B279E0" w:rsidP="00B279E0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Административни офис дейности и друго спомагателно обслужване на стопанската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9E0" w:rsidRPr="006B4E77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B4E77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9E0" w:rsidRPr="006B4E77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6B4E7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-0.4</w:t>
            </w:r>
          </w:p>
        </w:tc>
      </w:tr>
    </w:tbl>
    <w:p w:rsidR="006B4E77" w:rsidRPr="006B4E77" w:rsidRDefault="006B4E77" w:rsidP="006B4E77">
      <w:pPr>
        <w:spacing w:before="160" w:after="0" w:line="240" w:lineRule="auto"/>
        <w:ind w:right="-567"/>
        <w:jc w:val="right"/>
        <w:rPr>
          <w:rFonts w:ascii="Verdana" w:hAnsi="Verdana"/>
          <w:sz w:val="16"/>
          <w:szCs w:val="16"/>
          <w:lang w:val="bg-BG"/>
        </w:rPr>
      </w:pPr>
      <w:r w:rsidRPr="006B4E77">
        <w:rPr>
          <w:rFonts w:ascii="Verdana" w:hAnsi="Verdana"/>
          <w:sz w:val="16"/>
          <w:szCs w:val="16"/>
          <w:lang w:val="bg-BG"/>
        </w:rPr>
        <w:t xml:space="preserve"> (Проценти)</w:t>
      </w:r>
    </w:p>
    <w:p w:rsidR="0088097F" w:rsidRPr="0088097F" w:rsidRDefault="0088097F" w:rsidP="00FC1012">
      <w:pPr>
        <w:spacing w:after="0" w:line="240" w:lineRule="auto"/>
        <w:ind w:left="8222" w:right="-710" w:firstLine="28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>Таб</w:t>
      </w:r>
      <w:r w:rsidRPr="0088097F">
        <w:rPr>
          <w:rFonts w:ascii="Verdana" w:hAnsi="Verdana"/>
          <w:b/>
          <w:sz w:val="20"/>
          <w:szCs w:val="20"/>
          <w:lang w:val="bg-BG"/>
        </w:rPr>
        <w:t>лица 2</w:t>
      </w:r>
    </w:p>
    <w:p w:rsidR="0088097F" w:rsidRPr="0088097F" w:rsidRDefault="0088097F" w:rsidP="0088097F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t>Изменение на индексите на производството в услугите</w:t>
      </w:r>
      <w:r w:rsidRPr="0088097F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3"/>
        <w:t>1</w:t>
      </w:r>
    </w:p>
    <w:p w:rsidR="0088097F" w:rsidRPr="0088097F" w:rsidRDefault="0088097F" w:rsidP="0088097F">
      <w:pPr>
        <w:tabs>
          <w:tab w:val="left" w:pos="2325"/>
        </w:tabs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t>(спрямо съответния месец на предходната година)</w:t>
      </w:r>
    </w:p>
    <w:p w:rsidR="0088097F" w:rsidRPr="0088097F" w:rsidRDefault="0088097F" w:rsidP="00FC1012">
      <w:pPr>
        <w:spacing w:after="0" w:line="240" w:lineRule="auto"/>
        <w:ind w:right="-568"/>
        <w:jc w:val="right"/>
        <w:rPr>
          <w:rFonts w:ascii="Verdana" w:hAnsi="Verdana"/>
          <w:sz w:val="16"/>
          <w:szCs w:val="16"/>
          <w:lang w:val="bg-BG"/>
        </w:rPr>
      </w:pPr>
      <w:r w:rsidRPr="0088097F">
        <w:rPr>
          <w:rFonts w:ascii="Verdana" w:hAnsi="Verdana"/>
          <w:sz w:val="16"/>
          <w:szCs w:val="16"/>
          <w:lang w:val="bg-BG"/>
        </w:rPr>
        <w:t>(Проценти)</w:t>
      </w:r>
    </w:p>
    <w:tbl>
      <w:tblPr>
        <w:tblpPr w:leftFromText="141" w:rightFromText="141" w:vertAnchor="text" w:tblpXSpec="center" w:tblpY="1"/>
        <w:tblOverlap w:val="never"/>
        <w:tblW w:w="10274" w:type="dxa"/>
        <w:jc w:val="center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7"/>
        <w:gridCol w:w="1282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88097F" w:rsidRPr="0088097F" w:rsidTr="00FC1012">
        <w:trPr>
          <w:trHeight w:val="397"/>
          <w:jc w:val="center"/>
        </w:trPr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Икономически дейности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Код по </w:t>
            </w:r>
          </w:p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КИД -</w:t>
            </w: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88097F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2024</w:t>
            </w:r>
          </w:p>
        </w:tc>
      </w:tr>
      <w:tr w:rsidR="0088097F" w:rsidRPr="0088097F" w:rsidTr="00FC1012">
        <w:trPr>
          <w:trHeight w:val="398"/>
          <w:jc w:val="center"/>
        </w:trPr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III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IX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*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Бизнес услуги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5.8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5.6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bCs/>
                <w:sz w:val="16"/>
                <w:szCs w:val="16"/>
                <w:lang w:val="bg-BG"/>
              </w:rPr>
              <w:t>Транспорт, складиране и пощи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4.2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Сухопътен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2.3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Воден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-7.5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Въздушен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30.4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0.1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Пощенски и куриерски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23.4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16.8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Хотелиерство и 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6.8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6.5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2.4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Хотелиерство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9.6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15.3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12.2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Издателска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76.8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5.0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 xml:space="preserve">Производство на филми и телевизионни предавания, </w:t>
            </w:r>
            <w:proofErr w:type="spellStart"/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звукозаписване</w:t>
            </w:r>
            <w:proofErr w:type="spellEnd"/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 xml:space="preserve"> и издаване на музика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32.7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-23.5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-11.3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Радио- и телевизионна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-25.5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-11.3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18.5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в областта на информационните технологии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12.6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Информационни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4.9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Операции с недвижими имоти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13.6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2.9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Професионални дейности и научни изследвания (специфична групировка съгласно Регламент (ЕС) 2019/2152)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-11.4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9.1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Юридически и счетоводни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24.7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23.2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28.6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20.3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Консултантски дейности в областта на управлението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56.9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41.4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-27.3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-16.3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-2.1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Рекламна дейност и проучване на пазари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-9.6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Други професионални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-19.5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5.1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Административни и спомагателни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-4.8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-7.1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Даване под наем и оперативен лизинг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-24.1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-33.0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наемане и предоставяне на работна сила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1.4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Туристическа агентска и операторска дейност, други дейности свързани с пътувания и резервации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24.9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24.2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-2.3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охрана и разследване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-1.0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по обслужване на сгради и озеленяване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1.3</w:t>
            </w:r>
          </w:p>
        </w:tc>
      </w:tr>
      <w:tr w:rsidR="0088097F" w:rsidRPr="0088097F" w:rsidTr="00FC1012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Административни офис дейности и друго спомагателно обслужване на стопанската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4.2</w:t>
            </w:r>
          </w:p>
        </w:tc>
      </w:tr>
    </w:tbl>
    <w:p w:rsidR="0088097F" w:rsidRPr="0088097F" w:rsidRDefault="0088097F" w:rsidP="00F7254E">
      <w:pPr>
        <w:spacing w:after="120" w:line="240" w:lineRule="auto"/>
        <w:ind w:right="-710"/>
        <w:jc w:val="right"/>
        <w:rPr>
          <w:rFonts w:ascii="Verdana" w:hAnsi="Verdana"/>
          <w:b/>
          <w:sz w:val="20"/>
          <w:szCs w:val="20"/>
          <w:lang w:val="bg-BG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lastRenderedPageBreak/>
        <w:t>Таблица 3</w:t>
      </w:r>
    </w:p>
    <w:p w:rsidR="0088097F" w:rsidRPr="0088097F" w:rsidRDefault="0088097F" w:rsidP="0088097F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t>Индекси на производството в услугите - сезонно изгладени</w:t>
      </w:r>
      <w:r w:rsidRPr="0088097F">
        <w:rPr>
          <w:rFonts w:ascii="Verdana" w:hAnsi="Verdana"/>
          <w:b/>
          <w:sz w:val="20"/>
          <w:szCs w:val="20"/>
          <w:lang w:val="ru-RU"/>
        </w:rPr>
        <w:t xml:space="preserve"> данни</w:t>
      </w:r>
    </w:p>
    <w:p w:rsidR="0088097F" w:rsidRPr="0088097F" w:rsidRDefault="0088097F" w:rsidP="0088097F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t>(2021</w:t>
      </w:r>
      <w:r w:rsidRPr="0088097F">
        <w:rPr>
          <w:rFonts w:ascii="Verdana" w:hAnsi="Verdana"/>
          <w:b/>
          <w:sz w:val="20"/>
          <w:szCs w:val="20"/>
        </w:rPr>
        <w:t xml:space="preserve"> </w:t>
      </w:r>
      <w:r w:rsidRPr="0088097F">
        <w:rPr>
          <w:rFonts w:ascii="Verdana" w:hAnsi="Verdana"/>
          <w:b/>
          <w:sz w:val="20"/>
          <w:szCs w:val="20"/>
          <w:lang w:val="bg-BG"/>
        </w:rPr>
        <w:t>=</w:t>
      </w:r>
      <w:r w:rsidRPr="0088097F">
        <w:rPr>
          <w:rFonts w:ascii="Verdana" w:hAnsi="Verdana"/>
          <w:b/>
          <w:sz w:val="20"/>
          <w:szCs w:val="20"/>
        </w:rPr>
        <w:t xml:space="preserve"> </w:t>
      </w:r>
      <w:r w:rsidRPr="0088097F">
        <w:rPr>
          <w:rFonts w:ascii="Verdana" w:hAnsi="Verdana"/>
          <w:b/>
          <w:sz w:val="20"/>
          <w:szCs w:val="20"/>
          <w:lang w:val="bg-BG"/>
        </w:rPr>
        <w:t>100)</w:t>
      </w:r>
    </w:p>
    <w:tbl>
      <w:tblPr>
        <w:tblpPr w:leftFromText="141" w:rightFromText="141" w:vertAnchor="text" w:tblpXSpec="center" w:tblpY="1"/>
        <w:tblOverlap w:val="never"/>
        <w:tblW w:w="10490" w:type="dxa"/>
        <w:jc w:val="center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695"/>
        <w:gridCol w:w="695"/>
        <w:gridCol w:w="702"/>
        <w:gridCol w:w="714"/>
        <w:gridCol w:w="669"/>
        <w:gridCol w:w="749"/>
        <w:gridCol w:w="709"/>
        <w:gridCol w:w="708"/>
        <w:gridCol w:w="709"/>
        <w:gridCol w:w="709"/>
        <w:gridCol w:w="709"/>
        <w:gridCol w:w="708"/>
        <w:gridCol w:w="709"/>
      </w:tblGrid>
      <w:tr w:rsidR="0088097F" w:rsidRPr="0088097F" w:rsidTr="00C536FC">
        <w:trPr>
          <w:trHeight w:val="387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Код по КИД -</w:t>
            </w: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8097F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  <w:p w:rsidR="0088097F" w:rsidRPr="0088097F" w:rsidRDefault="0088097F" w:rsidP="00FC1012">
            <w:pPr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8097F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  <w:r w:rsidRPr="0088097F">
              <w:rPr>
                <w:rFonts w:ascii="Verdana" w:eastAsia="Times" w:hAnsi="Verdana" w:cs="Times New Roman"/>
                <w:bCs/>
                <w:sz w:val="24"/>
                <w:szCs w:val="24"/>
                <w:lang w:val="bg-BG" w:eastAsia="bg-BG"/>
              </w:rPr>
              <w:footnoteReference w:customMarkFollows="1" w:id="4"/>
              <w:sym w:font="Symbol" w:char="F02A"/>
            </w:r>
          </w:p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88097F" w:rsidRPr="0088097F" w:rsidTr="00C536FC">
        <w:trPr>
          <w:trHeight w:val="380"/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X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ХІ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І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 xml:space="preserve"> 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II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VІІ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112.5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118.9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105.7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105.6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108.5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110.9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114.4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107.9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106.1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119.9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128.6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124.7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266.1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202.0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201.4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212.2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221.8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271.4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284.6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252.3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244.1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219.8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263.0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321.7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106.0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132.6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137.0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139.5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140.3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140.6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141.5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138.4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151.9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163.2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164.5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170.9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171.4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179.4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179.4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177.2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173.8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167.3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123.1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107.2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107.1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113.5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120.8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81.3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93.3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85.4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92.2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155.4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85.7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79.0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94.8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107.4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89.5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82.1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96.8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78.2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119.3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127.2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118.2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114.1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122.2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119.3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118.5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104.9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94.5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96.4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97.8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118.2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115.5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115.0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124.8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118.8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130.3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158.1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181.5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176.1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149.5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117.4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128.1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131.3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134.5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125.4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120.8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100.4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109.5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123.7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118.9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112.6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173.4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177.9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154.6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118.9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117.4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107.5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115.2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165.6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165.0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161.7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183.6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186.1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186.7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193.2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196.2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222.1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222.9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233.4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182.2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96.7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97.9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97.6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96.2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104.9</w:t>
            </w:r>
          </w:p>
        </w:tc>
      </w:tr>
      <w:tr w:rsidR="0088097F" w:rsidRPr="0088097F" w:rsidTr="00C536FC">
        <w:trPr>
          <w:trHeight w:val="2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FC10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107.2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109.8</w:t>
            </w:r>
          </w:p>
        </w:tc>
      </w:tr>
    </w:tbl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FC1012" w:rsidRDefault="00FC1012" w:rsidP="00C8495B">
      <w:pPr>
        <w:spacing w:after="0" w:line="240" w:lineRule="auto"/>
        <w:ind w:right="-710"/>
        <w:jc w:val="right"/>
        <w:rPr>
          <w:rFonts w:ascii="Verdana" w:hAnsi="Verdana"/>
          <w:b/>
          <w:sz w:val="20"/>
          <w:szCs w:val="24"/>
          <w:lang w:val="bg-BG"/>
        </w:rPr>
      </w:pPr>
    </w:p>
    <w:p w:rsidR="0088097F" w:rsidRPr="0088097F" w:rsidRDefault="0088097F" w:rsidP="00C8495B">
      <w:pPr>
        <w:spacing w:after="0" w:line="240" w:lineRule="auto"/>
        <w:ind w:right="-710"/>
        <w:jc w:val="right"/>
        <w:rPr>
          <w:rFonts w:ascii="Verdana" w:hAnsi="Verdana"/>
          <w:b/>
          <w:sz w:val="20"/>
          <w:szCs w:val="24"/>
          <w:lang w:val="bg-BG"/>
        </w:rPr>
      </w:pPr>
      <w:r w:rsidRPr="0088097F">
        <w:rPr>
          <w:rFonts w:ascii="Verdana" w:hAnsi="Verdana"/>
          <w:b/>
          <w:sz w:val="20"/>
          <w:szCs w:val="24"/>
          <w:lang w:val="bg-BG"/>
        </w:rPr>
        <w:lastRenderedPageBreak/>
        <w:t>Таблица 4</w:t>
      </w:r>
    </w:p>
    <w:p w:rsidR="0088097F" w:rsidRPr="0088097F" w:rsidRDefault="0088097F" w:rsidP="0088097F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t>Индекси на производството в услугите - календарно изгладени данни</w:t>
      </w:r>
    </w:p>
    <w:tbl>
      <w:tblPr>
        <w:tblpPr w:leftFromText="180" w:rightFromText="180" w:vertAnchor="text" w:horzAnchor="margin" w:tblpXSpec="center" w:tblpY="417"/>
        <w:tblW w:w="10490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694"/>
        <w:gridCol w:w="694"/>
        <w:gridCol w:w="7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8097F" w:rsidRPr="0088097F" w:rsidTr="0088097F">
        <w:trPr>
          <w:trHeight w:val="387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Код по КИД -</w:t>
            </w: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</w:p>
          <w:p w:rsidR="0088097F" w:rsidRPr="0088097F" w:rsidRDefault="0088097F" w:rsidP="0088097F">
            <w:pPr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8097F">
              <w:rPr>
                <w:rFonts w:ascii="Verdana" w:eastAsia="Times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8097F">
              <w:rPr>
                <w:rFonts w:ascii="Verdana" w:eastAsia="Times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  <w:r w:rsidRPr="0088097F">
              <w:rPr>
                <w:rFonts w:ascii="Verdana" w:eastAsia="Times" w:hAnsi="Verdana" w:cs="Times New Roman"/>
                <w:bCs/>
                <w:sz w:val="24"/>
                <w:szCs w:val="24"/>
                <w:lang w:val="bg-BG" w:eastAsia="bg-BG"/>
              </w:rPr>
              <w:footnoteReference w:customMarkFollows="1" w:id="5"/>
              <w:sym w:font="Symbol" w:char="F02A"/>
            </w:r>
          </w:p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88097F" w:rsidRPr="0088097F" w:rsidTr="0088097F">
        <w:trPr>
          <w:trHeight w:val="38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X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ХІ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 xml:space="preserve"> 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II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VІІ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111.1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110.9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117.3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113.9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107.5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118.7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112.9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145.8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153.3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151.0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134.9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231.4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209.2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281.8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326.8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424.3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373.6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350.6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301.8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107.9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108.0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125.1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134.4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102.6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155.2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193.9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212.6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152.0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117.7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99.9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203.6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279.1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315.3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202.7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121.9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154.0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115.8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108.7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110.7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138.1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121.9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84.8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96.8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89.0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139.5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90.2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208.6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69.4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123.8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125.4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56.1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64.5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60.1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75.0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95.8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126.3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107.1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151.6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123.6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148.0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114.8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89.1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107.2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87.1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87.7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91.6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113.1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115.9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161.0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97.3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123.5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124.0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155.1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179.0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197.9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195.9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145.4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200.0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112.6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149.2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151.9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174.3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134.8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108.7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119.9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124.3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109.2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126.3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b/>
                <w:sz w:val="16"/>
                <w:szCs w:val="16"/>
                <w:lang w:val="bg-BG"/>
              </w:rPr>
              <w:t>111.4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169.0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191.9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187.8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140.3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113.3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117.6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168.1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139.4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301.7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326.0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370.5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323.1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164.3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99.6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100.8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89.4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98.6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98.6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106.0</w:t>
            </w:r>
          </w:p>
        </w:tc>
      </w:tr>
      <w:tr w:rsidR="0088097F" w:rsidRPr="0088097F" w:rsidTr="0088097F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8097F" w:rsidRPr="0088097F" w:rsidRDefault="0088097F" w:rsidP="008809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103.8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128.9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97F" w:rsidRPr="0088097F" w:rsidRDefault="0088097F" w:rsidP="008809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bg-BG"/>
              </w:rPr>
              <w:t>108.2</w:t>
            </w:r>
          </w:p>
        </w:tc>
      </w:tr>
    </w:tbl>
    <w:p w:rsidR="0088097F" w:rsidRPr="0088097F" w:rsidRDefault="0088097F" w:rsidP="0088097F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t xml:space="preserve"> (2021 = 100)</w:t>
      </w: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sectPr w:rsidR="00D83F28" w:rsidRPr="00F76D42" w:rsidSect="00B279E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06" w:rsidRDefault="00D94206" w:rsidP="00D83F28">
      <w:pPr>
        <w:spacing w:after="0" w:line="240" w:lineRule="auto"/>
      </w:pPr>
      <w:r>
        <w:separator/>
      </w:r>
    </w:p>
  </w:endnote>
  <w:endnote w:type="continuationSeparator" w:id="0">
    <w:p w:rsidR="00D94206" w:rsidRDefault="00D94206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E0" w:rsidRDefault="00B279E0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9E0" w:rsidRPr="00DD11CB" w:rsidRDefault="00B279E0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536F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B279E0" w:rsidRPr="00DD11CB" w:rsidRDefault="00B279E0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536F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7C2E7A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1E5157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E0" w:rsidRDefault="00B279E0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9E0" w:rsidRPr="00DD11CB" w:rsidRDefault="00B279E0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536F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B279E0" w:rsidRPr="00DD11CB" w:rsidRDefault="00B279E0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536F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239787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06" w:rsidRDefault="00D94206" w:rsidP="00D83F28">
      <w:pPr>
        <w:spacing w:after="0" w:line="240" w:lineRule="auto"/>
      </w:pPr>
      <w:r>
        <w:separator/>
      </w:r>
    </w:p>
  </w:footnote>
  <w:footnote w:type="continuationSeparator" w:id="0">
    <w:p w:rsidR="00D94206" w:rsidRDefault="00D94206" w:rsidP="00D83F28">
      <w:pPr>
        <w:spacing w:after="0" w:line="240" w:lineRule="auto"/>
      </w:pPr>
      <w:r>
        <w:continuationSeparator/>
      </w:r>
    </w:p>
  </w:footnote>
  <w:footnote w:id="1">
    <w:p w:rsidR="00B279E0" w:rsidRPr="00421E70" w:rsidRDefault="00B279E0" w:rsidP="00B10CA2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E70">
        <w:rPr>
          <w:rStyle w:val="FootnoteReference"/>
          <w:rFonts w:ascii="Verdana" w:hAnsi="Verdana"/>
          <w:sz w:val="16"/>
          <w:szCs w:val="16"/>
        </w:rPr>
        <w:footnoteRef/>
      </w:r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Бизнес</w:t>
      </w:r>
      <w:proofErr w:type="spellEnd"/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услугите</w:t>
      </w:r>
      <w:proofErr w:type="spellEnd"/>
      <w:r w:rsidRPr="00421E70">
        <w:rPr>
          <w:rFonts w:ascii="Verdana" w:hAnsi="Verdana"/>
          <w:sz w:val="16"/>
          <w:szCs w:val="16"/>
          <w:lang w:val="bg-BG"/>
        </w:rPr>
        <w:t xml:space="preserve"> включват следните сектори от 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КИД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2008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: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H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Транспорт, складиране и пощи,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br/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I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Хотелиерство и ресторантьорство,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J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Създаване и разпространение на информация и творчески продукти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;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алекосъобщения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L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Операции с недвижими имоти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M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_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STS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Професионални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научни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изследвания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(специфична групировка съгласно Регламент (ЕС) 2019/2152)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,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и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N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Административни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спомагателни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дейности.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</w:footnote>
  <w:footnote w:id="2">
    <w:p w:rsidR="00B279E0" w:rsidRPr="0012615E" w:rsidRDefault="00B279E0" w:rsidP="006442C6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:rsidR="00B279E0" w:rsidRDefault="00B279E0" w:rsidP="006442C6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:rsidR="00B279E0" w:rsidRPr="00890705" w:rsidRDefault="00B279E0" w:rsidP="006442C6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3">
    <w:p w:rsidR="00B279E0" w:rsidRPr="004F73AA" w:rsidRDefault="00B279E0" w:rsidP="0088097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4F73AA">
        <w:rPr>
          <w:rFonts w:ascii="Verdana" w:hAnsi="Verdana"/>
          <w:sz w:val="16"/>
          <w:szCs w:val="16"/>
          <w:lang w:val="ru-RU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Календарно изгладени данни.</w:t>
      </w:r>
    </w:p>
    <w:p w:rsidR="00B279E0" w:rsidRDefault="00B279E0" w:rsidP="0088097F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:rsidR="00B279E0" w:rsidRPr="00890705" w:rsidRDefault="00B279E0" w:rsidP="0088097F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4">
    <w:p w:rsidR="00B279E0" w:rsidRDefault="00B279E0" w:rsidP="0088097F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  <w:p w:rsidR="00B279E0" w:rsidRDefault="00B279E0" w:rsidP="0088097F">
      <w:pPr>
        <w:pStyle w:val="FootnoteText"/>
        <w:rPr>
          <w:rFonts w:ascii="Verdana" w:hAnsi="Verdana"/>
          <w:sz w:val="16"/>
          <w:szCs w:val="16"/>
          <w:lang w:val="bg-BG"/>
        </w:rPr>
      </w:pPr>
    </w:p>
    <w:p w:rsidR="00B279E0" w:rsidRDefault="00B279E0" w:rsidP="0088097F">
      <w:pPr>
        <w:pStyle w:val="FootnoteText"/>
        <w:rPr>
          <w:rFonts w:ascii="Verdana" w:hAnsi="Verdana"/>
          <w:sz w:val="16"/>
          <w:szCs w:val="16"/>
          <w:lang w:val="bg-BG"/>
        </w:rPr>
      </w:pPr>
    </w:p>
    <w:p w:rsidR="00B279E0" w:rsidRPr="000F5746" w:rsidRDefault="00B279E0" w:rsidP="0088097F">
      <w:pPr>
        <w:pStyle w:val="FootnoteText"/>
        <w:rPr>
          <w:lang w:val="en-US"/>
        </w:rPr>
      </w:pPr>
    </w:p>
  </w:footnote>
  <w:footnote w:id="5">
    <w:p w:rsidR="00B279E0" w:rsidRDefault="00B279E0" w:rsidP="0088097F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  <w:p w:rsidR="00B279E0" w:rsidRDefault="00B279E0" w:rsidP="0088097F">
      <w:pPr>
        <w:pStyle w:val="FootnoteText"/>
        <w:rPr>
          <w:rFonts w:ascii="Verdana" w:hAnsi="Verdana"/>
          <w:sz w:val="16"/>
          <w:szCs w:val="16"/>
          <w:lang w:val="bg-BG"/>
        </w:rPr>
      </w:pPr>
    </w:p>
    <w:p w:rsidR="00B279E0" w:rsidRDefault="00B279E0" w:rsidP="0088097F">
      <w:pPr>
        <w:pStyle w:val="FootnoteText"/>
        <w:rPr>
          <w:rFonts w:ascii="Verdana" w:hAnsi="Verdana"/>
          <w:sz w:val="16"/>
          <w:szCs w:val="16"/>
          <w:lang w:val="bg-BG"/>
        </w:rPr>
      </w:pPr>
    </w:p>
    <w:p w:rsidR="00B279E0" w:rsidRPr="000F5746" w:rsidRDefault="00B279E0" w:rsidP="0088097F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E0" w:rsidRDefault="00B279E0" w:rsidP="00B279E0">
    <w:pPr>
      <w:spacing w:after="240"/>
      <w:jc w:val="center"/>
      <w:rPr>
        <w:rFonts w:ascii="Verdana" w:hAnsi="Verdana"/>
        <w:b/>
        <w:noProof/>
        <w:sz w:val="20"/>
        <w:lang w:val="bg-BG"/>
      </w:rPr>
    </w:pPr>
    <w:r w:rsidRPr="00B10CA2">
      <w:rPr>
        <w:rFonts w:ascii="Verdana" w:hAnsi="Verdana"/>
        <w:b/>
        <w:noProof/>
        <w:sz w:val="20"/>
        <w:lang w:val="bg-BG"/>
      </w:rPr>
      <w:t>ИНДЕКСИ НА ПРОИЗВОДСТВОТО В УСЛУГИТЕ ПРЕЗ</w:t>
    </w:r>
    <w:r w:rsidRPr="00B10CA2">
      <w:rPr>
        <w:rFonts w:ascii="Verdana" w:hAnsi="Verdana"/>
        <w:b/>
        <w:noProof/>
        <w:sz w:val="20"/>
        <w:lang w:val="ru-RU"/>
      </w:rPr>
      <w:t xml:space="preserve"> ОКТОМВРИ</w:t>
    </w:r>
  </w:p>
  <w:p w:rsidR="00B279E0" w:rsidRPr="00F76D42" w:rsidRDefault="00B279E0" w:rsidP="00B279E0">
    <w:pPr>
      <w:spacing w:after="240"/>
      <w:jc w:val="center"/>
      <w:rPr>
        <w:lang w:val="bg-BG"/>
      </w:rPr>
    </w:pPr>
    <w:r w:rsidRPr="00DD11CB">
      <w:rPr>
        <w:rFonts w:ascii="Verdana" w:hAnsi="Verdana"/>
        <w:noProof/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B3F224" id="Graphic 7" o:spid="_x0000_s1026" style="position:absolute;margin-left:0;margin-top:15.7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B10CA2">
      <w:rPr>
        <w:rFonts w:ascii="Verdana" w:hAnsi="Verdana"/>
        <w:b/>
        <w:noProof/>
        <w:sz w:val="20"/>
        <w:lang w:val="bg-BG"/>
      </w:rPr>
      <w:t>2024 ГОДИНА</w:t>
    </w:r>
    <w:r w:rsidRPr="00B10CA2">
      <w:rPr>
        <w:rFonts w:ascii="Verdana" w:hAnsi="Verdana"/>
        <w:b/>
        <w:noProof/>
        <w:sz w:val="20"/>
        <w:lang w:val="bg-BG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E0" w:rsidRPr="00D83F28" w:rsidRDefault="00B279E0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posOffset>4874260</wp:posOffset>
          </wp:positionH>
          <wp:positionV relativeFrom="topMargin">
            <wp:posOffset>283210</wp:posOffset>
          </wp:positionV>
          <wp:extent cx="816610" cy="824230"/>
          <wp:effectExtent l="0" t="0" r="2540" b="0"/>
          <wp:wrapSquare wrapText="bothSides"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79E0" w:rsidRDefault="00B279E0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B279E0" w:rsidRPr="00D83F28" w:rsidRDefault="00B279E0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B279E0" w:rsidRPr="00FD731D" w:rsidRDefault="00B279E0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B279E0" w:rsidRDefault="00B279E0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B279E0" w:rsidRPr="00D83F28" w:rsidRDefault="00B279E0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B279E0" w:rsidRPr="00FD731D" w:rsidRDefault="00B279E0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E24903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FA8762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val="en-US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1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266E6D"/>
    <w:rsid w:val="003E75E1"/>
    <w:rsid w:val="005044B9"/>
    <w:rsid w:val="005634EA"/>
    <w:rsid w:val="00632DB2"/>
    <w:rsid w:val="00643044"/>
    <w:rsid w:val="006442C6"/>
    <w:rsid w:val="006A4C8F"/>
    <w:rsid w:val="006B4E77"/>
    <w:rsid w:val="007A4394"/>
    <w:rsid w:val="0088097F"/>
    <w:rsid w:val="008E6CB5"/>
    <w:rsid w:val="009757F5"/>
    <w:rsid w:val="00B01F93"/>
    <w:rsid w:val="00B10CA2"/>
    <w:rsid w:val="00B279E0"/>
    <w:rsid w:val="00C536FC"/>
    <w:rsid w:val="00C82E0F"/>
    <w:rsid w:val="00C8495B"/>
    <w:rsid w:val="00CE79AA"/>
    <w:rsid w:val="00D60CD2"/>
    <w:rsid w:val="00D83F28"/>
    <w:rsid w:val="00D94206"/>
    <w:rsid w:val="00E6797B"/>
    <w:rsid w:val="00EF4FC0"/>
    <w:rsid w:val="00F7254E"/>
    <w:rsid w:val="00F76D42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7D1BC"/>
  <w15:chartTrackingRefBased/>
  <w15:docId w15:val="{8D2C7680-D76B-469C-B49D-30925F2A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10CA2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0CA2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B10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85388491473444E-2"/>
          <c:y val="9.8214285714285726E-2"/>
          <c:w val="0.91168108924926949"/>
          <c:h val="0.63522567491563564"/>
        </c:manualLayout>
      </c:layout>
      <c:lineChart>
        <c:grouping val="standard"/>
        <c:varyColors val="0"/>
        <c:ser>
          <c:idx val="0"/>
          <c:order val="0"/>
          <c:tx>
            <c:strRef>
              <c:f>BG!$A$4</c:f>
              <c:strCache>
                <c:ptCount val="1"/>
                <c:pt idx="0">
                  <c:v>Бизнес услуги  - сезонно неизгладени</c:v>
                </c:pt>
              </c:strCache>
            </c:strRef>
          </c:tx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strRef>
              <c:f>BG!$W$3:$AU$3</c:f>
              <c:strCache>
                <c:ptCount val="25"/>
                <c:pt idx="0">
                  <c:v>X 2022</c:v>
                </c:pt>
                <c:pt idx="1">
                  <c:v>XI 2022</c:v>
                </c:pt>
                <c:pt idx="2">
                  <c:v>XII 2022</c:v>
                </c:pt>
                <c:pt idx="3">
                  <c:v>I 2023</c:v>
                </c:pt>
                <c:pt idx="4">
                  <c:v>II 2023</c:v>
                </c:pt>
                <c:pt idx="5">
                  <c:v>III 2023</c:v>
                </c:pt>
                <c:pt idx="6">
                  <c:v>IV 2023</c:v>
                </c:pt>
                <c:pt idx="7">
                  <c:v>V 2023</c:v>
                </c:pt>
                <c:pt idx="8">
                  <c:v>VI 2023</c:v>
                </c:pt>
                <c:pt idx="9">
                  <c:v>VII 2023</c:v>
                </c:pt>
                <c:pt idx="10">
                  <c:v>VIII 2023</c:v>
                </c:pt>
                <c:pt idx="11">
                  <c:v>IX 2023</c:v>
                </c:pt>
                <c:pt idx="12">
                  <c:v>X 2023</c:v>
                </c:pt>
                <c:pt idx="13">
                  <c:v>XI 2023</c:v>
                </c:pt>
                <c:pt idx="14">
                  <c:v>XII 2023</c:v>
                </c:pt>
                <c:pt idx="15">
                  <c:v>I 2024</c:v>
                </c:pt>
                <c:pt idx="16">
                  <c:v>II 2024</c:v>
                </c:pt>
                <c:pt idx="17">
                  <c:v>III 2024</c:v>
                </c:pt>
                <c:pt idx="18">
                  <c:v>IV 2024</c:v>
                </c:pt>
                <c:pt idx="19">
                  <c:v>V 2024</c:v>
                </c:pt>
                <c:pt idx="20">
                  <c:v>VI 2024</c:v>
                </c:pt>
                <c:pt idx="21">
                  <c:v>VII 2024</c:v>
                </c:pt>
                <c:pt idx="22">
                  <c:v>VIII 2024</c:v>
                </c:pt>
                <c:pt idx="23">
                  <c:v>IX 2024</c:v>
                </c:pt>
                <c:pt idx="24">
                  <c:v>X 2024</c:v>
                </c:pt>
              </c:strCache>
            </c:strRef>
          </c:cat>
          <c:val>
            <c:numRef>
              <c:f>BG!$W$4:$AU$4</c:f>
              <c:numCache>
                <c:formatCode>0.0</c:formatCode>
                <c:ptCount val="25"/>
                <c:pt idx="0">
                  <c:v>109.8</c:v>
                </c:pt>
                <c:pt idx="1">
                  <c:v>113.1</c:v>
                </c:pt>
                <c:pt idx="2">
                  <c:v>126.2</c:v>
                </c:pt>
                <c:pt idx="3">
                  <c:v>95.1</c:v>
                </c:pt>
                <c:pt idx="4">
                  <c:v>99.9</c:v>
                </c:pt>
                <c:pt idx="5">
                  <c:v>113.3</c:v>
                </c:pt>
                <c:pt idx="6">
                  <c:v>102.7</c:v>
                </c:pt>
                <c:pt idx="7">
                  <c:v>108.8</c:v>
                </c:pt>
                <c:pt idx="8">
                  <c:v>117.3</c:v>
                </c:pt>
                <c:pt idx="9">
                  <c:v>114.9</c:v>
                </c:pt>
                <c:pt idx="10">
                  <c:v>116.1</c:v>
                </c:pt>
                <c:pt idx="11">
                  <c:v>111</c:v>
                </c:pt>
                <c:pt idx="12">
                  <c:v>109.8</c:v>
                </c:pt>
                <c:pt idx="13">
                  <c:v>111.6</c:v>
                </c:pt>
                <c:pt idx="14">
                  <c:v>125.8</c:v>
                </c:pt>
                <c:pt idx="15">
                  <c:v>99.4</c:v>
                </c:pt>
                <c:pt idx="16">
                  <c:v>104.5</c:v>
                </c:pt>
                <c:pt idx="17">
                  <c:v>112.9</c:v>
                </c:pt>
                <c:pt idx="18">
                  <c:v>113.6</c:v>
                </c:pt>
                <c:pt idx="19">
                  <c:v>109.5</c:v>
                </c:pt>
                <c:pt idx="20">
                  <c:v>120</c:v>
                </c:pt>
                <c:pt idx="21">
                  <c:v>125.8</c:v>
                </c:pt>
                <c:pt idx="22">
                  <c:v>121.7</c:v>
                </c:pt>
                <c:pt idx="23">
                  <c:v>118.4</c:v>
                </c:pt>
                <c:pt idx="24">
                  <c:v>116.3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8A2-4B4A-9370-E03D63407418}"/>
            </c:ext>
          </c:extLst>
        </c:ser>
        <c:ser>
          <c:idx val="1"/>
          <c:order val="1"/>
          <c:tx>
            <c:strRef>
              <c:f>BG!$A$5</c:f>
              <c:strCache>
                <c:ptCount val="1"/>
                <c:pt idx="0">
                  <c:v>Бизнес услуги  - сезонно изгладени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BG!$W$3:$AU$3</c:f>
              <c:strCache>
                <c:ptCount val="25"/>
                <c:pt idx="0">
                  <c:v>X 2022</c:v>
                </c:pt>
                <c:pt idx="1">
                  <c:v>XI 2022</c:v>
                </c:pt>
                <c:pt idx="2">
                  <c:v>XII 2022</c:v>
                </c:pt>
                <c:pt idx="3">
                  <c:v>I 2023</c:v>
                </c:pt>
                <c:pt idx="4">
                  <c:v>II 2023</c:v>
                </c:pt>
                <c:pt idx="5">
                  <c:v>III 2023</c:v>
                </c:pt>
                <c:pt idx="6">
                  <c:v>IV 2023</c:v>
                </c:pt>
                <c:pt idx="7">
                  <c:v>V 2023</c:v>
                </c:pt>
                <c:pt idx="8">
                  <c:v>VI 2023</c:v>
                </c:pt>
                <c:pt idx="9">
                  <c:v>VII 2023</c:v>
                </c:pt>
                <c:pt idx="10">
                  <c:v>VIII 2023</c:v>
                </c:pt>
                <c:pt idx="11">
                  <c:v>IX 2023</c:v>
                </c:pt>
                <c:pt idx="12">
                  <c:v>X 2023</c:v>
                </c:pt>
                <c:pt idx="13">
                  <c:v>XI 2023</c:v>
                </c:pt>
                <c:pt idx="14">
                  <c:v>XII 2023</c:v>
                </c:pt>
                <c:pt idx="15">
                  <c:v>I 2024</c:v>
                </c:pt>
                <c:pt idx="16">
                  <c:v>II 2024</c:v>
                </c:pt>
                <c:pt idx="17">
                  <c:v>III 2024</c:v>
                </c:pt>
                <c:pt idx="18">
                  <c:v>IV 2024</c:v>
                </c:pt>
                <c:pt idx="19">
                  <c:v>V 2024</c:v>
                </c:pt>
                <c:pt idx="20">
                  <c:v>VI 2024</c:v>
                </c:pt>
                <c:pt idx="21">
                  <c:v>VII 2024</c:v>
                </c:pt>
                <c:pt idx="22">
                  <c:v>VIII 2024</c:v>
                </c:pt>
                <c:pt idx="23">
                  <c:v>IX 2024</c:v>
                </c:pt>
                <c:pt idx="24">
                  <c:v>X 2024</c:v>
                </c:pt>
              </c:strCache>
            </c:strRef>
          </c:cat>
          <c:val>
            <c:numRef>
              <c:f>BG!$W$5:$AU$5</c:f>
              <c:numCache>
                <c:formatCode>0.0</c:formatCode>
                <c:ptCount val="25"/>
                <c:pt idx="0">
                  <c:v>112.9</c:v>
                </c:pt>
                <c:pt idx="1">
                  <c:v>114.9</c:v>
                </c:pt>
                <c:pt idx="2">
                  <c:v>113</c:v>
                </c:pt>
                <c:pt idx="3">
                  <c:v>110.9</c:v>
                </c:pt>
                <c:pt idx="4">
                  <c:v>110.7</c:v>
                </c:pt>
                <c:pt idx="5">
                  <c:v>111.9</c:v>
                </c:pt>
                <c:pt idx="6">
                  <c:v>111.2</c:v>
                </c:pt>
                <c:pt idx="7">
                  <c:v>113.6</c:v>
                </c:pt>
                <c:pt idx="8">
                  <c:v>112.1</c:v>
                </c:pt>
                <c:pt idx="9">
                  <c:v>109.5</c:v>
                </c:pt>
                <c:pt idx="10">
                  <c:v>112.6</c:v>
                </c:pt>
                <c:pt idx="11">
                  <c:v>112</c:v>
                </c:pt>
                <c:pt idx="12">
                  <c:v>112.3</c:v>
                </c:pt>
                <c:pt idx="13">
                  <c:v>112.5</c:v>
                </c:pt>
                <c:pt idx="14">
                  <c:v>112.9</c:v>
                </c:pt>
                <c:pt idx="15">
                  <c:v>114.1</c:v>
                </c:pt>
                <c:pt idx="16">
                  <c:v>114.9</c:v>
                </c:pt>
                <c:pt idx="17">
                  <c:v>114.5</c:v>
                </c:pt>
                <c:pt idx="18">
                  <c:v>117.4</c:v>
                </c:pt>
                <c:pt idx="19">
                  <c:v>116.1</c:v>
                </c:pt>
                <c:pt idx="20">
                  <c:v>117.1</c:v>
                </c:pt>
                <c:pt idx="21">
                  <c:v>119</c:v>
                </c:pt>
                <c:pt idx="22">
                  <c:v>119.2</c:v>
                </c:pt>
                <c:pt idx="23">
                  <c:v>119.4</c:v>
                </c:pt>
                <c:pt idx="24">
                  <c:v>118.9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A2-4B4A-9370-E03D634074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14304"/>
        <c:axId val="115723264"/>
      </c:lineChart>
      <c:catAx>
        <c:axId val="1157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5723264"/>
        <c:crosses val="autoZero"/>
        <c:auto val="1"/>
        <c:lblAlgn val="ctr"/>
        <c:lblOffset val="100"/>
        <c:noMultiLvlLbl val="0"/>
      </c:catAx>
      <c:valAx>
        <c:axId val="115723264"/>
        <c:scaling>
          <c:orientation val="minMax"/>
          <c:max val="140"/>
          <c:min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/>
        </c:spPr>
        <c:crossAx val="11571430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4054969174037455"/>
          <c:y val="0.90757573527608115"/>
          <c:w val="0.55018277757254686"/>
          <c:h val="9.223121695522930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644138560640938E-2"/>
          <c:y val="0.1314687072566634"/>
          <c:w val="0.92636185844085828"/>
          <c:h val="0.59717430058084842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0"/>
              <c:layout>
                <c:manualLayout>
                  <c:x val="0"/>
                  <c:y val="-2.2275007986770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54-4097-9B57-12B306C768B0}"/>
                </c:ext>
              </c:extLst>
            </c:dLbl>
            <c:dLbl>
              <c:idx val="1"/>
              <c:layout>
                <c:manualLayout>
                  <c:x val="0"/>
                  <c:y val="9.5465393794749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54-4097-9B57-12B306C768B0}"/>
                </c:ext>
              </c:extLst>
            </c:dLbl>
            <c:dLbl>
              <c:idx val="2"/>
              <c:layout>
                <c:manualLayout>
                  <c:x val="-9.4562647754137287E-3"/>
                  <c:y val="1.166785778682500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54-4097-9B57-12B306C768B0}"/>
                </c:ext>
              </c:extLst>
            </c:dLbl>
            <c:dLbl>
              <c:idx val="3"/>
              <c:layout>
                <c:manualLayout>
                  <c:x val="0"/>
                  <c:y val="-3.1819292278201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54-4097-9B57-12B306C768B0}"/>
                </c:ext>
              </c:extLst>
            </c:dLbl>
            <c:dLbl>
              <c:idx val="6"/>
              <c:layout>
                <c:manualLayout>
                  <c:x val="0"/>
                  <c:y val="-1.2728719172633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954-4097-9B57-12B306C768B0}"/>
                </c:ext>
              </c:extLst>
            </c:dLbl>
            <c:dLbl>
              <c:idx val="8"/>
              <c:layout>
                <c:manualLayout>
                  <c:x val="-4.5918865613539857E-3"/>
                  <c:y val="1.6369200234705318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470700919100773E-2"/>
                      <c:h val="5.73203635235515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D954-4097-9B57-12B306C768B0}"/>
                </c:ext>
              </c:extLst>
            </c:dLbl>
            <c:dLbl>
              <c:idx val="11"/>
              <c:layout>
                <c:manualLayout>
                  <c:x val="5.2046486769844209E-3"/>
                  <c:y val="6.5934650267014776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498908493001984E-2"/>
                      <c:h val="5.36802932040112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D954-4097-9B57-12B306C768B0}"/>
                </c:ext>
              </c:extLst>
            </c:dLbl>
            <c:dLbl>
              <c:idx val="12"/>
              <c:layout>
                <c:manualLayout>
                  <c:x val="-1.891252955082811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954-4097-9B57-12B306C768B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BG!$W$10:$AU$10</c:f>
              <c:strCache>
                <c:ptCount val="25"/>
                <c:pt idx="0">
                  <c:v>X 2022</c:v>
                </c:pt>
                <c:pt idx="1">
                  <c:v>XI 2022</c:v>
                </c:pt>
                <c:pt idx="2">
                  <c:v>XII 2022</c:v>
                </c:pt>
                <c:pt idx="3">
                  <c:v>I 2023</c:v>
                </c:pt>
                <c:pt idx="4">
                  <c:v>II 2023</c:v>
                </c:pt>
                <c:pt idx="5">
                  <c:v>III 2023</c:v>
                </c:pt>
                <c:pt idx="6">
                  <c:v>IV 2023</c:v>
                </c:pt>
                <c:pt idx="7">
                  <c:v>V 2023</c:v>
                </c:pt>
                <c:pt idx="8">
                  <c:v>VI 2023</c:v>
                </c:pt>
                <c:pt idx="9">
                  <c:v>VII 2023</c:v>
                </c:pt>
                <c:pt idx="10">
                  <c:v>VIII 2023</c:v>
                </c:pt>
                <c:pt idx="11">
                  <c:v>IX 2023</c:v>
                </c:pt>
                <c:pt idx="12">
                  <c:v>X 2023</c:v>
                </c:pt>
                <c:pt idx="13">
                  <c:v>XI 2023</c:v>
                </c:pt>
                <c:pt idx="14">
                  <c:v>XII 2023</c:v>
                </c:pt>
                <c:pt idx="15">
                  <c:v>I 2024</c:v>
                </c:pt>
                <c:pt idx="16">
                  <c:v>II 2024</c:v>
                </c:pt>
                <c:pt idx="17">
                  <c:v>III 2024</c:v>
                </c:pt>
                <c:pt idx="18">
                  <c:v>IV 2024</c:v>
                </c:pt>
                <c:pt idx="19">
                  <c:v>V 2024</c:v>
                </c:pt>
                <c:pt idx="20">
                  <c:v>VI 2024</c:v>
                </c:pt>
                <c:pt idx="21">
                  <c:v>VII 2024</c:v>
                </c:pt>
                <c:pt idx="22">
                  <c:v>VIII 2024</c:v>
                </c:pt>
                <c:pt idx="23">
                  <c:v>IX 2024</c:v>
                </c:pt>
                <c:pt idx="24">
                  <c:v>X 2024</c:v>
                </c:pt>
              </c:strCache>
            </c:strRef>
          </c:cat>
          <c:val>
            <c:numRef>
              <c:f>BG!$W$11:$AU$11</c:f>
              <c:numCache>
                <c:formatCode>0.0</c:formatCode>
                <c:ptCount val="25"/>
                <c:pt idx="0">
                  <c:v>-0.7</c:v>
                </c:pt>
                <c:pt idx="1">
                  <c:v>1.7</c:v>
                </c:pt>
                <c:pt idx="2">
                  <c:v>-1.6</c:v>
                </c:pt>
                <c:pt idx="3">
                  <c:v>-1.8</c:v>
                </c:pt>
                <c:pt idx="4">
                  <c:v>-0.2</c:v>
                </c:pt>
                <c:pt idx="5">
                  <c:v>1.1000000000000001</c:v>
                </c:pt>
                <c:pt idx="6">
                  <c:v>-0.6</c:v>
                </c:pt>
                <c:pt idx="7">
                  <c:v>2.1</c:v>
                </c:pt>
                <c:pt idx="8">
                  <c:v>-1.3</c:v>
                </c:pt>
                <c:pt idx="9">
                  <c:v>-2.2999999999999998</c:v>
                </c:pt>
                <c:pt idx="10">
                  <c:v>2.8</c:v>
                </c:pt>
                <c:pt idx="11">
                  <c:v>-0.6</c:v>
                </c:pt>
                <c:pt idx="12">
                  <c:v>0.3</c:v>
                </c:pt>
                <c:pt idx="13">
                  <c:v>0.2</c:v>
                </c:pt>
                <c:pt idx="14">
                  <c:v>0.3</c:v>
                </c:pt>
                <c:pt idx="15">
                  <c:v>1.1000000000000001</c:v>
                </c:pt>
                <c:pt idx="16">
                  <c:v>0.7</c:v>
                </c:pt>
                <c:pt idx="17">
                  <c:v>-0.3</c:v>
                </c:pt>
                <c:pt idx="18">
                  <c:v>2.5</c:v>
                </c:pt>
                <c:pt idx="19">
                  <c:v>-1.1000000000000001</c:v>
                </c:pt>
                <c:pt idx="20">
                  <c:v>0.8</c:v>
                </c:pt>
                <c:pt idx="21">
                  <c:v>1.7</c:v>
                </c:pt>
                <c:pt idx="22">
                  <c:v>0.2</c:v>
                </c:pt>
                <c:pt idx="23">
                  <c:v>0.1</c:v>
                </c:pt>
                <c:pt idx="24">
                  <c:v>-0.4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954-4097-9B57-12B306C768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20128"/>
        <c:axId val="134730112"/>
      </c:barChart>
      <c:catAx>
        <c:axId val="1347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4730112"/>
        <c:crosses val="autoZero"/>
        <c:auto val="1"/>
        <c:lblAlgn val="ctr"/>
        <c:lblOffset val="100"/>
        <c:noMultiLvlLbl val="0"/>
      </c:catAx>
      <c:valAx>
        <c:axId val="134730112"/>
        <c:scaling>
          <c:orientation val="minMax"/>
          <c:max val="8"/>
          <c:min val="-6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4.9172893868026618E-2"/>
              <c:y val="4.344956880389951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4720128"/>
        <c:crosses val="autoZero"/>
        <c:crossBetween val="between"/>
        <c:majorUnit val="2"/>
      </c:valAx>
      <c:spPr>
        <a:effectLst>
          <a:outerShdw blurRad="50800" dist="50800" dir="5400000" sx="1000" sy="1000" algn="ctr" rotWithShape="0">
            <a:srgbClr val="000000"/>
          </a:outerShdw>
        </a:effectLst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54376584015828E-2"/>
          <c:y val="0.10465351877744253"/>
          <c:w val="0.92154564360743974"/>
          <c:h val="0.74846174602006521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1"/>
              <c:layout>
                <c:manualLayout>
                  <c:x val="-1.7165841614481879E-17"/>
                  <c:y val="-1.8691588785046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16-498A-BB45-195A6CE80E33}"/>
                </c:ext>
              </c:extLst>
            </c:dLbl>
            <c:dLbl>
              <c:idx val="3"/>
              <c:layout>
                <c:manualLayout>
                  <c:x val="-3.972985936921475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16-498A-BB45-195A6CE80E33}"/>
                </c:ext>
              </c:extLst>
            </c:dLbl>
            <c:dLbl>
              <c:idx val="4"/>
              <c:layout>
                <c:manualLayout>
                  <c:x val="-3.7453177997997921E-3"/>
                  <c:y val="4.6728971962616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492575939636087E-2"/>
                      <c:h val="5.14330218068535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116-498A-BB45-195A6CE80E33}"/>
                </c:ext>
              </c:extLst>
            </c:dLbl>
            <c:dLbl>
              <c:idx val="5"/>
              <c:layout>
                <c:manualLayout>
                  <c:x val="1.8726691421636437E-3"/>
                  <c:y val="9.545324940231371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16-498A-BB45-195A6CE80E33}"/>
                </c:ext>
              </c:extLst>
            </c:dLbl>
            <c:dLbl>
              <c:idx val="9"/>
              <c:layout>
                <c:manualLayout>
                  <c:x val="-2.0273694880892042E-2"/>
                  <c:y val="2.655654552455816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16-498A-BB45-195A6CE80E33}"/>
                </c:ext>
              </c:extLst>
            </c:dLbl>
            <c:dLbl>
              <c:idx val="10"/>
              <c:layout>
                <c:manualLayout>
                  <c:x val="-1.7592962170051324E-3"/>
                  <c:y val="-2.5293063993741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515965534718699E-2"/>
                      <c:h val="6.79765240137562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116-498A-BB45-195A6CE80E33}"/>
                </c:ext>
              </c:extLst>
            </c:dLbl>
            <c:dLbl>
              <c:idx val="11"/>
              <c:layout>
                <c:manualLayout>
                  <c:x val="4.8722941890328225E-3"/>
                  <c:y val="4.06231950811162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437975663584376E-2"/>
                      <c:h val="6.59035200701092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7116-498A-BB45-195A6CE80E33}"/>
                </c:ext>
              </c:extLst>
            </c:dLbl>
            <c:dLbl>
              <c:idx val="12"/>
              <c:layout>
                <c:manualLayout>
                  <c:x val="6.8663366457927514E-17"/>
                  <c:y val="2.452964407486447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16-498A-BB45-195A6CE80E33}"/>
                </c:ext>
              </c:extLst>
            </c:dLbl>
            <c:dLbl>
              <c:idx val="13"/>
              <c:layout>
                <c:manualLayout>
                  <c:x val="1.3108612299299188E-2"/>
                  <c:y val="3.1157553903893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116-498A-BB45-195A6CE80E33}"/>
                </c:ext>
              </c:extLst>
            </c:dLbl>
            <c:dLbl>
              <c:idx val="14"/>
              <c:layout>
                <c:manualLayout>
                  <c:x val="3.74531779979985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16-498A-BB45-195A6CE80E33}"/>
                </c:ext>
              </c:extLst>
            </c:dLbl>
            <c:dLbl>
              <c:idx val="20"/>
              <c:layout>
                <c:manualLayout>
                  <c:x val="5.9612509301741933E-3"/>
                  <c:y val="2.452964407486447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116-498A-BB45-195A6CE80E33}"/>
                </c:ext>
              </c:extLst>
            </c:dLbl>
            <c:dLbl>
              <c:idx val="21"/>
              <c:layout>
                <c:manualLayout>
                  <c:x val="4.5769552955033624E-4"/>
                  <c:y val="1.2264822037432237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116-498A-BB45-195A6CE80E33}"/>
                </c:ext>
              </c:extLst>
            </c:dLbl>
            <c:dLbl>
              <c:idx val="22"/>
              <c:layout>
                <c:manualLayout>
                  <c:x val="5.7211941193792035E-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116-498A-BB45-195A6CE80E33}"/>
                </c:ext>
              </c:extLst>
            </c:dLbl>
            <c:dLbl>
              <c:idx val="23"/>
              <c:layout>
                <c:manualLayout>
                  <c:x val="0"/>
                  <c:y val="-1.349072512647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116-498A-BB45-195A6CE80E33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BG!$W$16:$AU$16</c:f>
              <c:strCache>
                <c:ptCount val="25"/>
                <c:pt idx="0">
                  <c:v>X 2022</c:v>
                </c:pt>
                <c:pt idx="1">
                  <c:v>XI 2022</c:v>
                </c:pt>
                <c:pt idx="2">
                  <c:v>XII 2022</c:v>
                </c:pt>
                <c:pt idx="3">
                  <c:v>I 2023</c:v>
                </c:pt>
                <c:pt idx="4">
                  <c:v>II 2023</c:v>
                </c:pt>
                <c:pt idx="5">
                  <c:v>III 2023</c:v>
                </c:pt>
                <c:pt idx="6">
                  <c:v>IV 2023</c:v>
                </c:pt>
                <c:pt idx="7">
                  <c:v>V 2023</c:v>
                </c:pt>
                <c:pt idx="8">
                  <c:v>VI 2023</c:v>
                </c:pt>
                <c:pt idx="9">
                  <c:v>VII 2023</c:v>
                </c:pt>
                <c:pt idx="10">
                  <c:v>VIII 2023</c:v>
                </c:pt>
                <c:pt idx="11">
                  <c:v>IX 2023</c:v>
                </c:pt>
                <c:pt idx="12">
                  <c:v>X 2023</c:v>
                </c:pt>
                <c:pt idx="13">
                  <c:v>XI 2023</c:v>
                </c:pt>
                <c:pt idx="14">
                  <c:v>XII 2023</c:v>
                </c:pt>
                <c:pt idx="15">
                  <c:v>I 2024</c:v>
                </c:pt>
                <c:pt idx="16">
                  <c:v>II 2024</c:v>
                </c:pt>
                <c:pt idx="17">
                  <c:v>III 2024</c:v>
                </c:pt>
                <c:pt idx="18">
                  <c:v>IV 2024</c:v>
                </c:pt>
                <c:pt idx="19">
                  <c:v>V 2024</c:v>
                </c:pt>
                <c:pt idx="20">
                  <c:v>VI 2024</c:v>
                </c:pt>
                <c:pt idx="21">
                  <c:v>VII 2024</c:v>
                </c:pt>
                <c:pt idx="22">
                  <c:v>VIII 2024</c:v>
                </c:pt>
                <c:pt idx="23">
                  <c:v>IX 2024</c:v>
                </c:pt>
                <c:pt idx="24">
                  <c:v>X 2024</c:v>
                </c:pt>
              </c:strCache>
            </c:strRef>
          </c:cat>
          <c:val>
            <c:numRef>
              <c:f>BG!$W$17:$AU$17</c:f>
              <c:numCache>
                <c:formatCode>0.0</c:formatCode>
                <c:ptCount val="25"/>
                <c:pt idx="0">
                  <c:v>9.9</c:v>
                </c:pt>
                <c:pt idx="1">
                  <c:v>9.8000000000000007</c:v>
                </c:pt>
                <c:pt idx="2">
                  <c:v>8.6</c:v>
                </c:pt>
                <c:pt idx="3">
                  <c:v>3.5</c:v>
                </c:pt>
                <c:pt idx="4">
                  <c:v>3.4</c:v>
                </c:pt>
                <c:pt idx="5">
                  <c:v>2.4</c:v>
                </c:pt>
                <c:pt idx="6">
                  <c:v>-0.2</c:v>
                </c:pt>
                <c:pt idx="7">
                  <c:v>1</c:v>
                </c:pt>
                <c:pt idx="8">
                  <c:v>-1.1000000000000001</c:v>
                </c:pt>
                <c:pt idx="9">
                  <c:v>-4.0999999999999996</c:v>
                </c:pt>
                <c:pt idx="10">
                  <c:v>-2.7</c:v>
                </c:pt>
                <c:pt idx="11">
                  <c:v>-2.2000000000000002</c:v>
                </c:pt>
                <c:pt idx="12">
                  <c:v>-0.5</c:v>
                </c:pt>
                <c:pt idx="13">
                  <c:v>-1.4</c:v>
                </c:pt>
                <c:pt idx="14">
                  <c:v>0.2</c:v>
                </c:pt>
                <c:pt idx="15">
                  <c:v>3.9</c:v>
                </c:pt>
                <c:pt idx="16">
                  <c:v>4.5999999999999996</c:v>
                </c:pt>
                <c:pt idx="17">
                  <c:v>2.6</c:v>
                </c:pt>
                <c:pt idx="18">
                  <c:v>6.2</c:v>
                </c:pt>
                <c:pt idx="19">
                  <c:v>1.9</c:v>
                </c:pt>
                <c:pt idx="20">
                  <c:v>4</c:v>
                </c:pt>
                <c:pt idx="21">
                  <c:v>8.6</c:v>
                </c:pt>
                <c:pt idx="22">
                  <c:v>5.8</c:v>
                </c:pt>
                <c:pt idx="23">
                  <c:v>7</c:v>
                </c:pt>
                <c:pt idx="24">
                  <c:v>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116-498A-BB45-195A6CE80E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91680"/>
        <c:axId val="139593216"/>
      </c:barChart>
      <c:catAx>
        <c:axId val="13959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9593216"/>
        <c:crosses val="autoZero"/>
        <c:auto val="1"/>
        <c:lblAlgn val="ctr"/>
        <c:lblOffset val="100"/>
        <c:noMultiLvlLbl val="0"/>
      </c:catAx>
      <c:valAx>
        <c:axId val="139593216"/>
        <c:scaling>
          <c:orientation val="minMax"/>
          <c:max val="25"/>
          <c:min val="-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6151310407030331E-2"/>
              <c:y val="1.0641984515166801E-3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591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6A7B-E6C5-456F-8501-CDF1A92F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Stela Staykova-Valkova</cp:lastModifiedBy>
  <cp:revision>9</cp:revision>
  <dcterms:created xsi:type="dcterms:W3CDTF">2024-12-23T09:14:00Z</dcterms:created>
  <dcterms:modified xsi:type="dcterms:W3CDTF">2025-01-07T07:58:00Z</dcterms:modified>
</cp:coreProperties>
</file>