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A5" w:rsidRPr="007B0459" w:rsidRDefault="006977A5" w:rsidP="006977A5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459">
        <w:rPr>
          <w:rFonts w:ascii="Times New Roman" w:hAnsi="Times New Roman" w:cs="Times New Roman"/>
          <w:b/>
          <w:sz w:val="26"/>
          <w:szCs w:val="26"/>
        </w:rPr>
        <w:t xml:space="preserve">Изменение на комплексната цена на ВиК услуги за 2025 г. спрямо действащата утвърдена цена на ВиК услуги за 2024 г. </w:t>
      </w:r>
    </w:p>
    <w:p w:rsidR="00E85A26" w:rsidRDefault="006977A5"/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2268"/>
        <w:gridCol w:w="1984"/>
        <w:gridCol w:w="1418"/>
      </w:tblGrid>
      <w:tr w:rsidR="006977A5" w:rsidRPr="006977A5" w:rsidTr="006977A5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В и К оператор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 xml:space="preserve">Действаща комплексна цена  на ВиК услуги до 31.12.2024 г. за  ВиК оператори с одобрен БП за регулаторен период 2022-2026 г. </w:t>
            </w: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br/>
              <w:t>лв./</w:t>
            </w:r>
            <w:proofErr w:type="spellStart"/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куб.м</w:t>
            </w:r>
            <w:proofErr w:type="spellEnd"/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 xml:space="preserve"> с ДДС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Утвърдена комплексна цена на ВиК услуги от 01.01.2025 г., съгласно Решение № Ц-30 от 19.12.2024 г. на КЕВР</w:t>
            </w: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br/>
              <w:t>(лв./</w:t>
            </w:r>
            <w:proofErr w:type="spellStart"/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куб.м</w:t>
            </w:r>
            <w:proofErr w:type="spellEnd"/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 xml:space="preserve"> с ДДС)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 xml:space="preserve">Изменение </w:t>
            </w: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br/>
              <w:t xml:space="preserve">през 2025 г. спрямо 2024 г. </w:t>
            </w: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br/>
              <w:t>(%)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ЕООД, гр. Благоевград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3,2%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ЕАД, гр. Бургас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4,3%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 - Варна“ ООД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5,489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1,2%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„Водоснабдяване и канализация </w:t>
            </w:r>
            <w:proofErr w:type="spellStart"/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Йовковци</w:t>
            </w:r>
            <w:proofErr w:type="spellEnd"/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” ООД, гр. Вел</w:t>
            </w:r>
            <w:bookmarkStart w:id="0" w:name="_GoBack"/>
            <w:bookmarkEnd w:id="0"/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ико Търново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7,2%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 - Видин” ЕООД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5,7%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ООД, гр. Враца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5,7%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„ВиК” ООД, гр. Габрово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6,4%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„Водоснабдяване и канализация Добрич“ АД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-14,2%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„ВиК“ ООД, гр. Кърджали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2,3%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„Кюстендилска вода“ ЕООД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3,716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6,0%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 и К” АД, гр. Ловеч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4,897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-0,4%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ООД, гр. Монтана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4,970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2,1%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„Водоснабдяване и канализационни услуги “ ЕООД, гр. Пазарджик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5,1%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„Водоснабдяване и канализация“ ООД, гр. Перник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9,9%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канализация” ЕООД, гр. Плевен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2,2%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ЕООД, гр. Пловдив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4,5%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- Дунав” ЕООД, гр. Разград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6,097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2,7%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ООД, гр. Русе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2,4%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ООД, гр. Силистра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5,796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6,2%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 - Сливен“ ООД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19,8%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ЕООД, гр. Смолян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6,3%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„Софийска вода“ АД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4,9%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„Водоснабдяване и канализация“ ЕООД, гр. София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4,9%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канализация” ЕООД, гр. Стара Загора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3,6%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канализация” ООД, гр. Търговище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3,7%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ЕООД, гр. Хасково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-5,7%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 - Шумен“ ООД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9,6%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ЕООД, гр. Ямбол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3,3%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„ВиК-Кресна” ЕООД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0,996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9,0%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ВиК Паничище” ЕООД, гр. Сапарева баня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1,361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1,507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10,7%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„ВиК - </w:t>
            </w:r>
            <w:proofErr w:type="spellStart"/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Стенето</w:t>
            </w:r>
            <w:proofErr w:type="spellEnd"/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“ ЕООД, гр. Троян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3,082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8,7%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</w:t>
            </w:r>
            <w:proofErr w:type="spellStart"/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Инфрастрой</w:t>
            </w:r>
            <w:proofErr w:type="spellEnd"/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“ ЕООД, гр. Брацигово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1,866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3,3%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„Водоснабдяване и канализация“ ЕООД, гр. Берковица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2,278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2,570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12,8%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 xml:space="preserve">„ВиК – Златни пясъци“ ООД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4,906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5,126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4,5%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„АЦК“ ООД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4,616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-5,2%</w:t>
            </w:r>
          </w:p>
        </w:tc>
      </w:tr>
      <w:tr w:rsidR="006977A5" w:rsidRPr="006977A5" w:rsidTr="006977A5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b w:val="0"/>
                <w:sz w:val="16"/>
                <w:szCs w:val="16"/>
                <w:lang w:val="bg-BG" w:eastAsia="en-GB"/>
              </w:rPr>
              <w:t>"Информационни носители" 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3,690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7A5" w:rsidRPr="006977A5" w:rsidRDefault="006977A5" w:rsidP="006977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bg-BG" w:eastAsia="en-GB"/>
              </w:rPr>
            </w:pPr>
            <w:r w:rsidRPr="006977A5">
              <w:rPr>
                <w:rFonts w:eastAsia="Times New Roman"/>
                <w:sz w:val="16"/>
                <w:szCs w:val="16"/>
                <w:lang w:val="bg-BG" w:eastAsia="en-GB"/>
              </w:rPr>
              <w:t>6,3%</w:t>
            </w:r>
          </w:p>
        </w:tc>
      </w:tr>
    </w:tbl>
    <w:p w:rsidR="006977A5" w:rsidRDefault="006977A5"/>
    <w:sectPr w:rsidR="006977A5" w:rsidSect="006977A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34"/>
    <w:rsid w:val="00286BF7"/>
    <w:rsid w:val="00683734"/>
    <w:rsid w:val="006977A5"/>
    <w:rsid w:val="00B744E5"/>
    <w:rsid w:val="00F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5917"/>
  <w15:chartTrackingRefBased/>
  <w15:docId w15:val="{145194DB-990B-4814-ADFB-88C598B6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7A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6977A5"/>
    <w:rPr>
      <w:rFonts w:asciiTheme="minorHAnsi" w:hAnsiTheme="minorHAnsi" w:cstheme="minorBidi"/>
      <w:b w:val="0"/>
      <w:bCs w:val="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Company>HP Inc.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Ivailo Kastchiev</dc:creator>
  <cp:keywords/>
  <dc:description/>
  <cp:lastModifiedBy>Ivailo Kastchiev</cp:lastModifiedBy>
  <cp:revision>2</cp:revision>
  <dcterms:created xsi:type="dcterms:W3CDTF">2024-12-19T09:27:00Z</dcterms:created>
  <dcterms:modified xsi:type="dcterms:W3CDTF">2024-12-19T09:30:00Z</dcterms:modified>
</cp:coreProperties>
</file>