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65F99" w14:textId="35EFC293" w:rsidR="00301A12" w:rsidRDefault="00301A12" w:rsidP="00E245D5">
      <w:pPr>
        <w:spacing w:line="360" w:lineRule="auto"/>
        <w:ind w:firstLine="567"/>
        <w:jc w:val="both"/>
        <w:rPr>
          <w:rFonts w:ascii="Verdana" w:eastAsia="Times New Roman" w:hAnsi="Verdana" w:cs="Times New Roman"/>
          <w:b/>
          <w:smallCaps/>
          <w:sz w:val="20"/>
          <w:szCs w:val="20"/>
        </w:rPr>
      </w:pPr>
      <w:bookmarkStart w:id="0" w:name="_GoBack"/>
      <w:bookmarkEnd w:id="0"/>
      <w:r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От юли 2024 г. НСИ публикува Индекси на цени на производител на вътрешния и международния пазар в промишлеността при базова година 2021</w:t>
      </w:r>
      <w:r w:rsidR="00E60970"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</w:t>
      </w:r>
      <w:r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=</w:t>
      </w:r>
      <w:r w:rsidR="00E60970"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</w:t>
      </w:r>
      <w:r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100 в съответствие с изискванията на Регламент (ЕС) 2019/2152 на Европейския парламент и на Съвета за европейската бизнес статистика и Регламент за Изпълнение (ЕС) 2020/1197.</w:t>
      </w:r>
    </w:p>
    <w:p w14:paraId="06C01157" w14:textId="1AEAF503" w:rsidR="00B66E79" w:rsidRPr="00C969F8" w:rsidRDefault="00B66E79" w:rsidP="00686E46">
      <w:pPr>
        <w:snapToGrid w:val="0"/>
        <w:spacing w:before="160" w:after="160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  <w:lang w:val="ru-RU"/>
        </w:rPr>
      </w:pPr>
      <w:r w:rsidRPr="00C969F8">
        <w:rPr>
          <w:rFonts w:ascii="Verdana" w:eastAsia="Times New Roman" w:hAnsi="Verdana" w:cs="Times New Roman"/>
          <w:b/>
          <w:smallCaps/>
          <w:sz w:val="20"/>
          <w:szCs w:val="20"/>
        </w:rPr>
        <w:t>ИНДЕКСИ НА ЦЕНИ НА ПРОИЗВОДИТЕЛ В ПРОМИШЛЕНОСТТА,</w:t>
      </w:r>
    </w:p>
    <w:p w14:paraId="1165E49D" w14:textId="72836DE8" w:rsidR="00B66E79" w:rsidRPr="0063027D" w:rsidRDefault="00C97171" w:rsidP="00AE4FF4">
      <w:pPr>
        <w:snapToGrid w:val="0"/>
        <w:spacing w:before="160" w:after="160" w:line="36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</w:rPr>
      </w:pPr>
      <w:r>
        <w:rPr>
          <w:rFonts w:ascii="Verdana" w:eastAsia="Times New Roman" w:hAnsi="Verdana" w:cs="Times New Roman"/>
          <w:b/>
          <w:smallCaps/>
          <w:sz w:val="20"/>
          <w:szCs w:val="20"/>
        </w:rPr>
        <w:t>НОЕМВРИ</w:t>
      </w:r>
      <w:r w:rsidR="00182054">
        <w:rPr>
          <w:rFonts w:ascii="Verdana" w:eastAsia="Times New Roman" w:hAnsi="Verdana" w:cs="Times New Roman"/>
          <w:b/>
          <w:smallCaps/>
          <w:sz w:val="20"/>
          <w:szCs w:val="20"/>
        </w:rPr>
        <w:t xml:space="preserve"> </w:t>
      </w:r>
      <w:r w:rsidR="00B66E79" w:rsidRPr="00C969F8">
        <w:rPr>
          <w:rFonts w:ascii="Verdana" w:eastAsia="Times New Roman" w:hAnsi="Verdana" w:cs="Times New Roman"/>
          <w:b/>
          <w:smallCaps/>
          <w:sz w:val="20"/>
          <w:szCs w:val="20"/>
        </w:rPr>
        <w:t xml:space="preserve">2024 ГОДИНА </w:t>
      </w:r>
    </w:p>
    <w:p w14:paraId="0D0022BF" w14:textId="77777777" w:rsidR="00B66E79" w:rsidRPr="0063027D" w:rsidRDefault="00B66E79" w:rsidP="00AE4FF4">
      <w:pPr>
        <w:numPr>
          <w:ilvl w:val="0"/>
          <w:numId w:val="1"/>
        </w:numPr>
        <w:spacing w:before="160" w:after="160" w:line="360" w:lineRule="auto"/>
        <w:ind w:left="0" w:firstLine="567"/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</w:pPr>
      <w:r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t>Общ индекс на цените на производител в промишлеността</w:t>
      </w:r>
    </w:p>
    <w:p w14:paraId="5941A658" w14:textId="551CF966" w:rsidR="00B66E79" w:rsidRPr="003602CC" w:rsidRDefault="00B66E7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E6097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Общият индекс на цените на производител </w:t>
      </w:r>
      <w:r w:rsidR="00065FCD">
        <w:rPr>
          <w:rFonts w:ascii="Verdana" w:hAnsi="Verdana"/>
          <w:sz w:val="20"/>
          <w:szCs w:val="20"/>
        </w:rPr>
        <w:t>се увеличава</w:t>
      </w:r>
      <w:r w:rsidR="00715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065FCD">
        <w:rPr>
          <w:rFonts w:ascii="Verdana" w:eastAsia="Μοντέρνα" w:hAnsi="Verdana" w:cs="Times New Roman"/>
          <w:sz w:val="20"/>
          <w:szCs w:val="20"/>
          <w:lang w:eastAsia="bg-BG"/>
        </w:rPr>
        <w:t>2.9%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007C2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065FCD">
        <w:rPr>
          <w:rFonts w:ascii="Verdana" w:eastAsia="Μοντέρνα" w:hAnsi="Verdana" w:cs="Times New Roman"/>
          <w:sz w:val="20"/>
          <w:szCs w:val="20"/>
          <w:lang w:eastAsia="bg-BG"/>
        </w:rPr>
        <w:t>ноември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спрямо предходния месец. </w:t>
      </w:r>
      <w:r w:rsidR="00065FCD">
        <w:rPr>
          <w:rFonts w:ascii="Verdana" w:eastAsia="Μοντέρνα" w:hAnsi="Verdana" w:cs="Times New Roman"/>
          <w:sz w:val="20"/>
          <w:szCs w:val="20"/>
          <w:lang w:eastAsia="bg-BG"/>
        </w:rPr>
        <w:t>По-високи</w:t>
      </w:r>
      <w:r w:rsidR="0008760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цени </w:t>
      </w:r>
      <w:r w:rsidR="00535716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се наблюдава</w:t>
      </w:r>
      <w:r w:rsidR="0008760C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535716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производството и разпределението на електриче</w:t>
      </w:r>
      <w:r w:rsidR="00715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ска и топлоенергия и газ </w:t>
      </w:r>
      <w:r w:rsidR="007415FB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065F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11.7</w:t>
      </w:r>
      <w:r w:rsidR="00A26962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%,</w:t>
      </w:r>
      <w:r w:rsidR="0008760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65FCD">
        <w:rPr>
          <w:rFonts w:ascii="Verdana" w:eastAsia="Μοντέρνα" w:hAnsi="Verdana" w:cs="Times New Roman"/>
          <w:sz w:val="20"/>
          <w:szCs w:val="20"/>
          <w:lang w:eastAsia="bg-BG"/>
        </w:rPr>
        <w:t>в преработващата промишленост - с 0.2%,</w:t>
      </w:r>
      <w:r w:rsidR="00A26962" w:rsidRPr="00AE4FF4">
        <w:rPr>
          <w:rFonts w:ascii="Verdana" w:hAnsi="Verdana"/>
          <w:sz w:val="20"/>
          <w:szCs w:val="20"/>
        </w:rPr>
        <w:t xml:space="preserve"> </w:t>
      </w:r>
      <w:r w:rsidR="00854F85">
        <w:rPr>
          <w:rFonts w:ascii="Verdana" w:hAnsi="Verdana"/>
          <w:sz w:val="20"/>
          <w:szCs w:val="20"/>
        </w:rPr>
        <w:t>в</w:t>
      </w:r>
      <w:r w:rsidR="00DE3DCC" w:rsidRPr="00AE4FF4">
        <w:rPr>
          <w:rFonts w:ascii="Verdana" w:hAnsi="Verdana"/>
          <w:sz w:val="20"/>
          <w:szCs w:val="20"/>
        </w:rPr>
        <w:t xml:space="preserve"> </w:t>
      </w:r>
      <w:r w:rsidR="00B24A9E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добивната</w:t>
      </w:r>
      <w:r w:rsidR="00A26962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промишленост </w:t>
      </w:r>
      <w:r w:rsidR="007415FB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065F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0.1%.</w:t>
      </w:r>
      <w:r w:rsidR="00552DB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46975735" w14:textId="0FF2E19A" w:rsidR="00B66E79" w:rsidRPr="00E60970" w:rsidRDefault="00BA77EA" w:rsidP="00AE4FF4">
      <w:pPr>
        <w:spacing w:line="360" w:lineRule="auto"/>
        <w:ind w:firstLine="567"/>
        <w:jc w:val="both"/>
        <w:rPr>
          <w:rFonts w:ascii="Verdana" w:eastAsia="Times New Roman" w:hAnsi="Verdana" w:cs="Arial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Повишение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цените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преработващата промишленост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</w:t>
      </w:r>
      <w:r w:rsidR="00DB62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регистрирано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при: </w:t>
      </w:r>
      <w:r w:rsidR="00065F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хранителни продукти - с 1.1%, производството на лекарствени вещества и продукти, производството на основни метали, а също и ремонта и инсталирането на машини и оборудване - с по 0.8%.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Намаление </w:t>
      </w:r>
      <w:r w:rsidR="00917D44">
        <w:rPr>
          <w:rFonts w:ascii="Verdana" w:eastAsia="Μοντέρνα" w:hAnsi="Verdana" w:cs="Times New Roman"/>
          <w:sz w:val="20"/>
          <w:szCs w:val="20"/>
          <w:lang w:eastAsia="bg-BG"/>
        </w:rPr>
        <w:t>е</w:t>
      </w:r>
      <w:r w:rsidR="00917D44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отчетен</w:t>
      </w:r>
      <w:r w:rsidR="00917D44">
        <w:rPr>
          <w:rFonts w:ascii="Verdana" w:eastAsia="Μοντέρνα" w:hAnsi="Verdana" w:cs="Times New Roman"/>
          <w:sz w:val="20"/>
          <w:szCs w:val="20"/>
          <w:lang w:eastAsia="bg-BG"/>
        </w:rPr>
        <w:t>о</w:t>
      </w:r>
      <w:r w:rsidR="00917D44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65F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производството на изделия от каучук и пластмаси - с 0.9%, </w:t>
      </w:r>
      <w:r w:rsidR="00A34B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при </w:t>
      </w:r>
      <w:r w:rsidR="00065FCD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 дървен материал и изделия от него, без мебели - с 0.8%.</w:t>
      </w:r>
    </w:p>
    <w:p w14:paraId="36F972E8" w14:textId="377365FF" w:rsidR="00B66E79" w:rsidRPr="00E60970" w:rsidRDefault="00B66E79" w:rsidP="0069194C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E60970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Общият индекс на цените на производител</w:t>
      </w:r>
      <w:r w:rsidR="001E05E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през ноември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 г.</w:t>
      </w:r>
      <w:r w:rsidRPr="00E60970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1E05E1">
        <w:rPr>
          <w:rFonts w:ascii="Verdana" w:eastAsia="Times New Roman" w:hAnsi="Verdana" w:cs="Times New Roman"/>
          <w:sz w:val="20"/>
          <w:szCs w:val="20"/>
          <w:lang w:eastAsia="bg-BG"/>
        </w:rPr>
        <w:t>е с 1.1% над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нивото </w:t>
      </w:r>
      <w:r w:rsidR="00080A07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r w:rsidR="00080A07"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04141">
        <w:rPr>
          <w:rFonts w:ascii="Verdana" w:eastAsia="Times New Roman" w:hAnsi="Verdana" w:cs="Times New Roman"/>
          <w:sz w:val="20"/>
          <w:szCs w:val="20"/>
          <w:lang w:eastAsia="bg-BG"/>
        </w:rPr>
        <w:t>ноември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2023 година. </w:t>
      </w:r>
      <w:r w:rsidR="001E05E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Ръст 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цените е </w:t>
      </w:r>
      <w:r w:rsidR="003C6979" w:rsidRPr="00E60970">
        <w:rPr>
          <w:rFonts w:ascii="Verdana" w:eastAsia="Times New Roman" w:hAnsi="Verdana" w:cs="Times New Roman"/>
          <w:sz w:val="20"/>
          <w:szCs w:val="20"/>
          <w:lang w:eastAsia="bg-BG"/>
        </w:rPr>
        <w:t>регистриран</w:t>
      </w:r>
      <w:r w:rsidR="00995CB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</w:t>
      </w:r>
      <w:proofErr w:type="spellStart"/>
      <w:r w:rsidR="00995CB0">
        <w:rPr>
          <w:rFonts w:ascii="Verdana" w:eastAsia="Times New Roman" w:hAnsi="Verdana" w:cs="Times New Roman"/>
          <w:sz w:val="20"/>
          <w:szCs w:val="20"/>
          <w:lang w:eastAsia="bg-BG"/>
        </w:rPr>
        <w:t>до</w:t>
      </w:r>
      <w:r w:rsidR="001E05E1">
        <w:rPr>
          <w:rFonts w:ascii="Verdana" w:eastAsia="Times New Roman" w:hAnsi="Verdana" w:cs="Times New Roman"/>
          <w:sz w:val="20"/>
          <w:szCs w:val="20"/>
          <w:lang w:eastAsia="bg-BG"/>
        </w:rPr>
        <w:t>бивната</w:t>
      </w:r>
      <w:proofErr w:type="spellEnd"/>
      <w:r w:rsidR="001E05E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промишленост - с 25</w:t>
      </w:r>
      <w:r w:rsidR="0069194C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1E05E1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E245D5">
        <w:rPr>
          <w:rFonts w:ascii="Verdana" w:eastAsia="Times New Roman" w:hAnsi="Verdana" w:cs="Times New Roman"/>
          <w:sz w:val="20"/>
          <w:szCs w:val="20"/>
          <w:lang w:eastAsia="bg-BG"/>
        </w:rPr>
        <w:t>%,</w:t>
      </w:r>
      <w:r w:rsidR="0027543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995CB0"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="0069194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</w:t>
      </w:r>
      <w:r w:rsidR="00995CB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69194C">
        <w:rPr>
          <w:rFonts w:ascii="Verdana" w:eastAsia="Times New Roman" w:hAnsi="Verdana" w:cs="Times New Roman"/>
          <w:sz w:val="20"/>
          <w:szCs w:val="20"/>
          <w:lang w:eastAsia="bg-BG"/>
        </w:rPr>
        <w:t>пре</w:t>
      </w:r>
      <w:r w:rsidR="001E05E1">
        <w:rPr>
          <w:rFonts w:ascii="Verdana" w:eastAsia="Times New Roman" w:hAnsi="Verdana" w:cs="Times New Roman"/>
          <w:sz w:val="20"/>
          <w:szCs w:val="20"/>
          <w:lang w:eastAsia="bg-BG"/>
        </w:rPr>
        <w:t>работващата</w:t>
      </w:r>
      <w:r w:rsidR="00166A5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промишленост - с 0.7%, а намале</w:t>
      </w:r>
      <w:r w:rsidR="001E05E1">
        <w:rPr>
          <w:rFonts w:ascii="Verdana" w:eastAsia="Times New Roman" w:hAnsi="Verdana" w:cs="Times New Roman"/>
          <w:sz w:val="20"/>
          <w:szCs w:val="20"/>
          <w:lang w:eastAsia="bg-BG"/>
        </w:rPr>
        <w:t>н</w:t>
      </w:r>
      <w:r w:rsidR="00166A58"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="001E05E1">
        <w:rPr>
          <w:rFonts w:ascii="Verdana" w:eastAsia="Times New Roman" w:hAnsi="Verdana" w:cs="Times New Roman"/>
          <w:sz w:val="20"/>
          <w:szCs w:val="20"/>
          <w:lang w:eastAsia="bg-BG"/>
        </w:rPr>
        <w:t>е се наблюдава при</w:t>
      </w:r>
      <w:r w:rsidR="001E05E1" w:rsidRPr="001E05E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1E05E1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и разпределението на електричес</w:t>
      </w:r>
      <w:r w:rsidR="0070414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ка и топлоенергия и газ </w:t>
      </w:r>
      <w:r w:rsidR="00F917BF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="0070414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2.7</w:t>
      </w:r>
      <w:r w:rsidR="001E05E1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70414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1ABA0247" w14:textId="1941D46A" w:rsidR="00B66E79" w:rsidRPr="0063027D" w:rsidRDefault="00661F6D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По-високи цени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преработващата промишленост </w:t>
      </w:r>
      <w:r w:rsidR="00080A07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с</w:t>
      </w:r>
      <w:r w:rsidR="00080A07">
        <w:rPr>
          <w:rFonts w:ascii="Verdana" w:eastAsia="Μοντέρνα" w:hAnsi="Verdana" w:cs="Times New Roman"/>
          <w:sz w:val="20"/>
          <w:szCs w:val="20"/>
          <w:lang w:eastAsia="bg-BG"/>
        </w:rPr>
        <w:t>а</w:t>
      </w:r>
      <w:r w:rsidR="00080A07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80A07">
        <w:rPr>
          <w:rFonts w:ascii="Verdana" w:eastAsia="Μοντέρνα" w:hAnsi="Verdana" w:cs="Times New Roman"/>
          <w:sz w:val="20"/>
          <w:szCs w:val="20"/>
          <w:lang w:eastAsia="bg-BG"/>
        </w:rPr>
        <w:t>регистрирани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при: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ремонта и инсталиране</w:t>
      </w:r>
      <w:r w:rsidR="00C31F4A">
        <w:rPr>
          <w:rFonts w:ascii="Verdana" w:eastAsia="Μοντέρνα" w:hAnsi="Verdana" w:cs="Times New Roman"/>
          <w:sz w:val="20"/>
          <w:szCs w:val="20"/>
          <w:lang w:eastAsia="bg-BG"/>
        </w:rPr>
        <w:t>то на машини и оборудване - с 11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31F4A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производството на мебели - </w:t>
      </w:r>
      <w:r w:rsidR="00080A07">
        <w:rPr>
          <w:rFonts w:ascii="Verdana" w:eastAsia="Μοντέρνα" w:hAnsi="Verdana" w:cs="Times New Roman"/>
          <w:sz w:val="20"/>
          <w:szCs w:val="20"/>
          <w:lang w:eastAsia="bg-BG"/>
        </w:rPr>
        <w:br/>
      </w:r>
      <w:r w:rsidR="00C31F4A">
        <w:rPr>
          <w:rFonts w:ascii="Verdana" w:eastAsia="Μοντέρνα" w:hAnsi="Verdana" w:cs="Times New Roman"/>
          <w:sz w:val="20"/>
          <w:szCs w:val="20"/>
          <w:lang w:eastAsia="bg-BG"/>
        </w:rPr>
        <w:t>с 9.6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</w:t>
      </w:r>
      <w:r w:rsidR="00C31F4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автомобили, ремаркета и </w:t>
      </w:r>
      <w:proofErr w:type="spellStart"/>
      <w:r w:rsidR="00C31F4A">
        <w:rPr>
          <w:rFonts w:ascii="Verdana" w:eastAsia="Μοντέρνα" w:hAnsi="Verdana" w:cs="Times New Roman"/>
          <w:sz w:val="20"/>
          <w:szCs w:val="20"/>
          <w:lang w:eastAsia="bg-BG"/>
        </w:rPr>
        <w:t>полуремаркета</w:t>
      </w:r>
      <w:proofErr w:type="spellEnd"/>
      <w:r w:rsidR="00C31F4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</w:t>
      </w:r>
      <w:r w:rsidR="00166A58">
        <w:rPr>
          <w:rFonts w:ascii="Verdana" w:eastAsia="Μοντέρνα" w:hAnsi="Verdana" w:cs="Times New Roman"/>
          <w:sz w:val="20"/>
          <w:szCs w:val="20"/>
          <w:lang w:eastAsia="bg-BG"/>
        </w:rPr>
        <w:t>ъс</w:t>
      </w:r>
      <w:r w:rsidR="00C31F4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7.0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%. </w:t>
      </w:r>
      <w:r w:rsidR="00917D44">
        <w:rPr>
          <w:rFonts w:ascii="Verdana" w:eastAsia="Μοντέρνα" w:hAnsi="Verdana" w:cs="Times New Roman"/>
          <w:sz w:val="20"/>
          <w:szCs w:val="20"/>
          <w:lang w:eastAsia="bg-BG"/>
        </w:rPr>
        <w:t>Намаление</w:t>
      </w:r>
      <w:r w:rsidR="00917D44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на цените</w:t>
      </w:r>
      <w:r w:rsidR="002875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</w:t>
      </w:r>
      <w:r w:rsidR="00080A07">
        <w:rPr>
          <w:rFonts w:ascii="Verdana" w:eastAsia="Μοντέρνα" w:hAnsi="Verdana" w:cs="Times New Roman"/>
          <w:sz w:val="20"/>
          <w:szCs w:val="20"/>
          <w:lang w:eastAsia="bg-BG"/>
        </w:rPr>
        <w:t>отчетено</w:t>
      </w:r>
      <w:r w:rsidR="00080A07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66E79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при</w:t>
      </w:r>
      <w:r w:rsidR="00C31F4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производството на дървен материал и изделия от него, без мебели, </w:t>
      </w:r>
      <w:r w:rsidR="00A34B3D">
        <w:rPr>
          <w:rFonts w:ascii="Verdana" w:eastAsia="Μοντέρνα" w:hAnsi="Verdana" w:cs="Times New Roman"/>
          <w:sz w:val="20"/>
          <w:szCs w:val="20"/>
          <w:lang w:eastAsia="bg-BG"/>
        </w:rPr>
        <w:t>и при</w:t>
      </w:r>
      <w:r w:rsidR="00C31F4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 лекар</w:t>
      </w:r>
      <w:r w:rsidR="00C31F4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ствени вещества и продукти - </w:t>
      </w:r>
      <w:r w:rsidR="00A34B3D">
        <w:rPr>
          <w:rFonts w:ascii="Verdana" w:eastAsia="Μοντέρνα" w:hAnsi="Verdana" w:cs="Times New Roman"/>
          <w:sz w:val="20"/>
          <w:szCs w:val="20"/>
          <w:lang w:eastAsia="bg-BG"/>
        </w:rPr>
        <w:br/>
      </w:r>
      <w:r w:rsidR="00C31F4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076D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 </w:t>
      </w:r>
      <w:r w:rsidR="00C31F4A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31F4A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="00076D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</w:t>
      </w:r>
      <w:r w:rsidR="00A34B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както и при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 химични продукти - с 4.8%.</w:t>
      </w:r>
    </w:p>
    <w:p w14:paraId="6CF62905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3A908CBE" w14:textId="77777777" w:rsidR="00AE6F60" w:rsidRPr="0063027D" w:rsidRDefault="00AE6F60" w:rsidP="001D648B">
      <w:pPr>
        <w:keepNext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Фиг. 1. Общ индекс на цените на производител в промишлеността</w:t>
      </w:r>
    </w:p>
    <w:p w14:paraId="56742C77" w14:textId="40861782" w:rsidR="004760D3" w:rsidRPr="008153C0" w:rsidRDefault="00F23A91">
      <w:pPr>
        <w:keepNext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(2021</w:t>
      </w:r>
      <w:r w:rsidR="00AE6F60"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100)</w:t>
      </w:r>
      <w:r w:rsidR="008153C0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 </w:t>
      </w:r>
      <w:r w:rsidR="00177BCC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 </w:t>
      </w:r>
    </w:p>
    <w:p w14:paraId="41DAAA18" w14:textId="1F8BE973" w:rsidR="004760D3" w:rsidRPr="004760D3" w:rsidRDefault="00DF318E" w:rsidP="004760D3">
      <w:pPr>
        <w:rPr>
          <w:rFonts w:eastAsia="Μοντέρνα" w:cs="Times New Roman"/>
          <w:szCs w:val="20"/>
          <w:lang w:val="ru-RU" w:eastAsia="bg-BG"/>
        </w:rPr>
      </w:pPr>
      <w:r>
        <w:rPr>
          <w:rFonts w:eastAsia="Μοντέρνα" w:cs="Times New Roman"/>
          <w:noProof/>
          <w:szCs w:val="20"/>
          <w:lang w:eastAsia="bg-BG"/>
        </w:rPr>
        <w:drawing>
          <wp:inline distT="0" distB="0" distL="0" distR="0" wp14:anchorId="6EFE127F" wp14:editId="3BBEF8B4">
            <wp:extent cx="5883499" cy="4214191"/>
            <wp:effectExtent l="0" t="0" r="317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57" cy="4228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BC44E4" w14:textId="77777777" w:rsidR="00B66E79" w:rsidRPr="00B66E79" w:rsidRDefault="00B66E79" w:rsidP="00AE4FF4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2</w:t>
      </w: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</w:t>
      </w:r>
      <w:r w:rsidRPr="00AE6F60">
        <w:rPr>
          <w:rFonts w:ascii="Verdana" w:eastAsia="Μοντέρνα" w:hAnsi="Verdana" w:cs="Times New Roman"/>
          <w:b/>
          <w:sz w:val="20"/>
          <w:szCs w:val="20"/>
          <w:lang w:eastAsia="bg-BG"/>
        </w:rPr>
        <w:t>Индекси на цените на производител на вътрешния пазар</w:t>
      </w:r>
    </w:p>
    <w:p w14:paraId="5DABC76D" w14:textId="283D0466" w:rsidR="00B66E79" w:rsidRPr="00AE7948" w:rsidRDefault="00B66E79" w:rsidP="00AE7948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Индексът на цените на производител на вътрешния пазар </w:t>
      </w:r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>се повишава</w:t>
      </w:r>
      <w:r w:rsidR="00DE3DCC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>4.9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</w:t>
      </w:r>
      <w:proofErr w:type="spellStart"/>
      <w:r w:rsidR="0039706D">
        <w:rPr>
          <w:rFonts w:ascii="Verdana" w:eastAsia="Times New Roman" w:hAnsi="Verdana" w:cs="Times New Roman"/>
          <w:sz w:val="20"/>
          <w:szCs w:val="20"/>
          <w:lang w:val="en-GB" w:eastAsia="bg-BG"/>
        </w:rPr>
        <w:t>през</w:t>
      </w:r>
      <w:proofErr w:type="spellEnd"/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ноември</w:t>
      </w:r>
      <w:r w:rsidR="00F9583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B7A9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2024 </w:t>
      </w:r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>спрямо октомври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 година.</w:t>
      </w:r>
      <w:r w:rsidRPr="00AE7948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 </w:t>
      </w:r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Увеличение </w:t>
      </w:r>
      <w:r w:rsidR="00A52609">
        <w:rPr>
          <w:rFonts w:ascii="Verdana" w:eastAsia="Times New Roman" w:hAnsi="Verdana" w:cs="Times New Roman"/>
          <w:sz w:val="20"/>
          <w:szCs w:val="20"/>
          <w:lang w:eastAsia="bg-BG"/>
        </w:rPr>
        <w:t>се наблюдава</w:t>
      </w:r>
      <w:r w:rsidRPr="00AE7948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F9583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и разпределението на електрическа и топлоенергия и 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газ </w:t>
      </w:r>
      <w:r w:rsidR="007415FB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4620A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>13.4</w:t>
      </w:r>
      <w:r w:rsidR="00A52609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A5260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>в</w:t>
      </w:r>
      <w:r w:rsidR="00854F8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9035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добивната промишленост </w:t>
      </w:r>
      <w:r w:rsidR="007415FB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4620A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>0.5</w:t>
      </w:r>
      <w:r w:rsidR="00E75C45">
        <w:rPr>
          <w:rFonts w:ascii="Verdana" w:eastAsia="Times New Roman" w:hAnsi="Verdana" w:cs="Times New Roman"/>
          <w:sz w:val="20"/>
          <w:szCs w:val="20"/>
          <w:lang w:val="en-US" w:eastAsia="bg-BG"/>
        </w:rPr>
        <w:t>%</w:t>
      </w:r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="004620A1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</w:t>
      </w:r>
      <w:r w:rsidR="004620A1">
        <w:rPr>
          <w:rFonts w:ascii="Verdana" w:eastAsia="Times New Roman" w:hAnsi="Verdana" w:cs="Times New Roman"/>
          <w:sz w:val="20"/>
          <w:szCs w:val="20"/>
          <w:lang w:eastAsia="bg-BG"/>
        </w:rPr>
        <w:t>пре</w:t>
      </w:r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>работващата промишленост - с 0.4</w:t>
      </w:r>
      <w:r w:rsidR="004620A1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14:paraId="220E9051" w14:textId="31B5A7DE" w:rsidR="004760D3" w:rsidRPr="00AE7948" w:rsidRDefault="00103FB0" w:rsidP="00AE7948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Нарастване на цените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преработващата промишленост е </w:t>
      </w:r>
      <w:r w:rsidR="00080A0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регистрирано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при: производ</w:t>
      </w:r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>ството на основни метали - с 2.1%, производството на хартия, картон и изделия от хартия и картон - с 1.5%, ремонта и инсталирането на машини и оборудване - с 1.3%.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>По</w:t>
      </w:r>
      <w:r w:rsidR="007415FB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>ниски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цени </w:t>
      </w:r>
      <w:r w:rsidR="00DE3DCC" w:rsidRPr="00AE7948">
        <w:rPr>
          <w:rFonts w:ascii="Verdana" w:eastAsia="Times New Roman" w:hAnsi="Verdana" w:cs="Times New Roman"/>
          <w:sz w:val="20"/>
          <w:szCs w:val="20"/>
          <w:lang w:eastAsia="bg-BG"/>
        </w:rPr>
        <w:t>с</w:t>
      </w:r>
      <w:r w:rsidR="00DE3DCC"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="00DE3DCC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080A07">
        <w:rPr>
          <w:rFonts w:ascii="Verdana" w:eastAsia="Times New Roman" w:hAnsi="Verdana" w:cs="Times New Roman"/>
          <w:sz w:val="20"/>
          <w:szCs w:val="20"/>
          <w:lang w:eastAsia="bg-BG"/>
        </w:rPr>
        <w:t>отчетени</w:t>
      </w:r>
      <w:r w:rsidR="00080A07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при: </w:t>
      </w:r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дървен материал и изделия от него, без мебели - с 1.0%, производството на изделия от други неметални минерални суровини и производството на автомобили, ремаркета и </w:t>
      </w:r>
      <w:proofErr w:type="spellStart"/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>полуремаркета</w:t>
      </w:r>
      <w:proofErr w:type="spellEnd"/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по 0.3%.</w:t>
      </w:r>
    </w:p>
    <w:p w14:paraId="0CCBE9EF" w14:textId="2A2324CC" w:rsidR="00D54BA9" w:rsidRPr="00AE7948" w:rsidRDefault="00B66E79" w:rsidP="00D54BA9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Индексът на цените на производител на вътрешния пазар</w:t>
      </w:r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нараства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D54BA9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>0% в сравнение с ноември</w:t>
      </w:r>
      <w:r w:rsidR="00A653A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2023 година. </w:t>
      </w:r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>Повишение</w:t>
      </w:r>
      <w:r w:rsidR="00854F85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цените </w:t>
      </w:r>
      <w:r w:rsidR="00080A07">
        <w:rPr>
          <w:rFonts w:ascii="Verdana" w:eastAsia="Times New Roman" w:hAnsi="Verdana" w:cs="Times New Roman"/>
          <w:sz w:val="20"/>
          <w:szCs w:val="20"/>
          <w:lang w:eastAsia="bg-BG"/>
        </w:rPr>
        <w:t>с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</w:t>
      </w:r>
      <w:r w:rsidR="00080A0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наблюдава </w:t>
      </w:r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</w:t>
      </w:r>
      <w:proofErr w:type="spellStart"/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>добивната</w:t>
      </w:r>
      <w:proofErr w:type="spellEnd"/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 xml:space="preserve">промишленост </w:t>
      </w:r>
      <w:r w:rsidR="00F917BF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14.9%, </w:t>
      </w:r>
      <w:r w:rsidR="00D54BA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производството и разпределение на електрическа и топлоенергия и газ </w:t>
      </w:r>
      <w:r w:rsidR="00CF63B2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E2038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995283">
        <w:rPr>
          <w:rFonts w:ascii="Verdana" w:eastAsia="Times New Roman" w:hAnsi="Verdana" w:cs="Times New Roman"/>
          <w:sz w:val="20"/>
          <w:szCs w:val="20"/>
          <w:lang w:eastAsia="bg-BG"/>
        </w:rPr>
        <w:t>0.4</w:t>
      </w:r>
      <w:r w:rsidR="00D54BA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както и в преработващата промишленост </w:t>
      </w:r>
      <w:r w:rsidR="00CF63B2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99528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0.1</w:t>
      </w:r>
      <w:r w:rsidR="00D54BA9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  <w:r w:rsidR="00CF63B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14:paraId="077F2B1A" w14:textId="1D0BE2FA" w:rsidR="009A684B" w:rsidRDefault="001D0DF2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</w:t>
      </w:r>
      <w:r w:rsidR="00995283">
        <w:rPr>
          <w:rFonts w:ascii="Verdana" w:eastAsia="Times New Roman" w:hAnsi="Verdana" w:cs="Times New Roman"/>
          <w:sz w:val="20"/>
          <w:szCs w:val="20"/>
          <w:lang w:eastAsia="bg-BG"/>
        </w:rPr>
        <w:t>ноември</w:t>
      </w:r>
      <w:r w:rsidR="003E25A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3E25A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по</w:t>
      </w:r>
      <w:r w:rsidR="007415FB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995283">
        <w:rPr>
          <w:rFonts w:ascii="Verdana" w:eastAsia="Times New Roman" w:hAnsi="Verdana" w:cs="Times New Roman"/>
          <w:sz w:val="20"/>
          <w:szCs w:val="20"/>
          <w:lang w:eastAsia="bg-BG"/>
        </w:rPr>
        <w:t>високи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цени в преработващата промишленост </w:t>
      </w:r>
      <w:r w:rsidR="00995283">
        <w:rPr>
          <w:rFonts w:ascii="Verdana" w:eastAsia="Times New Roman" w:hAnsi="Verdana" w:cs="Times New Roman"/>
          <w:sz w:val="20"/>
          <w:szCs w:val="20"/>
          <w:lang w:eastAsia="bg-BG"/>
        </w:rPr>
        <w:t>спрямо ноември</w:t>
      </w:r>
      <w:r w:rsidR="008471C4" w:rsidRPr="008471C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2023 г. </w:t>
      </w:r>
      <w:r w:rsidR="003E25A7">
        <w:rPr>
          <w:rFonts w:ascii="Verdana" w:eastAsia="Times New Roman" w:hAnsi="Verdana" w:cs="Times New Roman"/>
          <w:sz w:val="20"/>
          <w:szCs w:val="20"/>
          <w:lang w:eastAsia="bg-BG"/>
        </w:rPr>
        <w:t>са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регистриран</w:t>
      </w:r>
      <w:r w:rsidR="003E25A7"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при:</w:t>
      </w:r>
      <w:r w:rsidR="0099528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ремонта и инсталирането на машини и оборудване - с 10.9%, производството на автомобили, ремаркета и </w:t>
      </w:r>
      <w:proofErr w:type="spellStart"/>
      <w:r w:rsidR="00995283">
        <w:rPr>
          <w:rFonts w:ascii="Verdana" w:eastAsia="Times New Roman" w:hAnsi="Verdana" w:cs="Times New Roman"/>
          <w:sz w:val="20"/>
          <w:szCs w:val="20"/>
          <w:lang w:eastAsia="bg-BG"/>
        </w:rPr>
        <w:t>полуремаркета</w:t>
      </w:r>
      <w:proofErr w:type="spellEnd"/>
      <w:r w:rsidR="0099528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</w:t>
      </w:r>
      <w:r w:rsidR="00A34B3D">
        <w:rPr>
          <w:rFonts w:ascii="Verdana" w:eastAsia="Times New Roman" w:hAnsi="Verdana" w:cs="Times New Roman"/>
          <w:sz w:val="20"/>
          <w:szCs w:val="20"/>
          <w:lang w:eastAsia="bg-BG"/>
        </w:rPr>
        <w:br/>
      </w:r>
      <w:r w:rsidR="00995283">
        <w:rPr>
          <w:rFonts w:ascii="Verdana" w:eastAsia="Times New Roman" w:hAnsi="Verdana" w:cs="Times New Roman"/>
          <w:sz w:val="20"/>
          <w:szCs w:val="20"/>
          <w:lang w:eastAsia="bg-BG"/>
        </w:rPr>
        <w:t>с 9.7%, производството на текстил и изделия от текстил, без облекло - с 9.1%</w:t>
      </w:r>
      <w:r w:rsidR="008E66B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A926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995283">
        <w:rPr>
          <w:rFonts w:ascii="Verdana" w:eastAsia="Times New Roman" w:hAnsi="Verdana" w:cs="Times New Roman"/>
          <w:sz w:val="20"/>
          <w:szCs w:val="20"/>
          <w:lang w:eastAsia="bg-BG"/>
        </w:rPr>
        <w:t>Спад</w:t>
      </w:r>
      <w:r w:rsidR="00A926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цените е отчетен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при: </w:t>
      </w:r>
      <w:r w:rsidR="0099528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лекарствени вещества и продукти - </w:t>
      </w:r>
      <w:r w:rsidR="00A34B3D">
        <w:rPr>
          <w:rFonts w:ascii="Verdana" w:eastAsia="Times New Roman" w:hAnsi="Verdana" w:cs="Times New Roman"/>
          <w:sz w:val="20"/>
          <w:szCs w:val="20"/>
          <w:lang w:eastAsia="bg-BG"/>
        </w:rPr>
        <w:br/>
      </w:r>
      <w:r w:rsidR="0099528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със 7.3%, производството на дървен материал и изделия от него, без мебели </w:t>
      </w:r>
      <w:r w:rsidR="00E7716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с </w:t>
      </w:r>
      <w:r w:rsidR="00995283">
        <w:rPr>
          <w:rFonts w:ascii="Verdana" w:eastAsia="Times New Roman" w:hAnsi="Verdana" w:cs="Times New Roman"/>
          <w:sz w:val="20"/>
          <w:szCs w:val="20"/>
          <w:lang w:eastAsia="bg-BG"/>
        </w:rPr>
        <w:t>5.8%, производството на химични продукти - с 5.1%.</w:t>
      </w:r>
    </w:p>
    <w:p w14:paraId="033C6DA9" w14:textId="35D7334F" w:rsidR="00B021C2" w:rsidRDefault="00B66E79" w:rsidP="00EB1308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Фиг. </w:t>
      </w:r>
      <w:r w:rsidRPr="007717CE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2</w:t>
      </w: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>. Индекси на цените на пр</w:t>
      </w:r>
      <w:r w:rsidR="00846FF5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оизводител на вътрешния пазар в </w:t>
      </w: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промишлеността</w:t>
      </w:r>
      <w:r w:rsid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F23A91">
        <w:rPr>
          <w:rFonts w:ascii="Verdana" w:eastAsia="Times New Roman" w:hAnsi="Verdana" w:cs="Times New Roman"/>
          <w:b/>
          <w:sz w:val="20"/>
          <w:szCs w:val="20"/>
          <w:lang w:eastAsia="bg-BG"/>
        </w:rPr>
        <w:t>(2021</w:t>
      </w: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</w:t>
      </w:r>
      <w:r w:rsidR="00846FF5" w:rsidRPr="00846FF5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100) </w:t>
      </w:r>
    </w:p>
    <w:p w14:paraId="1BD83F8F" w14:textId="25351A3B" w:rsidR="002635CA" w:rsidRDefault="0017301E" w:rsidP="00EB1308">
      <w:pPr>
        <w:keepNext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inline distT="0" distB="0" distL="0" distR="0" wp14:anchorId="251AF6E5" wp14:editId="086E8865">
            <wp:extent cx="5852389" cy="4094922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069" cy="4106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32A4A" w14:textId="6FF41E54" w:rsidR="00B66E79" w:rsidRPr="00B66E79" w:rsidRDefault="00B66E79" w:rsidP="00A2553A">
      <w:pPr>
        <w:spacing w:before="24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3</w:t>
      </w: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. Индекси на цените на производител на международния пазар</w:t>
      </w:r>
    </w:p>
    <w:p w14:paraId="62CA0623" w14:textId="598E3354" w:rsidR="008153C0" w:rsidRPr="00E2038B" w:rsidRDefault="00B66E79" w:rsidP="00B411B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Индексът на цените на производител на международния пазар</w:t>
      </w:r>
      <w:r w:rsidRPr="00B66E7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34B3D">
        <w:rPr>
          <w:rFonts w:ascii="Verdana" w:eastAsia="Μοντέρνα" w:hAnsi="Verdana" w:cs="Times New Roman"/>
          <w:sz w:val="20"/>
          <w:szCs w:val="20"/>
          <w:lang w:eastAsia="bg-BG"/>
        </w:rPr>
        <w:t>през ноември 2024</w:t>
      </w:r>
      <w:r w:rsidR="00A34B3D" w:rsidRP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</w:t>
      </w:r>
      <w:r w:rsidR="00A34B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без промяна</w:t>
      </w:r>
      <w:r w:rsidR="005B54E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5656D1" w:rsidRPr="005656D1">
        <w:rPr>
          <w:rFonts w:ascii="Verdana" w:eastAsia="Μοντέρνα" w:hAnsi="Verdana" w:cs="Times New Roman"/>
          <w:sz w:val="20"/>
          <w:szCs w:val="20"/>
          <w:lang w:eastAsia="bg-BG"/>
        </w:rPr>
        <w:t>спрямо предходния месец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22E02">
        <w:rPr>
          <w:rFonts w:ascii="Verdana" w:eastAsia="Μοντέρνα" w:hAnsi="Verdana" w:cs="Times New Roman"/>
          <w:sz w:val="20"/>
          <w:szCs w:val="20"/>
          <w:lang w:eastAsia="bg-BG"/>
        </w:rPr>
        <w:t>и</w:t>
      </w:r>
      <w:r w:rsidR="005B54E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увеличава с 0</w:t>
      </w:r>
      <w:r w:rsidR="00F81DC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5B54ED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F81D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спрямо </w:t>
      </w:r>
      <w:r w:rsidR="00A34B3D">
        <w:rPr>
          <w:rFonts w:ascii="Verdana" w:eastAsia="Μοντέρνα" w:hAnsi="Verdana" w:cs="Times New Roman"/>
          <w:sz w:val="20"/>
          <w:szCs w:val="20"/>
          <w:lang w:eastAsia="bg-BG"/>
        </w:rPr>
        <w:t>ноември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2023</w:t>
      </w:r>
      <w:r w:rsidR="005656D1" w:rsidRP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</w:t>
      </w:r>
      <w:r w:rsidR="009765F4">
        <w:rPr>
          <w:rFonts w:ascii="Verdana" w:eastAsia="Μοντέρνα" w:hAnsi="Verdana" w:cs="Times New Roman"/>
          <w:sz w:val="20"/>
          <w:szCs w:val="20"/>
          <w:lang w:eastAsia="bg-BG"/>
        </w:rPr>
        <w:t>одина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</w:p>
    <w:p w14:paraId="7B5A61D4" w14:textId="178DEAFA" w:rsidR="00D06B2B" w:rsidRDefault="00D06B2B" w:rsidP="00F856E7">
      <w:pPr>
        <w:tabs>
          <w:tab w:val="left" w:pos="3675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</w:rPr>
      </w:pPr>
    </w:p>
    <w:p w14:paraId="3A7C427A" w14:textId="77777777" w:rsidR="00917D44" w:rsidRDefault="00917D44" w:rsidP="00F856E7">
      <w:pPr>
        <w:tabs>
          <w:tab w:val="left" w:pos="3675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</w:rPr>
      </w:pPr>
    </w:p>
    <w:p w14:paraId="5567EF2F" w14:textId="582D9149" w:rsidR="00B66E79" w:rsidRPr="00326A06" w:rsidRDefault="00B66E79" w:rsidP="00A2553A">
      <w:pPr>
        <w:keepNext/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326A06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0F4FD0F1" w14:textId="77777777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326A06">
        <w:rPr>
          <w:rFonts w:ascii="Verdana" w:hAnsi="Verdana"/>
          <w:lang w:val="ru-RU"/>
        </w:rPr>
        <w:t>.</w:t>
      </w:r>
      <w:r w:rsidRPr="00326A06">
        <w:rPr>
          <w:rFonts w:ascii="Verdana" w:hAnsi="Verdana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  <w:p w14:paraId="040F727D" w14:textId="453E3DCA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326A06">
        <w:rPr>
          <w:rFonts w:ascii="Verdana" w:hAnsi="Verdana"/>
          <w:lang w:val="ru-RU"/>
        </w:rPr>
        <w:t xml:space="preserve"> </w:t>
      </w:r>
      <w:r w:rsidRPr="00326A06">
        <w:rPr>
          <w:rFonts w:ascii="Verdana" w:hAnsi="Verdana"/>
        </w:rPr>
        <w:t>претеглени със структурата на оборота на вътрешния и на международния пазар към</w:t>
      </w:r>
      <w:r w:rsidR="001B648E">
        <w:rPr>
          <w:rFonts w:ascii="Verdana" w:hAnsi="Verdana"/>
        </w:rPr>
        <w:t xml:space="preserve"> общия оборот през базисната 2021</w:t>
      </w:r>
      <w:r w:rsidRPr="00326A06">
        <w:rPr>
          <w:rFonts w:ascii="Verdana" w:hAnsi="Verdana"/>
        </w:rPr>
        <w:t xml:space="preserve"> година.</w:t>
      </w:r>
    </w:p>
    <w:p w14:paraId="5FA7DD15" w14:textId="20DA6062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Индексите на цените на производител на вътрешния пазар се изчисляват при постоянна база 20</w:t>
      </w:r>
      <w:r w:rsidR="006B1DE6">
        <w:rPr>
          <w:rFonts w:ascii="Verdana" w:hAnsi="Verdana"/>
          <w:lang w:val="ru-RU"/>
        </w:rPr>
        <w:t>21</w:t>
      </w:r>
      <w:r w:rsidRPr="00326A06">
        <w:rPr>
          <w:rFonts w:ascii="Verdana" w:hAnsi="Verdana"/>
        </w:rPr>
        <w:t xml:space="preserve"> </w:t>
      </w:r>
      <w:r w:rsidR="00944AD4">
        <w:rPr>
          <w:rFonts w:ascii="Verdana" w:hAnsi="Verdana"/>
          <w:lang w:val="en-US"/>
        </w:rPr>
        <w:t>= 100</w:t>
      </w:r>
      <w:r w:rsidRPr="00326A06">
        <w:rPr>
          <w:rFonts w:ascii="Verdana" w:hAnsi="Verdana"/>
        </w:rPr>
        <w:t xml:space="preserve"> чрез претегляне със структурата на оборота на промишлените предприятия на вътрешния пазар</w:t>
      </w:r>
      <w:r w:rsidR="00326A06">
        <w:rPr>
          <w:rFonts w:ascii="Verdana" w:hAnsi="Verdana"/>
        </w:rPr>
        <w:t>.</w:t>
      </w:r>
    </w:p>
    <w:p w14:paraId="45D946E5" w14:textId="74B04480" w:rsidR="00B66E79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Индексите на цените на производител на международния пазар се изчисляват при постоянна база 20</w:t>
      </w:r>
      <w:r w:rsidR="006B1DE6">
        <w:rPr>
          <w:rFonts w:ascii="Verdana" w:hAnsi="Verdana"/>
          <w:lang w:val="ru-RU"/>
        </w:rPr>
        <w:t>21</w:t>
      </w:r>
      <w:r w:rsidR="006B1DE6">
        <w:rPr>
          <w:rFonts w:ascii="Verdana" w:hAnsi="Verdana"/>
        </w:rPr>
        <w:t xml:space="preserve"> </w:t>
      </w:r>
      <w:r w:rsidR="00944AD4">
        <w:rPr>
          <w:rFonts w:ascii="Verdana" w:hAnsi="Verdana"/>
          <w:lang w:val="en-US"/>
        </w:rPr>
        <w:t>= 100</w:t>
      </w:r>
      <w:r w:rsidRPr="00326A06">
        <w:rPr>
          <w:rFonts w:ascii="Verdana" w:hAnsi="Verdana"/>
        </w:rPr>
        <w:t xml:space="preserve"> чрез претегляне със структурата на оборота на промишлените предприятия на международния пазар.</w:t>
      </w:r>
    </w:p>
    <w:p w14:paraId="30DEC376" w14:textId="3E372383" w:rsidR="00686E46" w:rsidRPr="00CB7E9F" w:rsidRDefault="00686E46" w:rsidP="00042FBB">
      <w:pPr>
        <w:pStyle w:val="CommentText"/>
        <w:spacing w:line="360" w:lineRule="auto"/>
        <w:ind w:firstLine="567"/>
        <w:jc w:val="both"/>
        <w:rPr>
          <w:rFonts w:ascii="Verdana" w:hAnsi="Verdana"/>
        </w:rPr>
      </w:pPr>
      <w:r w:rsidRPr="00CB7E9F">
        <w:rPr>
          <w:rFonts w:ascii="Verdana" w:hAnsi="Verdana"/>
        </w:rPr>
        <w:t>От юли 2024</w:t>
      </w:r>
      <w:r w:rsidR="006D1B1F">
        <w:rPr>
          <w:rFonts w:ascii="Verdana" w:hAnsi="Verdana"/>
        </w:rPr>
        <w:t xml:space="preserve"> </w:t>
      </w:r>
      <w:r w:rsidRPr="00CB7E9F">
        <w:rPr>
          <w:rFonts w:ascii="Verdana" w:hAnsi="Verdana"/>
        </w:rPr>
        <w:t xml:space="preserve">г. всички динамични редове са преизчислени при база 2021 г. и са публикувани в ИС </w:t>
      </w:r>
      <w:proofErr w:type="spellStart"/>
      <w:r w:rsidRPr="00CB7E9F">
        <w:rPr>
          <w:rFonts w:ascii="Verdana" w:hAnsi="Verdana"/>
        </w:rPr>
        <w:t>Инфостат</w:t>
      </w:r>
      <w:proofErr w:type="spellEnd"/>
      <w:r w:rsidRPr="00CB7E9F">
        <w:rPr>
          <w:rFonts w:ascii="Verdana" w:hAnsi="Verdana"/>
        </w:rPr>
        <w:t>.</w:t>
      </w:r>
    </w:p>
    <w:p w14:paraId="2BCFA68A" w14:textId="77777777" w:rsidR="00686E46" w:rsidRPr="00326A06" w:rsidRDefault="00686E46" w:rsidP="00326A06">
      <w:pPr>
        <w:pStyle w:val="BodyText"/>
        <w:spacing w:line="360" w:lineRule="auto"/>
        <w:ind w:firstLine="567"/>
        <w:jc w:val="both"/>
        <w:rPr>
          <w:rFonts w:ascii="Verdana" w:hAnsi="Verdana"/>
          <w:lang w:val="ru-RU"/>
        </w:rPr>
      </w:pPr>
    </w:p>
    <w:p w14:paraId="3B8197FB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5B05B63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9AED1B0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2AF15FF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1EB8EEF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4D7429D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123481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190958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2C47444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5AD3F06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257BFB7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B62B6F5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511A90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18D303B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08008FE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AE5F600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F4E043F" w14:textId="77777777" w:rsidR="00B66E79" w:rsidRPr="00B66E79" w:rsidRDefault="00B66E79" w:rsidP="00AE4FF4">
      <w:pPr>
        <w:keepNext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3F05AE2B" w14:textId="77777777" w:rsidR="00B66E79" w:rsidRDefault="00B66E79" w:rsidP="00A2553A">
      <w:pPr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14:paraId="57F773D2" w14:textId="7DECFFC5" w:rsidR="00B66E79" w:rsidRDefault="000559B4" w:rsidP="00A2553A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</w:pP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О</w:t>
      </w:r>
      <w:r w:rsidR="00B66E79"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бщ индекс на ц</w:t>
      </w:r>
      <w:r w:rsidR="00A97AA8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е</w:t>
      </w:r>
      <w:r w:rsidR="009B3D8C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ни</w:t>
      </w:r>
      <w:r w:rsidR="0096413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те на производител през ноември</w:t>
      </w:r>
      <w:r w:rsidR="00B66E79"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2024 година</w:t>
      </w:r>
      <w:r w:rsidR="00B66E79" w:rsidRPr="00B66E79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  <w:footnoteReference w:customMarkFollows="1" w:id="1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409"/>
        <w:gridCol w:w="1278"/>
        <w:gridCol w:w="1757"/>
        <w:gridCol w:w="1563"/>
      </w:tblGrid>
      <w:tr w:rsidR="00A2553A" w:rsidRPr="00B66E79" w14:paraId="3A991F1E" w14:textId="77777777" w:rsidTr="00DC1D48">
        <w:trPr>
          <w:trHeight w:val="62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8086C" w14:textId="77777777" w:rsidR="00A2553A" w:rsidRPr="00F856E7" w:rsidRDefault="00A2553A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4F27EE00" w14:textId="77777777" w:rsidR="00A2553A" w:rsidRPr="00F856E7" w:rsidRDefault="00A2553A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25CE0" w14:textId="510F0D78" w:rsidR="00A2553A" w:rsidRPr="00F856E7" w:rsidRDefault="00D80173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2021</w:t>
            </w:r>
            <w:r w:rsidR="00A2553A"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 = 100</w:t>
            </w:r>
          </w:p>
          <w:p w14:paraId="0C11E647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BF0A9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360C4615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9606F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DC1D48" w:rsidRPr="00B66E79" w14:paraId="6BC9AC12" w14:textId="77777777" w:rsidTr="00DC1D48">
        <w:trPr>
          <w:trHeight w:val="193"/>
        </w:trPr>
        <w:tc>
          <w:tcPr>
            <w:tcW w:w="440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B9BAA" w14:textId="22B30506" w:rsidR="00DC1D48" w:rsidRPr="00F856E7" w:rsidRDefault="00DC1D48" w:rsidP="00DC1D48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Промишленост 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</w:t>
            </w: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общо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9F9376" w14:textId="313A9F16" w:rsidR="00DC1D48" w:rsidRPr="00DC1D48" w:rsidRDefault="00DC1D48" w:rsidP="00DC1D48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124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E8F361" w14:textId="75B68B1C" w:rsidR="00DC1D48" w:rsidRPr="00DC1D48" w:rsidRDefault="00DC1D48" w:rsidP="00DC1D48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102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CD9E17" w14:textId="2F896B35" w:rsidR="00DC1D48" w:rsidRPr="00DC1D48" w:rsidRDefault="00DC1D48" w:rsidP="00DC1D48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C1D48" w:rsidRPr="00B66E79" w14:paraId="22C7FB5A" w14:textId="77777777" w:rsidTr="00DC1D4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2DB0D8D" w14:textId="77777777" w:rsidR="00DC1D48" w:rsidRPr="00F856E7" w:rsidRDefault="00DC1D48" w:rsidP="00DC1D48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 промишленост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399FD" w14:textId="69B8910B" w:rsidR="00DC1D48" w:rsidRPr="00DC1D48" w:rsidRDefault="00DC1D48" w:rsidP="00DC1D4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131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57487D" w14:textId="42212B4C" w:rsidR="00DC1D48" w:rsidRPr="00DC1D48" w:rsidRDefault="00DC1D48" w:rsidP="00DC1D4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4CB7C" w14:textId="439F1F81" w:rsidR="00DC1D48" w:rsidRPr="00DC1D48" w:rsidRDefault="00DC1D48" w:rsidP="00DC1D4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125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DC1D48" w:rsidRPr="00B66E79" w14:paraId="6EB2A789" w14:textId="77777777" w:rsidTr="00DC1D4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D027460" w14:textId="77777777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37680F" w14:textId="0C9492BF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134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FD18D" w14:textId="14899FE3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3700B6" w14:textId="6ECEA7CA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120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DC1D48" w:rsidRPr="00B66E79" w14:paraId="136F6468" w14:textId="77777777" w:rsidTr="00DC1D4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6D23691" w14:textId="77777777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8445FF" w14:textId="252D944F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7E2200" w14:textId="5E2FFBDC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B3615" w14:textId="6CA20C94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</w:tr>
      <w:tr w:rsidR="00DC1D48" w:rsidRPr="00B66E79" w14:paraId="3A55B493" w14:textId="77777777" w:rsidTr="00DC1D4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36B9CE2" w14:textId="77777777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6E5F4C" w14:textId="7E7178F0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4AAE3E" w14:textId="2AC80889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0B4CE1" w14:textId="572D097A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134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DC1D48" w:rsidRPr="00B66E79" w14:paraId="07E2F59B" w14:textId="77777777" w:rsidTr="00DC1D4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4FD42EC" w14:textId="77777777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FD1135" w14:textId="043ACEFE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148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89DDF1" w14:textId="38EE4A99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144F87" w14:textId="141C1FFC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DC1D48" w:rsidRPr="00B66E79" w14:paraId="4DF955DE" w14:textId="77777777" w:rsidTr="00DC1D4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F4E2F3" w14:textId="77777777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B33B20" w14:textId="4A98B499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F012F7" w14:textId="617DFF42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146D7D" w14:textId="274505BA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DC1D48" w:rsidRPr="00B66E79" w14:paraId="1D48A1AE" w14:textId="77777777" w:rsidTr="00DC1D4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601178" w14:textId="77777777" w:rsidR="00DC1D48" w:rsidRPr="00F856E7" w:rsidRDefault="00DC1D48" w:rsidP="00DC1D48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8B110C" w14:textId="66D47795" w:rsidR="00DC1D48" w:rsidRPr="00DC1D48" w:rsidRDefault="00DC1D48" w:rsidP="00DC1D4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124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19B4EE" w14:textId="250D77C8" w:rsidR="00DC1D48" w:rsidRPr="00DC1D48" w:rsidRDefault="00DC1D48" w:rsidP="00DC1D4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3ED173" w14:textId="19777C08" w:rsidR="00DC1D48" w:rsidRPr="00DC1D48" w:rsidRDefault="00DC1D48" w:rsidP="00DC1D4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DC1D48" w:rsidRPr="00B66E79" w14:paraId="3AFC5646" w14:textId="77777777" w:rsidTr="00DC1D4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66F5F44" w14:textId="77777777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A65904" w14:textId="150D563C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129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B1D9D2" w14:textId="29F5288A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E58BB" w14:textId="1B8D706B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DC1D48" w:rsidRPr="00B66E79" w14:paraId="5440C3AB" w14:textId="77777777" w:rsidTr="00DC1D4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D86975D" w14:textId="77777777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69C61E" w14:textId="3602C7A3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E24624" w14:textId="533B39EB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9935F" w14:textId="5D252213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DC1D48" w:rsidRPr="00B66E79" w14:paraId="6F9BB328" w14:textId="77777777" w:rsidTr="00DC1D4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39F5F0C" w14:textId="77777777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0E26BA" w14:textId="4DFCB867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139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F07F77" w14:textId="6BB5FADA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6E687" w14:textId="7398393F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DC1D48" w:rsidRPr="00B66E79" w14:paraId="7BD7F7EB" w14:textId="77777777" w:rsidTr="00DC1D4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334ED4F" w14:textId="2B073F10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облекло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80B934" w14:textId="01DA088E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4DE0FF" w14:textId="6D9ED449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BD800F" w14:textId="7E2B2E81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DC1D48" w:rsidRPr="00B66E79" w14:paraId="1EFD06F9" w14:textId="77777777" w:rsidTr="00DC1D4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74EE829" w14:textId="77777777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2D350E" w14:textId="33C0C167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590A7D" w14:textId="1AB6544D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F44449" w14:textId="4BA2C349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DC1D48" w:rsidRPr="00B66E79" w14:paraId="3C4C01D3" w14:textId="77777777" w:rsidTr="00DC1D4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013D05" w14:textId="77777777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8EDC5C" w14:textId="6675AC94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A86C7F" w14:textId="5C083D12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70B05" w14:textId="48340AA0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DC1D48" w:rsidRPr="00B66E79" w14:paraId="093A73CE" w14:textId="77777777" w:rsidTr="00DC1D4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AEEDE2F" w14:textId="29E56C43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дървен материал и изделия от него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мебели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CE8571" w14:textId="67D18E39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22E1F" w14:textId="460A2C9A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102E95" w14:textId="4F88BCBB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DC1D48" w:rsidRPr="00B66E79" w14:paraId="5A82015D" w14:textId="77777777" w:rsidTr="00DC1D48">
        <w:trPr>
          <w:trHeight w:val="402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2795378" w14:textId="118FD74F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картон и изделия от хартия и картон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83EDD3" w14:textId="345B1515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126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77938" w14:textId="4F71E4BF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020A59" w14:textId="2FDC7C4E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DC1D48" w:rsidRPr="00B66E79" w14:paraId="152E652B" w14:textId="77777777" w:rsidTr="00DC1D4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87B3503" w14:textId="77777777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AD80F8" w14:textId="0154B792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96B81" w14:textId="11B2C3C8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DE23A8" w14:textId="68F0557B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DC1D48" w:rsidRPr="00B66E79" w14:paraId="3CF4CB34" w14:textId="77777777" w:rsidTr="00DC1D4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FEBEBAD" w14:textId="77777777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BD2983" w14:textId="0E7B1366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EE3C03" w14:textId="04821F67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812C7C" w14:textId="5F8BFC53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DC1D48" w:rsidRPr="00B66E79" w14:paraId="7CBE4B13" w14:textId="77777777" w:rsidTr="00DC1D4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6246D2C" w14:textId="77777777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7CFE50" w14:textId="4263DB07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3507EB" w14:textId="0A5CDF53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7DBFCD" w14:textId="5AEC06BC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DC1D48" w:rsidRPr="00B66E79" w14:paraId="5C88AB61" w14:textId="77777777" w:rsidTr="00DC1D4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B531CE7" w14:textId="77777777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888D48" w14:textId="1B591810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114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0C1F2" w14:textId="2E902F92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3D42FE" w14:textId="5BC980C3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DC1D48" w:rsidRPr="00B66E79" w14:paraId="5D9449FF" w14:textId="77777777" w:rsidTr="00DC1D4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2239FAE" w14:textId="77777777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B177DB" w14:textId="6FE0A25C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136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4FD564" w14:textId="78C31490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A3D16" w14:textId="4709D478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DC1D48" w:rsidRPr="00B66E79" w14:paraId="12981264" w14:textId="77777777" w:rsidTr="00DC1D4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CE7A776" w14:textId="77777777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101BF3" w14:textId="78CFB81F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148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0D416C" w14:textId="33D824B9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93A7B9" w14:textId="3B780BE6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DC1D48" w:rsidRPr="00B66E79" w14:paraId="659BE13C" w14:textId="77777777" w:rsidTr="00DC1D4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F063681" w14:textId="77777777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65EB32" w14:textId="4C18CA79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FCD294" w14:textId="2FEF49AA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274372" w14:textId="194C4B39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DC1D48" w:rsidRPr="00B66E79" w14:paraId="2333A102" w14:textId="77777777" w:rsidTr="00DC1D4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1CB54E" w14:textId="3D6755AC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метални изделия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машини и оборудване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44A7F" w14:textId="5571E2DC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8AF02F" w14:textId="59399D83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2D1344" w14:textId="714D937C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DC1D48" w:rsidRPr="00B66E79" w14:paraId="2E6B7BFC" w14:textId="77777777" w:rsidTr="00DC1D4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EB48FB7" w14:textId="0AD844B7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електронни и оптични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FA059F" w14:textId="1E45348D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137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B669B1" w14:textId="7A3F8E3B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01AFB2" w14:textId="76095B77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DC1D48" w:rsidRPr="00B66E79" w14:paraId="66687A83" w14:textId="77777777" w:rsidTr="00DC1D4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80323C" w14:textId="77777777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1410C6" w14:textId="403CEB80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441D6" w14:textId="2D3E51A9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EE9AA3" w14:textId="4B93A7E2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DC1D48" w:rsidRPr="00B66E79" w14:paraId="478DB768" w14:textId="77777777" w:rsidTr="00DC1D4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130CF60" w14:textId="77777777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08345" w14:textId="710450D5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8CF66" w14:textId="1B317B42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95405" w14:textId="1CF9D76F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DC1D48" w:rsidRPr="00B66E79" w14:paraId="66ED907F" w14:textId="77777777" w:rsidTr="00DC1D48">
        <w:trPr>
          <w:trHeight w:val="325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C1FC01" w14:textId="720D6219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автомобили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ремаркета и </w:t>
            </w:r>
            <w:proofErr w:type="spellStart"/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полуремаркета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ED896F" w14:textId="72023545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119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BE1D59" w14:textId="7DCF9615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78B7BF" w14:textId="7C15CD6A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DC1D48" w:rsidRPr="00B66E79" w14:paraId="709B4AEF" w14:textId="77777777" w:rsidTr="00DC1D48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2CD459B" w14:textId="0237FB9B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автомобили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F4339C" w14:textId="65F4629E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6CBB84" w14:textId="5090E5AB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29A9C" w14:textId="4AD64836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DC1D48" w:rsidRPr="00B66E79" w14:paraId="7E187225" w14:textId="77777777" w:rsidTr="00DC1D4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096B221" w14:textId="77777777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C66D9" w14:textId="55235122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140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42318E" w14:textId="6034B659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73DA33" w14:textId="083E0BD9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DC1D48" w:rsidRPr="00B66E79" w14:paraId="140DB18A" w14:textId="77777777" w:rsidTr="00DC1D4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ADFDFFE" w14:textId="5E6C9B11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некласифицирано другаде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A0D223" w14:textId="67342F37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AA71C4" w14:textId="7CCB5806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DB3901" w14:textId="5CA18736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DC1D48" w:rsidRPr="00B66E79" w14:paraId="380638B9" w14:textId="77777777" w:rsidTr="00DC1D48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60AE88" w14:textId="77777777" w:rsidR="00DC1D48" w:rsidRPr="00F856E7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48879" w14:textId="7167E1E2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131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C4678B" w14:textId="092A2750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51451" w14:textId="52DFE19D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DC1D48" w:rsidRPr="00B66E79" w14:paraId="22F61F0F" w14:textId="77777777" w:rsidTr="00DC1D48">
        <w:trPr>
          <w:trHeight w:val="402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AECB1" w14:textId="77777777" w:rsidR="00DC1D48" w:rsidRPr="00F856E7" w:rsidRDefault="00DC1D48" w:rsidP="00DC1D48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73A2F" w14:textId="0E9A6B1B" w:rsidR="00DC1D48" w:rsidRPr="00DC1D48" w:rsidRDefault="00DC1D48" w:rsidP="00DC1D4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118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00EE4" w14:textId="772381E4" w:rsidR="00DC1D48" w:rsidRPr="00DC1D48" w:rsidRDefault="00DC1D48" w:rsidP="00DC1D4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111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8174B" w14:textId="6B0539A1" w:rsidR="00DC1D48" w:rsidRPr="00DC1D48" w:rsidRDefault="00DC1D48" w:rsidP="00DC1D4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97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DC1D48" w:rsidRPr="00B66E79" w14:paraId="6FE8D6F4" w14:textId="77777777" w:rsidTr="00DC1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23FD0" w14:textId="77777777" w:rsidR="00DC1D48" w:rsidRPr="00F856E7" w:rsidRDefault="00DC1D48" w:rsidP="00DC1D48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2705B2" w14:textId="5CD693D9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118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27686" w14:textId="1981B452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59CC13" w14:textId="75F358B8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</w:tbl>
    <w:p w14:paraId="528B40FB" w14:textId="77777777" w:rsidR="00B66E79" w:rsidRDefault="00B66E79" w:rsidP="00A2553A">
      <w:pPr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58B6266F" w14:textId="0F29E385" w:rsidR="00B66E79" w:rsidRPr="00B66E79" w:rsidRDefault="00B66E79" w:rsidP="007A7C8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16"/>
          <w:szCs w:val="16"/>
          <w:lang w:val="ru-RU" w:eastAsia="bg-BG"/>
        </w:rPr>
      </w:pP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Индекси на цените на производит</w:t>
      </w:r>
      <w:r w:rsidR="00A97AA8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е</w:t>
      </w:r>
      <w:r w:rsidR="009B3D8C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л н</w:t>
      </w:r>
      <w:r w:rsidR="0096413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а вътрешния пазар през ноември</w:t>
      </w: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2024 година</w:t>
      </w:r>
      <w:r w:rsidRPr="00B66E79">
        <w:rPr>
          <w:rFonts w:ascii="Verdana" w:eastAsia="Μοντέρνα" w:hAnsi="Verdana" w:cs="Times New Roman"/>
          <w:b/>
          <w:bCs/>
          <w:color w:val="FFFFFF"/>
          <w:sz w:val="16"/>
          <w:szCs w:val="16"/>
          <w:vertAlign w:val="superscript"/>
          <w:lang w:eastAsia="bg-BG"/>
        </w:rPr>
        <w:footnoteReference w:customMarkFollows="1" w:id="2"/>
        <w:t>1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1360"/>
        <w:gridCol w:w="1552"/>
        <w:gridCol w:w="1544"/>
      </w:tblGrid>
      <w:tr w:rsidR="00B66E79" w:rsidRPr="00B66E79" w14:paraId="1F79F052" w14:textId="77777777" w:rsidTr="00DC1D48">
        <w:trPr>
          <w:trHeight w:val="59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D6416" w14:textId="77777777" w:rsidR="00B66E79" w:rsidRPr="0042667B" w:rsidRDefault="00B66E79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5425922F" w14:textId="77777777" w:rsidR="00B66E79" w:rsidRPr="0042667B" w:rsidRDefault="00B66E79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5E805" w14:textId="569F7AA8" w:rsidR="00B66E79" w:rsidRPr="0042667B" w:rsidRDefault="00D80173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2021</w:t>
            </w:r>
            <w:r w:rsidR="00B66E79"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 = 100</w:t>
            </w:r>
          </w:p>
          <w:p w14:paraId="2082E494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7D6A9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6E42E383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F1BCB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DC1D48" w:rsidRPr="00DC1D48" w14:paraId="5B1CAD27" w14:textId="77777777" w:rsidTr="00DC1D48">
        <w:trPr>
          <w:trHeight w:val="179"/>
        </w:trPr>
        <w:tc>
          <w:tcPr>
            <w:tcW w:w="2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54EC3" w14:textId="1BBB5649" w:rsidR="00DC1D48" w:rsidRPr="0042667B" w:rsidRDefault="00DC1D48" w:rsidP="00DC1D48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Промишленост 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</w:t>
            </w: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общо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AB4190" w14:textId="78121F8E" w:rsidR="00DC1D48" w:rsidRPr="00DC1D48" w:rsidRDefault="00DC1D48" w:rsidP="00DC1D4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127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FF3065" w14:textId="0D49CEF1" w:rsidR="00DC1D48" w:rsidRPr="00DC1D48" w:rsidRDefault="00DC1D48" w:rsidP="00DC1D4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104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F04890" w14:textId="2F7BE045" w:rsidR="00DC1D48" w:rsidRPr="00DC1D48" w:rsidRDefault="00DC1D48" w:rsidP="00DC1D4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DC1D48" w:rsidRPr="00DC1D48" w14:paraId="7D3BEE76" w14:textId="77777777" w:rsidTr="00DC1D4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BA022" w14:textId="77777777" w:rsidR="00DC1D48" w:rsidRPr="0042667B" w:rsidRDefault="00DC1D48" w:rsidP="00DC1D48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AB38EF" w14:textId="455200AE" w:rsidR="00DC1D48" w:rsidRPr="00DC1D48" w:rsidRDefault="00DC1D48" w:rsidP="00DC1D4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127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B3D09C" w14:textId="377DB0AD" w:rsidR="00DC1D48" w:rsidRPr="00DC1D48" w:rsidRDefault="00DC1D48" w:rsidP="00DC1D4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56DBD2" w14:textId="5D6F0B0F" w:rsidR="00DC1D48" w:rsidRPr="00DC1D48" w:rsidRDefault="00DC1D48" w:rsidP="00DC1D4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114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DC1D48" w:rsidRPr="00DC1D48" w14:paraId="7BDBB35C" w14:textId="77777777" w:rsidTr="00DC1D4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829B6" w14:textId="77777777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A52D45" w14:textId="04DF00C6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134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C6772C" w14:textId="15380011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D6BB49" w14:textId="71C42A71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120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DC1D48" w:rsidRPr="00DC1D48" w14:paraId="231796E3" w14:textId="77777777" w:rsidTr="00DC1D4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CDA71" w14:textId="77777777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D4EB01" w14:textId="4838CCCD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4869EA" w14:textId="46C79C03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142D37" w14:textId="3F0FBEAA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DC1D48" w:rsidRPr="00DC1D48" w14:paraId="3C9263E4" w14:textId="77777777" w:rsidTr="00DC1D4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43843" w14:textId="77777777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EF4C37" w14:textId="2C3336C5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119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4BA6B5" w14:textId="20788BF0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474799" w14:textId="160E0362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117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DC1D48" w:rsidRPr="00DC1D48" w14:paraId="65EF65F5" w14:textId="77777777" w:rsidTr="00DC1D4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EFB37" w14:textId="77777777" w:rsidR="00DC1D48" w:rsidRPr="0042667B" w:rsidRDefault="00DC1D48" w:rsidP="00DC1D48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C86191" w14:textId="1BB963FE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147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53E9CB" w14:textId="4131A7CE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3CDCCD" w14:textId="0A2F917B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DC1D48" w:rsidRPr="00DC1D48" w14:paraId="5D669458" w14:textId="77777777" w:rsidTr="00DC1D4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75EC4" w14:textId="77777777" w:rsidR="00DC1D48" w:rsidRPr="006B56F9" w:rsidRDefault="00DC1D48" w:rsidP="00DC1D48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6B56F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6B5B38" w14:textId="620640A3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976144" w14:textId="598D393B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7B332A" w14:textId="48516DC5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</w:tr>
      <w:tr w:rsidR="00DC1D48" w:rsidRPr="00DC1D48" w14:paraId="6728CACE" w14:textId="77777777" w:rsidTr="00DC1D4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5D5C0" w14:textId="77777777" w:rsidR="00DC1D48" w:rsidRPr="0042667B" w:rsidRDefault="00DC1D48" w:rsidP="00DC1D48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F60229" w14:textId="014ACB59" w:rsidR="00DC1D48" w:rsidRPr="00DC1D48" w:rsidRDefault="00DC1D48" w:rsidP="00DC1D4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131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BDCFD0" w14:textId="075B63F6" w:rsidR="00DC1D48" w:rsidRPr="00DC1D48" w:rsidRDefault="00DC1D48" w:rsidP="00DC1D4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DA2E22" w14:textId="416FD032" w:rsidR="00DC1D48" w:rsidRPr="00DC1D48" w:rsidRDefault="00DC1D48" w:rsidP="00DC1D4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C1D48" w:rsidRPr="00DC1D48" w14:paraId="245E6538" w14:textId="77777777" w:rsidTr="00DC1D4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935BA" w14:textId="77777777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8EE1D5" w14:textId="62DFD79F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7A8A3B" w14:textId="2BF2FA17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16022D" w14:textId="27F1B8C5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DC1D48" w:rsidRPr="00DC1D48" w14:paraId="2F1FADC1" w14:textId="77777777" w:rsidTr="00DC1D4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DEC42" w14:textId="77777777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3D94CA" w14:textId="0D828F63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81EA09" w14:textId="1A6CA9FB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FC679C" w14:textId="0C7609A0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DC1D48" w:rsidRPr="00DC1D48" w14:paraId="07758D09" w14:textId="77777777" w:rsidTr="00DC1D4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99609" w14:textId="77777777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DDB7B4" w14:textId="46D38B67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170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DD4589" w14:textId="44E2321F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C18E1B" w14:textId="7B47C6B4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DC1D48" w:rsidRPr="00DC1D48" w14:paraId="596DF80D" w14:textId="77777777" w:rsidTr="00DC1D48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042F9" w14:textId="374AD1FC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626D8" w14:textId="53A3232E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143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0D04E2" w14:textId="02A9DDFA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8138D4" w14:textId="02C87158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DC1D48" w:rsidRPr="00DC1D48" w14:paraId="41F6EA25" w14:textId="77777777" w:rsidTr="00DC1D4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1FF29" w14:textId="77777777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36AC14" w14:textId="2E0C10D5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129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742932" w14:textId="668F73B3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5D4A45" w14:textId="381C1E5D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DC1D48" w:rsidRPr="00DC1D48" w14:paraId="495CA8AF" w14:textId="77777777" w:rsidTr="00DC1D48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1664F" w14:textId="77777777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3EA882" w14:textId="32EEF957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136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D36BD4" w14:textId="4BA26A2A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DC6D5E" w14:textId="6A1A20A4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DC1D48" w:rsidRPr="00DC1D48" w14:paraId="3A0198F3" w14:textId="77777777" w:rsidTr="00DC1D48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00CE2" w14:textId="79B149E5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ървен материал и изделия от него,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BADC45" w14:textId="7CAEF8F6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143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A11650" w14:textId="415E8AA8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E1E457" w14:textId="7FF15866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94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DC1D48" w:rsidRPr="00DC1D48" w14:paraId="5A95027E" w14:textId="77777777" w:rsidTr="00DC1D48">
        <w:trPr>
          <w:trHeight w:val="11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576B8" w14:textId="4D30E200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картон и изделия от хартия и картон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B865E1" w14:textId="3265130B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127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295E4E" w14:textId="7315AA8C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1389A9" w14:textId="65664A6A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DC1D48" w:rsidRPr="00DC1D48" w14:paraId="5A9AFD3F" w14:textId="77777777" w:rsidTr="00DC1D48">
        <w:trPr>
          <w:trHeight w:val="53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D7D68" w14:textId="77777777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10CC42" w14:textId="619B3F09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126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78D2C6" w14:textId="29BE87C2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3AC4C2" w14:textId="248411FF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DC1D48" w:rsidRPr="00DC1D48" w14:paraId="57D00BC7" w14:textId="77777777" w:rsidTr="00DC1D48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251A0" w14:textId="77777777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3224A5" w14:textId="26C84495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B4864A" w14:textId="371ECF87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908F23" w14:textId="5599017F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DC1D48" w:rsidRPr="00DC1D48" w14:paraId="3329B830" w14:textId="77777777" w:rsidTr="00DC1D4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0B7DE" w14:textId="77777777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7AB30B" w14:textId="323FB876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115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3355FB" w14:textId="052A4C68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7665BD" w14:textId="34B613C5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94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DC1D48" w:rsidRPr="00DC1D48" w14:paraId="2FD9DD19" w14:textId="77777777" w:rsidTr="00DC1D48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BC993" w14:textId="77777777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C0F8D3" w14:textId="0D8F9EAC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168A20" w14:textId="6260FB3B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BDAE70" w14:textId="538F1EED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92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DC1D48" w:rsidRPr="00DC1D48" w14:paraId="582C7F47" w14:textId="77777777" w:rsidTr="00DC1D4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3DCD3" w14:textId="77777777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3B7534" w14:textId="3E4060E2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0C0A9C" w14:textId="14718B98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FFB76B" w14:textId="19FDE24E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DC1D48" w:rsidRPr="00DC1D48" w14:paraId="2DE97495" w14:textId="77777777" w:rsidTr="00DC1D48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BA6DA" w14:textId="77777777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DCCDCA" w14:textId="011A6906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151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CF9AFF" w14:textId="1B30CA5F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79EF98" w14:textId="59AD8D13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DC1D48" w:rsidRPr="00DC1D48" w14:paraId="7BB53F3C" w14:textId="77777777" w:rsidTr="00DC1D4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A5437" w14:textId="77777777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EDA4E3" w14:textId="32729D73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DB6951" w14:textId="6C8A49C1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63FB87" w14:textId="6D6AD6FA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DC1D48" w:rsidRPr="00DC1D48" w14:paraId="6D23FAEC" w14:textId="77777777" w:rsidTr="00DC1D48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7CECA" w14:textId="149290C5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метални изделия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машини и оборудване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D50E1A" w14:textId="5480D3D5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127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8AB285" w14:textId="79906F0B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EF5F34" w14:textId="744CD2CD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DC1D48" w:rsidRPr="00DC1D48" w14:paraId="524186D1" w14:textId="77777777" w:rsidTr="00DC1D48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E0FF2" w14:textId="0BAFBCB4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електронни и оптични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967314" w14:textId="35B9DFF0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118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C9C101" w14:textId="1871EC49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FDE4DC" w14:textId="6671B492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DC1D48" w:rsidRPr="00DC1D48" w14:paraId="1A708E0C" w14:textId="77777777" w:rsidTr="00DC1D48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DD0ED" w14:textId="77777777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A4D522" w14:textId="64332A70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127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916CAB" w14:textId="02F628CA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02A493" w14:textId="2DFB49A0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DC1D48" w:rsidRPr="00DC1D48" w14:paraId="77EE896F" w14:textId="77777777" w:rsidTr="00DC1D48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61263" w14:textId="77777777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FC4A5C" w14:textId="57997710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BDA8EE" w14:textId="21044FDB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066F74" w14:textId="0B8DA996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DC1D48" w:rsidRPr="00DC1D48" w14:paraId="1241504D" w14:textId="77777777" w:rsidTr="00DC1D48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B4E6E" w14:textId="729911E8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автомобили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ремаркета и </w:t>
            </w:r>
            <w:proofErr w:type="spellStart"/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полуремаркета</w:t>
            </w:r>
            <w:proofErr w:type="spellEnd"/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9C830A" w14:textId="5F02C4F2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131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5BEF80" w14:textId="3623D15B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FFC54E" w14:textId="3DA64939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DC1D48" w:rsidRPr="00DC1D48" w14:paraId="58F14A1D" w14:textId="77777777" w:rsidTr="00DC1D48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26353" w14:textId="2F3314C7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автомобили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9960B0" w14:textId="405FFE27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117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1F0B64" w14:textId="30392B71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4D1CC" w14:textId="4564C222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DC1D48" w:rsidRPr="00DC1D48" w14:paraId="1B30027F" w14:textId="77777777" w:rsidTr="00DC1D48">
        <w:trPr>
          <w:trHeight w:val="17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50D8E" w14:textId="77777777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D5E451" w14:textId="0E5239A3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144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A4C833" w14:textId="5240E8C5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A11F07" w14:textId="4CC417DB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DC1D48" w:rsidRPr="00DC1D48" w14:paraId="22A3782A" w14:textId="77777777" w:rsidTr="00FC7BA9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C8965" w14:textId="77777777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Производство, некласифицирано другаде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FB790" w14:textId="715A98A1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sz w:val="16"/>
                <w:szCs w:val="16"/>
              </w:rPr>
              <w:t>99</w:t>
            </w:r>
            <w:r w:rsidR="00C97171">
              <w:rPr>
                <w:rFonts w:ascii="Verdana" w:hAnsi="Verdana" w:cs="Arial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20148" w14:textId="3F3BEFBE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7E545" w14:textId="01C6B440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sz w:val="16"/>
                <w:szCs w:val="16"/>
              </w:rPr>
              <w:t>95</w:t>
            </w:r>
            <w:r w:rsidR="00C97171">
              <w:rPr>
                <w:rFonts w:ascii="Verdana" w:hAnsi="Verdana" w:cs="Arial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</w:tr>
      <w:tr w:rsidR="00DC1D48" w:rsidRPr="00DC1D48" w14:paraId="3E00482C" w14:textId="77777777" w:rsidTr="00FC7BA9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5A38B" w14:textId="77777777" w:rsidR="00DC1D48" w:rsidRPr="0042667B" w:rsidRDefault="00DC1D48" w:rsidP="00DC1D48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005DB" w14:textId="497AD128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sz w:val="16"/>
                <w:szCs w:val="16"/>
              </w:rPr>
              <w:t>138</w:t>
            </w:r>
            <w:r w:rsidR="00C97171">
              <w:rPr>
                <w:rFonts w:ascii="Verdana" w:hAnsi="Verdana" w:cs="Arial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D6DDC" w14:textId="442F94F2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C7FD1" w14:textId="18601C9B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sz w:val="16"/>
                <w:szCs w:val="16"/>
              </w:rPr>
              <w:t>110</w:t>
            </w:r>
            <w:r w:rsidR="00C97171">
              <w:rPr>
                <w:rFonts w:ascii="Verdana" w:hAnsi="Verdana" w:cs="Arial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</w:tr>
      <w:tr w:rsidR="00DC1D48" w:rsidRPr="00DC1D48" w14:paraId="678DD0B0" w14:textId="77777777" w:rsidTr="00DC1D48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D9242" w14:textId="77777777" w:rsidR="00DC1D48" w:rsidRPr="0042667B" w:rsidRDefault="00DC1D48" w:rsidP="00DC1D48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40B262" w14:textId="346BAD9F" w:rsidR="00DC1D48" w:rsidRPr="00DC1D48" w:rsidRDefault="00DC1D48" w:rsidP="00DC1D4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121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085396" w14:textId="2810A81C" w:rsidR="00DC1D48" w:rsidRPr="00DC1D48" w:rsidRDefault="00DC1D48" w:rsidP="00DC1D4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113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7B703E" w14:textId="548573BF" w:rsidR="00DC1D48" w:rsidRPr="00DC1D48" w:rsidRDefault="00DC1D48" w:rsidP="00DC1D4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DC1D48" w:rsidRPr="00DC1D48" w14:paraId="7C411839" w14:textId="77777777" w:rsidTr="00DC1D48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BEBCB" w14:textId="77777777" w:rsidR="00DC1D48" w:rsidRPr="0042667B" w:rsidRDefault="00DC1D48" w:rsidP="00DC1D48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E1AE41" w14:textId="67495675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121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E6AF7B" w14:textId="5C785131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E6E08B" w14:textId="3465E1ED" w:rsidR="00DC1D48" w:rsidRPr="00DC1D48" w:rsidRDefault="00DC1D48" w:rsidP="00DC1D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DC1D48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</w:tbl>
    <w:p w14:paraId="684B39D7" w14:textId="77777777" w:rsidR="00F44F9E" w:rsidRDefault="00F44F9E" w:rsidP="00F44F9E">
      <w:pPr>
        <w:widowControl w:val="0"/>
        <w:autoSpaceDE w:val="0"/>
        <w:autoSpaceDN w:val="0"/>
      </w:pPr>
    </w:p>
    <w:p w14:paraId="28F6E61E" w14:textId="77777777" w:rsidR="00F44F9E" w:rsidRDefault="00F44F9E" w:rsidP="00F44F9E">
      <w:pPr>
        <w:widowControl w:val="0"/>
        <w:autoSpaceDE w:val="0"/>
        <w:autoSpaceDN w:val="0"/>
        <w:spacing w:before="160" w:after="160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2E6CDCA" w14:textId="77777777" w:rsidR="00B66E79" w:rsidRPr="00B66E79" w:rsidRDefault="00B66E79" w:rsidP="00A2553A">
      <w:pPr>
        <w:keepNext/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Таблица </w:t>
      </w:r>
      <w:r w:rsidRPr="00B66E79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3</w:t>
      </w:r>
    </w:p>
    <w:p w14:paraId="1BE482AE" w14:textId="3586DDF8" w:rsidR="00B66E79" w:rsidRPr="00B66E79" w:rsidRDefault="00B66E79" w:rsidP="007A7C8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Индекси на цените на производител н</w:t>
      </w:r>
      <w:r w:rsidR="00A97AA8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а</w:t>
      </w:r>
      <w:r w:rsidR="009B3D8C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ме</w:t>
      </w:r>
      <w:r w:rsidR="0096413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ждународния пазар през ноември</w:t>
      </w: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2024 година</w:t>
      </w:r>
      <w:r w:rsidRPr="00B66E79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  <w:footnoteReference w:customMarkFollows="1" w:id="3"/>
        <w:t>1</w:t>
      </w:r>
    </w:p>
    <w:tbl>
      <w:tblPr>
        <w:tblW w:w="9007" w:type="dxa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708"/>
        <w:gridCol w:w="1261"/>
        <w:gridCol w:w="1462"/>
        <w:gridCol w:w="1576"/>
      </w:tblGrid>
      <w:tr w:rsidR="00B66E79" w:rsidRPr="00B66E79" w14:paraId="77D04E0D" w14:textId="77777777" w:rsidTr="00EE4321">
        <w:trPr>
          <w:trHeight w:val="62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611C6" w14:textId="77777777" w:rsidR="00B66E79" w:rsidRPr="00B66E79" w:rsidRDefault="00B66E79" w:rsidP="00B66E79">
            <w:pPr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5494941F" w14:textId="77777777" w:rsidR="00B66E79" w:rsidRPr="00B66E79" w:rsidRDefault="00B66E79" w:rsidP="00B66E79">
            <w:pPr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35621" w14:textId="5ED358E5" w:rsidR="00B66E79" w:rsidRPr="00B66E79" w:rsidRDefault="00D80173" w:rsidP="00500CC8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2021</w:t>
            </w:r>
            <w:r w:rsidR="00B66E79"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 = 100</w:t>
            </w:r>
          </w:p>
          <w:p w14:paraId="120C2D46" w14:textId="77777777" w:rsidR="00B66E79" w:rsidRPr="00B66E79" w:rsidRDefault="00B66E79" w:rsidP="00657C6E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17E83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1DCF6E9D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33CCD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EE4321" w:rsidRPr="00E50C11" w14:paraId="5D839E92" w14:textId="77777777" w:rsidTr="00EE4321">
        <w:trPr>
          <w:trHeight w:val="146"/>
        </w:trPr>
        <w:tc>
          <w:tcPr>
            <w:tcW w:w="4708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0D4F30CD" w14:textId="37E55364" w:rsidR="00EE4321" w:rsidRPr="00B66E79" w:rsidRDefault="00EE4321" w:rsidP="00EE4321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Промишленост 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</w:t>
            </w: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общо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0FE77D" w14:textId="13867618" w:rsidR="00EE4321" w:rsidRPr="00EE4321" w:rsidRDefault="00EE4321" w:rsidP="00EE432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118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07709" w14:textId="7E3D6E4D" w:rsidR="00EE4321" w:rsidRPr="00EE4321" w:rsidRDefault="00EE4321" w:rsidP="00EE432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5358D5" w14:textId="5549D6D5" w:rsidR="00EE4321" w:rsidRPr="00EE4321" w:rsidRDefault="00EE4321" w:rsidP="00EE432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E4321" w:rsidRPr="00E50C11" w14:paraId="57F65D1D" w14:textId="77777777" w:rsidTr="00EE432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D6733EA" w14:textId="77777777" w:rsidR="00EE4321" w:rsidRPr="00B66E79" w:rsidRDefault="00EE4321" w:rsidP="00EE4321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3F4890" w14:textId="31BE57AF" w:rsidR="00EE4321" w:rsidRPr="00EE4321" w:rsidRDefault="00EE4321" w:rsidP="00EE432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146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F8AC3" w14:textId="3A440AA6" w:rsidR="00EE4321" w:rsidRPr="00EE4321" w:rsidRDefault="00EE4321" w:rsidP="00EE432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98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B3B7F" w14:textId="7FBAC76E" w:rsidR="00EE4321" w:rsidRPr="00EE4321" w:rsidRDefault="00EE4321" w:rsidP="00EE432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121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E4321" w:rsidRPr="00E50C11" w14:paraId="047EDB4C" w14:textId="77777777" w:rsidTr="00EE432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15F038B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17B573" w14:textId="3423A2BC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8E156" w14:textId="289D3C7D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94A94" w14:textId="603D1F24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EE4321" w:rsidRPr="00E50C11" w14:paraId="5876225F" w14:textId="77777777" w:rsidTr="00EE432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1AFA9AF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0D6575" w14:textId="76860A4F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A0CE6" w14:textId="1AEA0680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DB3C3" w14:textId="17282FA7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EE4321" w:rsidRPr="00E50C11" w14:paraId="74C8C29B" w14:textId="77777777" w:rsidTr="00EE432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7116AF5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4107AF" w14:textId="7EED1038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06D6A" w14:textId="38E7D0AE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022EC3" w14:textId="40DC59F0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EE4321" w:rsidRPr="00E50C11" w14:paraId="1DD2AAF3" w14:textId="77777777" w:rsidTr="00EE432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4DEB75B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2D126B" w14:textId="36D6526B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155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289671" w14:textId="47E3649C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206BC1" w14:textId="297C6BEC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EE4321" w:rsidRPr="00E50C11" w14:paraId="5C4EC369" w14:textId="77777777" w:rsidTr="00EE432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5F4EBF8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D4BB5" w14:textId="366AA20F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1E2496" w14:textId="7E7AB11A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E736C" w14:textId="65E109AF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EE4321" w:rsidRPr="00E50C11" w14:paraId="27885F8F" w14:textId="77777777" w:rsidTr="00EE432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4AB706E" w14:textId="77777777" w:rsidR="00EE4321" w:rsidRPr="00B66E79" w:rsidRDefault="00EE4321" w:rsidP="00EE4321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050B45" w14:textId="04B7E9B9" w:rsidR="00EE4321" w:rsidRPr="00EE4321" w:rsidRDefault="00EE4321" w:rsidP="00EE432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118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8E31B4" w14:textId="77F3FC75" w:rsidR="00EE4321" w:rsidRPr="00EE4321" w:rsidRDefault="00EE4321" w:rsidP="00EE432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15A5DA" w14:textId="2B8D9754" w:rsidR="00EE4321" w:rsidRPr="00EE4321" w:rsidRDefault="00EE4321" w:rsidP="00EE432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EE4321" w:rsidRPr="00E50C11" w14:paraId="58A76F67" w14:textId="77777777" w:rsidTr="00EE432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5C6AFBD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50C7BE" w14:textId="44E67FDF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119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B94F3" w14:textId="7F167750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DE859" w14:textId="3B7F9025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</w:tr>
      <w:tr w:rsidR="00EE4321" w:rsidRPr="00E50C11" w14:paraId="2FD1F1B0" w14:textId="77777777" w:rsidTr="00EE432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A69B0CA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FFE37" w14:textId="34ECBB5B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126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B84CBD" w14:textId="3DFD1EC1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64B073" w14:textId="02074672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EE4321" w:rsidRPr="00E50C11" w14:paraId="06EFF173" w14:textId="77777777" w:rsidTr="00EE432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431C97A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0B0D50" w14:textId="5F8D81BF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116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0A6E2F" w14:textId="58BDA1F2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1DCCA" w14:textId="688E2968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EE4321" w:rsidRPr="00E50C11" w14:paraId="62284D08" w14:textId="77777777" w:rsidTr="00EE432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E0E87DE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текстил, без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F273D" w14:textId="4D228B47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123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135F5" w14:textId="150707BF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50004C" w14:textId="674C9D31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EE4321" w:rsidRPr="00E50C11" w14:paraId="13FDA903" w14:textId="77777777" w:rsidTr="00EE432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F201B8D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CDBC6D" w14:textId="3C736D44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124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C27105" w14:textId="0B5F7942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76BB57" w14:textId="7004C899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EE4321" w:rsidRPr="00E50C11" w14:paraId="5C7BD927" w14:textId="77777777" w:rsidTr="00EE432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549989B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7034D8" w14:textId="6C3308B5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90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A827B3" w14:textId="2AE813D1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07C0C9" w14:textId="1BC91055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EE4321" w:rsidRPr="00E50C11" w14:paraId="4A9BFC17" w14:textId="77777777" w:rsidTr="00EE432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6468A02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29243A" w14:textId="114F6247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5F9312" w14:textId="47AC6E8F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99F6C0" w14:textId="3E1B115A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EE4321" w:rsidRPr="00E50C11" w14:paraId="09A563BF" w14:textId="77777777" w:rsidTr="00EE4321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D22DE1D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FDD9F" w14:textId="5EE7B471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124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5E37E" w14:textId="1D424A75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854498" w14:textId="03BEA359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EE4321" w:rsidRPr="00E50C11" w14:paraId="4A00C8EC" w14:textId="77777777" w:rsidTr="00EE4321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8F058DA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D5B18" w14:textId="313FFE2C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122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EC6E86" w14:textId="30B75EF3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58FD79" w14:textId="0CD92EDE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EE4321" w:rsidRPr="00E50C11" w14:paraId="22445CAC" w14:textId="77777777" w:rsidTr="00EE432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B28E7E5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54EDB9" w14:textId="67A86752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308828" w14:textId="414BEAAD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E437FA" w14:textId="1D183AFA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EE4321" w:rsidRPr="00E50C11" w14:paraId="46B17039" w14:textId="77777777" w:rsidTr="00EE432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3A3E6B6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D69EBF" w14:textId="51DD11EE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DBEF" w14:textId="7FFBB895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C60B6F" w14:textId="7FC7B278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EE4321" w:rsidRPr="00E50C11" w14:paraId="3C57AA9F" w14:textId="77777777" w:rsidTr="00EE432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02B1ED0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49DED1" w14:textId="3D523217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124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F5B5D0" w14:textId="7E78F966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4CEE1D" w14:textId="15F17C6A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EE4321" w:rsidRPr="00E50C11" w14:paraId="67652D12" w14:textId="77777777" w:rsidTr="00EE432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A3978AC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D708F8" w14:textId="0D42C9A2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146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7FEB8F" w14:textId="75E07097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CA225" w14:textId="673DA3B6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EE4321" w:rsidRPr="00E50C11" w14:paraId="026EE866" w14:textId="77777777" w:rsidTr="00EE432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F7EFE41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CE0FA" w14:textId="6ABF7BE2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144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7F96BC" w14:textId="6E6D7E18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C681D0" w14:textId="234E4EB4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EE4321" w:rsidRPr="00E50C11" w14:paraId="73B1F740" w14:textId="77777777" w:rsidTr="00EE432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3D650BE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E471FF" w14:textId="69FE2752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F646D5" w14:textId="449EBC9D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085BAD" w14:textId="04ABB98C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EE4321" w:rsidRPr="00E50C11" w14:paraId="3C6E469A" w14:textId="77777777" w:rsidTr="00EE432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D6758C0" w14:textId="6105F4DF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метални изделия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машини и оборудване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C47306" w14:textId="218D4180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134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7D8CA4" w14:textId="20CDDB00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932CA" w14:textId="426C22F4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EE4321" w:rsidRPr="00E50C11" w14:paraId="018B48D6" w14:textId="77777777" w:rsidTr="00EE4321">
        <w:trPr>
          <w:trHeight w:val="27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D9745E7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1A574" w14:textId="04B02F65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144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153AC4" w14:textId="7168084C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7C5310" w14:textId="4B54EEF7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EE4321" w:rsidRPr="00E50C11" w14:paraId="3067E61F" w14:textId="77777777" w:rsidTr="00EE432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775D9CF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31D083" w14:textId="3A31499D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124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190FA1" w14:textId="16D998F3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794563" w14:textId="0B87773E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EE4321" w:rsidRPr="00E50C11" w14:paraId="1693BA7F" w14:textId="77777777" w:rsidTr="00EE432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CF3F02E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51E209" w14:textId="284FEAFC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595E7E" w14:textId="2D1C56FD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8ADED8" w14:textId="1BE72AE9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EE4321" w:rsidRPr="00E50C11" w14:paraId="5543DADD" w14:textId="77777777" w:rsidTr="00EE4321">
        <w:trPr>
          <w:trHeight w:val="258"/>
        </w:trPr>
        <w:tc>
          <w:tcPr>
            <w:tcW w:w="4708" w:type="dxa"/>
            <w:tcBorders>
              <w:right w:val="nil"/>
            </w:tcBorders>
            <w:shd w:val="clear" w:color="auto" w:fill="auto"/>
          </w:tcPr>
          <w:p w14:paraId="3C664C30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автомобили, ремаркета и </w:t>
            </w:r>
            <w:proofErr w:type="spellStart"/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полуремаркета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85B42A" w14:textId="1B2F8A58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116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5D8A39" w14:textId="60089219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8C73D1" w14:textId="12ADBAF0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EE4321" w:rsidRPr="00E50C11" w14:paraId="4159252D" w14:textId="77777777" w:rsidTr="00EE432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7302422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средства, без автомобили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E6E9A4" w14:textId="235A6DF5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9E28BF" w14:textId="5EFA5B97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8DFE14" w14:textId="0467800F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EE4321" w:rsidRPr="00E50C11" w14:paraId="376AC06C" w14:textId="77777777" w:rsidTr="00EE432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3F3F602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316938" w14:textId="060B93D4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136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9E4F8E" w14:textId="26B23A88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EB5A1" w14:textId="03510C42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116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EE4321" w:rsidRPr="00E50C11" w14:paraId="6EFED768" w14:textId="77777777" w:rsidTr="00EE432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564CE65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Производство, некласифицирано другаде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4EC664" w14:textId="029FE949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1DD208" w14:textId="1054A723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0F3F5F" w14:textId="7C3DFDCC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EE4321" w:rsidRPr="00E50C11" w14:paraId="1A0AD0EA" w14:textId="77777777" w:rsidTr="00EE4321">
        <w:trPr>
          <w:trHeight w:val="157"/>
        </w:trPr>
        <w:tc>
          <w:tcPr>
            <w:tcW w:w="4708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19A9DF4" w14:textId="77777777" w:rsidR="00EE4321" w:rsidRPr="00B66E79" w:rsidRDefault="00EE4321" w:rsidP="00EE432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AA6624" w14:textId="51C81402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121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1D5E61" w14:textId="18D0BF8F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BA66E9" w14:textId="502EA00E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EE4321" w:rsidRPr="00E50C11" w14:paraId="07D864C5" w14:textId="77777777" w:rsidTr="00EE4321">
        <w:trPr>
          <w:trHeight w:val="423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BFD5370" w14:textId="77777777" w:rsidR="00EE4321" w:rsidRPr="00711C47" w:rsidRDefault="00EE4321" w:rsidP="00EE4321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711C4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6AC88" w14:textId="67F35BE3" w:rsidR="00EE4321" w:rsidRPr="00EE4321" w:rsidRDefault="00EE4321" w:rsidP="00EE432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98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C5A3C3" w14:textId="66056BCC" w:rsidR="00EE4321" w:rsidRPr="00EE4321" w:rsidRDefault="00EE4321" w:rsidP="00EE432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98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85F2F" w14:textId="2EB508EB" w:rsidR="00EE4321" w:rsidRPr="00EE4321" w:rsidRDefault="00EE4321" w:rsidP="00EE432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112</w:t>
            </w:r>
            <w:r w:rsidR="00C9717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EE4321" w:rsidRPr="00E50C11" w14:paraId="37490691" w14:textId="77777777" w:rsidTr="00EE4321">
        <w:trPr>
          <w:trHeight w:val="269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9E931D" w14:textId="77777777" w:rsidR="00EE4321" w:rsidRPr="00711C47" w:rsidRDefault="00EE4321" w:rsidP="00EE4321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711C4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7E8631" w14:textId="6CA5FA9B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EEAA8" w14:textId="1BE91C6D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ACF53D" w14:textId="6D9E8815" w:rsidR="00EE4321" w:rsidRPr="00EE4321" w:rsidRDefault="00EE4321" w:rsidP="00EE432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C9717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E432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</w:tbl>
    <w:p w14:paraId="078DC79D" w14:textId="77777777" w:rsidR="00171C36" w:rsidRPr="00CA0766" w:rsidRDefault="00171C36" w:rsidP="004760D3">
      <w:pPr>
        <w:spacing w:line="360" w:lineRule="auto"/>
        <w:jc w:val="both"/>
      </w:pPr>
    </w:p>
    <w:sectPr w:rsidR="00171C36" w:rsidRPr="00CA0766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2DC1A" w14:textId="77777777" w:rsidR="002831BA" w:rsidRDefault="002831BA" w:rsidP="00214ACA">
      <w:r>
        <w:separator/>
      </w:r>
    </w:p>
  </w:endnote>
  <w:endnote w:type="continuationSeparator" w:id="0">
    <w:p w14:paraId="2F4A44BE" w14:textId="77777777" w:rsidR="002831BA" w:rsidRDefault="002831BA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23CA6" w14:textId="77777777" w:rsidR="004B59B6" w:rsidRPr="00A7142A" w:rsidRDefault="004B59B6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78F969" wp14:editId="4405006B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5E5BA" w14:textId="6CD094EB" w:rsidR="004B59B6" w:rsidRPr="00DD11CB" w:rsidRDefault="004B59B6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840B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78F96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E85E5BA" w14:textId="6CD094EB" w:rsidR="004B59B6" w:rsidRPr="00DD11CB" w:rsidRDefault="004B59B6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840B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EEDE975" wp14:editId="5821E626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78725EF" wp14:editId="06C70B68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FDDDD" w14:textId="77777777" w:rsidR="004B59B6" w:rsidRDefault="004B59B6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363D220" wp14:editId="7780C4E7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20EC35D" wp14:editId="2B697A90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8127A" w14:textId="03F3155A" w:rsidR="004B59B6" w:rsidRPr="00DD11CB" w:rsidRDefault="004B59B6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840B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EC35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4DC8127A" w14:textId="03F3155A" w:rsidR="004B59B6" w:rsidRPr="00DD11CB" w:rsidRDefault="004B59B6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840B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210BA" w14:textId="77777777" w:rsidR="004B59B6" w:rsidRPr="00171C36" w:rsidRDefault="004B59B6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1EE64A8" wp14:editId="7198696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F109597" wp14:editId="3A47C7C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956F0" w14:textId="12698B5B" w:rsidR="004B59B6" w:rsidRPr="00DD11CB" w:rsidRDefault="004B59B6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840B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6B8F328" w14:textId="77777777" w:rsidR="004B59B6" w:rsidRDefault="004B59B6" w:rsidP="00C969F8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00550154" w14:textId="77777777" w:rsidR="004B59B6" w:rsidRPr="005E1084" w:rsidRDefault="004B59B6" w:rsidP="00C969F8">
                          <w:pPr>
                            <w:rPr>
                              <w:b/>
                            </w:rPr>
                          </w:pPr>
                          <w:r w:rsidRPr="005E1084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10959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4E956F0" w14:textId="12698B5B" w:rsidR="004B59B6" w:rsidRPr="00DD11CB" w:rsidRDefault="004B59B6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840B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  <w:p w14:paraId="06B8F328" w14:textId="77777777" w:rsidR="004B59B6" w:rsidRDefault="004B59B6" w:rsidP="00C969F8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00550154" w14:textId="77777777" w:rsidR="004B59B6" w:rsidRPr="005E1084" w:rsidRDefault="004B59B6" w:rsidP="00C969F8">
                    <w:pPr>
                      <w:rPr>
                        <w:b/>
                      </w:rPr>
                    </w:pPr>
                    <w:r w:rsidRPr="005E1084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6EC7015D" wp14:editId="638C4D36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3E88989F" w14:textId="77777777" w:rsidR="004B59B6" w:rsidRDefault="004B59B6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8C770" w14:textId="77777777" w:rsidR="002831BA" w:rsidRDefault="002831BA" w:rsidP="00214ACA">
      <w:r>
        <w:separator/>
      </w:r>
    </w:p>
  </w:footnote>
  <w:footnote w:type="continuationSeparator" w:id="0">
    <w:p w14:paraId="2845229D" w14:textId="77777777" w:rsidR="002831BA" w:rsidRDefault="002831BA" w:rsidP="00214ACA">
      <w:r>
        <w:continuationSeparator/>
      </w:r>
    </w:p>
  </w:footnote>
  <w:footnote w:id="1">
    <w:p w14:paraId="187AF759" w14:textId="77777777" w:rsidR="004B59B6" w:rsidRPr="004938FA" w:rsidRDefault="004B59B6" w:rsidP="00B66E79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2">
    <w:p w14:paraId="406FC5EF" w14:textId="77777777" w:rsidR="004B59B6" w:rsidRPr="004938FA" w:rsidRDefault="004B59B6" w:rsidP="00B66E79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3">
    <w:p w14:paraId="1B0928EF" w14:textId="77777777" w:rsidR="004B59B6" w:rsidRPr="00A2553A" w:rsidRDefault="004B59B6" w:rsidP="00B66E79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A2553A">
        <w:rPr>
          <w:rStyle w:val="FootnoteReference"/>
          <w:rFonts w:ascii="Verdana" w:hAnsi="Verdana"/>
          <w:color w:val="FFFFFF"/>
          <w:sz w:val="16"/>
          <w:szCs w:val="16"/>
          <w:lang w:val="ru-RU"/>
        </w:rPr>
        <w:t>1</w:t>
      </w:r>
      <w:r w:rsidRPr="00A2553A">
        <w:rPr>
          <w:rFonts w:ascii="Verdana" w:hAnsi="Verdana"/>
          <w:sz w:val="16"/>
          <w:szCs w:val="16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6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6"/>
          <w:lang w:val="bg-BG"/>
        </w:rPr>
        <w:t>конфиденциални</w:t>
      </w: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данни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  <w:p w14:paraId="49741AC3" w14:textId="77777777" w:rsidR="004B59B6" w:rsidRPr="00A2553A" w:rsidRDefault="004B59B6" w:rsidP="00B66E79">
      <w:pPr>
        <w:pStyle w:val="FootnoteText"/>
        <w:spacing w:after="120"/>
        <w:rPr>
          <w:rFonts w:ascii="Verdana" w:hAnsi="Verdana"/>
          <w:sz w:val="16"/>
          <w:szCs w:val="16"/>
          <w:lang w:val="en-US"/>
        </w:rPr>
      </w:pP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/>
          <w:sz w:val="16"/>
          <w:szCs w:val="16"/>
          <w:lang w:val="bg-BG"/>
        </w:rPr>
        <w:t xml:space="preserve">„-“ - </w:t>
      </w:r>
      <w:r w:rsidRPr="00A2553A">
        <w:rPr>
          <w:rFonts w:ascii="Verdana" w:hAnsi="Verdana" w:hint="cs"/>
          <w:sz w:val="16"/>
          <w:szCs w:val="16"/>
          <w:lang w:val="bg-BG"/>
        </w:rPr>
        <w:t>няма</w:t>
      </w:r>
      <w:r w:rsidRPr="00A2553A">
        <w:rPr>
          <w:rFonts w:ascii="Verdana" w:hAnsi="Verdana"/>
          <w:sz w:val="16"/>
          <w:szCs w:val="16"/>
          <w:lang w:val="bg-BG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случай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C857" w14:textId="77777777" w:rsidR="004B59B6" w:rsidRPr="00B77149" w:rsidRDefault="004B59B6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5408BD1" wp14:editId="3C0778BE">
              <wp:simplePos x="0" y="0"/>
              <wp:positionH relativeFrom="margin">
                <wp:posOffset>255905</wp:posOffset>
              </wp:positionH>
              <wp:positionV relativeFrom="paragraph">
                <wp:posOffset>-680085</wp:posOffset>
              </wp:positionV>
              <wp:extent cx="5086350" cy="627380"/>
              <wp:effectExtent l="0" t="0" r="0" b="127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FE33C" w14:textId="77777777" w:rsidR="004B59B6" w:rsidRPr="00C969F8" w:rsidRDefault="004B59B6" w:rsidP="00E245D5">
                          <w:pPr>
                            <w:snapToGrid w:val="0"/>
                            <w:spacing w:line="360" w:lineRule="auto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  <w:lang w:val="ru-RU"/>
                            </w:rPr>
                          </w:pP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ИНДЕКСИ НА ЦЕНИТЕ НА ПРОИЗВОДИТЕЛ В ПРОМИШЛЕНОСТТА,</w:t>
                          </w:r>
                        </w:p>
                        <w:p w14:paraId="2B0D183D" w14:textId="598F6D2E" w:rsidR="004B59B6" w:rsidRPr="00101DE0" w:rsidRDefault="004B59B6" w:rsidP="00E245D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 xml:space="preserve">НОЕМВРИ </w:t>
                          </w: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3067B2C8" w14:textId="77777777" w:rsidR="004B59B6" w:rsidRPr="00101DE0" w:rsidRDefault="004B59B6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08B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.15pt;margin-top:-53.55pt;width:400.5pt;height:49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" stroked="f">
              <v:textbox>
                <w:txbxContent>
                  <w:p w14:paraId="008FE33C" w14:textId="77777777" w:rsidR="004B59B6" w:rsidRPr="00C969F8" w:rsidRDefault="004B59B6" w:rsidP="00E245D5">
                    <w:pPr>
                      <w:snapToGrid w:val="0"/>
                      <w:spacing w:line="360" w:lineRule="auto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  <w:lang w:val="ru-RU"/>
                      </w:rPr>
                    </w:pP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ИНДЕКСИ НА ЦЕНИТЕ НА ПРОИЗВОДИТЕЛ В ПРОМИШЛЕНОСТТА,</w:t>
                    </w:r>
                  </w:p>
                  <w:p w14:paraId="2B0D183D" w14:textId="598F6D2E" w:rsidR="004B59B6" w:rsidRPr="00101DE0" w:rsidRDefault="004B59B6" w:rsidP="00E245D5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 xml:space="preserve">НОЕМВРИ </w:t>
                    </w: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3067B2C8" w14:textId="77777777" w:rsidR="004B59B6" w:rsidRPr="00101DE0" w:rsidRDefault="004B59B6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7E215537" wp14:editId="5FCF22D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E3A1" w14:textId="77777777" w:rsidR="004B59B6" w:rsidRPr="009E4021" w:rsidRDefault="004B59B6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D0D567F" wp14:editId="23BC0514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7F1B99EB" wp14:editId="60ECBB6A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74DEB2D6" wp14:editId="1E7FBA13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7CEF5" w14:textId="77777777" w:rsidR="004B59B6" w:rsidRDefault="004B59B6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B4B5921" w14:textId="77777777" w:rsidR="004B59B6" w:rsidRPr="00FD731D" w:rsidRDefault="004B59B6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B2D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3C77CEF5" w14:textId="77777777" w:rsidR="004B59B6" w:rsidRDefault="004B59B6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5B4B5921" w14:textId="77777777" w:rsidR="004B59B6" w:rsidRPr="00FD731D" w:rsidRDefault="004B59B6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51227F9" wp14:editId="4494305B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40FF60B" wp14:editId="735EB572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046EB4" w14:textId="77777777" w:rsidR="004B59B6" w:rsidRPr="004F064E" w:rsidRDefault="004B59B6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C1D62" w14:textId="77777777" w:rsidR="004B59B6" w:rsidRPr="004F064E" w:rsidRDefault="004B59B6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88FAD80" wp14:editId="64A56F87">
              <wp:simplePos x="0" y="0"/>
              <wp:positionH relativeFrom="margin">
                <wp:posOffset>-219075</wp:posOffset>
              </wp:positionH>
              <wp:positionV relativeFrom="paragraph">
                <wp:posOffset>-618490</wp:posOffset>
              </wp:positionV>
              <wp:extent cx="5857875" cy="626110"/>
              <wp:effectExtent l="0" t="0" r="9525" b="254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FF842" w14:textId="77777777" w:rsidR="004B59B6" w:rsidRPr="00C969F8" w:rsidRDefault="004B59B6" w:rsidP="00E245D5">
                          <w:pPr>
                            <w:snapToGrid w:val="0"/>
                            <w:spacing w:line="360" w:lineRule="auto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  <w:lang w:val="ru-RU"/>
                            </w:rPr>
                          </w:pP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ИНДЕКСИ НА ЦЕНИТЕ НА ПРОИЗВОДИТЕЛ В ПРОМИШЛЕНОСТТА,</w:t>
                          </w:r>
                        </w:p>
                        <w:p w14:paraId="1BF3CAE1" w14:textId="2809D3DD" w:rsidR="004B59B6" w:rsidRPr="00101DE0" w:rsidRDefault="004B59B6" w:rsidP="00E245D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НОЕМВРИ</w:t>
                          </w: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FAD8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7.25pt;margin-top:-48.7pt;width:461.25pt;height:49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" stroked="f">
              <v:textbox>
                <w:txbxContent>
                  <w:p w14:paraId="494FF842" w14:textId="77777777" w:rsidR="005811E5" w:rsidRPr="00C969F8" w:rsidRDefault="005811E5" w:rsidP="00E245D5">
                    <w:pPr>
                      <w:snapToGrid w:val="0"/>
                      <w:spacing w:line="360" w:lineRule="auto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  <w:lang w:val="ru-RU"/>
                      </w:rPr>
                    </w:pP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ИНДЕКСИ НА ЦЕНИТЕ НА ПРОИЗВОДИТЕЛ В ПРОМИШЛЕНОСТТА,</w:t>
                    </w:r>
                  </w:p>
                  <w:p w14:paraId="1BF3CAE1" w14:textId="2809D3DD" w:rsidR="005811E5" w:rsidRPr="00101DE0" w:rsidRDefault="005811E5" w:rsidP="00E245D5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НОЕМВРИ</w:t>
                    </w: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D2B37B9" wp14:editId="4E0571DF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199919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41C"/>
    <w:rsid w:val="000261AC"/>
    <w:rsid w:val="00034EE3"/>
    <w:rsid w:val="00042FBB"/>
    <w:rsid w:val="00047C94"/>
    <w:rsid w:val="00050665"/>
    <w:rsid w:val="000559B4"/>
    <w:rsid w:val="0006051E"/>
    <w:rsid w:val="000607BC"/>
    <w:rsid w:val="00065FCD"/>
    <w:rsid w:val="000732CD"/>
    <w:rsid w:val="00076D28"/>
    <w:rsid w:val="00077AC6"/>
    <w:rsid w:val="00077C97"/>
    <w:rsid w:val="00080A07"/>
    <w:rsid w:val="0008760C"/>
    <w:rsid w:val="00090DFC"/>
    <w:rsid w:val="000B17C2"/>
    <w:rsid w:val="000B2B10"/>
    <w:rsid w:val="000B728A"/>
    <w:rsid w:val="000C0D56"/>
    <w:rsid w:val="000C600B"/>
    <w:rsid w:val="000D7A99"/>
    <w:rsid w:val="000D7E15"/>
    <w:rsid w:val="000E583A"/>
    <w:rsid w:val="000F0B88"/>
    <w:rsid w:val="00101DE0"/>
    <w:rsid w:val="00103FB0"/>
    <w:rsid w:val="00111EEE"/>
    <w:rsid w:val="00122E02"/>
    <w:rsid w:val="00132B35"/>
    <w:rsid w:val="00145933"/>
    <w:rsid w:val="00166A58"/>
    <w:rsid w:val="00171C36"/>
    <w:rsid w:val="0017301E"/>
    <w:rsid w:val="00177BCC"/>
    <w:rsid w:val="00182054"/>
    <w:rsid w:val="001821B2"/>
    <w:rsid w:val="001901A0"/>
    <w:rsid w:val="001A10CA"/>
    <w:rsid w:val="001A51DA"/>
    <w:rsid w:val="001B03D8"/>
    <w:rsid w:val="001B648E"/>
    <w:rsid w:val="001D0DF2"/>
    <w:rsid w:val="001D648B"/>
    <w:rsid w:val="001E05E1"/>
    <w:rsid w:val="001E37BD"/>
    <w:rsid w:val="001E5BA2"/>
    <w:rsid w:val="001E7AC3"/>
    <w:rsid w:val="001F0F96"/>
    <w:rsid w:val="001F1CFE"/>
    <w:rsid w:val="001F5503"/>
    <w:rsid w:val="00214ACA"/>
    <w:rsid w:val="0021522B"/>
    <w:rsid w:val="0021603B"/>
    <w:rsid w:val="00221FDE"/>
    <w:rsid w:val="00242724"/>
    <w:rsid w:val="00245E49"/>
    <w:rsid w:val="00252BDE"/>
    <w:rsid w:val="002635CA"/>
    <w:rsid w:val="00263C2E"/>
    <w:rsid w:val="00267FB0"/>
    <w:rsid w:val="00275433"/>
    <w:rsid w:val="00275DF0"/>
    <w:rsid w:val="00276B0E"/>
    <w:rsid w:val="002831BA"/>
    <w:rsid w:val="002875C4"/>
    <w:rsid w:val="002914C1"/>
    <w:rsid w:val="002919BA"/>
    <w:rsid w:val="00292234"/>
    <w:rsid w:val="002A2108"/>
    <w:rsid w:val="002C72D4"/>
    <w:rsid w:val="002D26AD"/>
    <w:rsid w:val="002E403E"/>
    <w:rsid w:val="002E78F4"/>
    <w:rsid w:val="002F3F36"/>
    <w:rsid w:val="002F71B9"/>
    <w:rsid w:val="002F7535"/>
    <w:rsid w:val="00301A12"/>
    <w:rsid w:val="00303EAB"/>
    <w:rsid w:val="003077CA"/>
    <w:rsid w:val="00326A06"/>
    <w:rsid w:val="00330D8B"/>
    <w:rsid w:val="00332C88"/>
    <w:rsid w:val="003335D6"/>
    <w:rsid w:val="00336556"/>
    <w:rsid w:val="0035528B"/>
    <w:rsid w:val="003602CC"/>
    <w:rsid w:val="00364357"/>
    <w:rsid w:val="003733C0"/>
    <w:rsid w:val="00380058"/>
    <w:rsid w:val="00382779"/>
    <w:rsid w:val="00384173"/>
    <w:rsid w:val="00385985"/>
    <w:rsid w:val="0038746A"/>
    <w:rsid w:val="00387CB8"/>
    <w:rsid w:val="00396767"/>
    <w:rsid w:val="0039706D"/>
    <w:rsid w:val="003B2503"/>
    <w:rsid w:val="003B42F8"/>
    <w:rsid w:val="003B46BA"/>
    <w:rsid w:val="003C2111"/>
    <w:rsid w:val="003C6979"/>
    <w:rsid w:val="003D5F6D"/>
    <w:rsid w:val="003E25A7"/>
    <w:rsid w:val="003F5513"/>
    <w:rsid w:val="003F7F21"/>
    <w:rsid w:val="00407975"/>
    <w:rsid w:val="00424AFA"/>
    <w:rsid w:val="0042667B"/>
    <w:rsid w:val="0043722F"/>
    <w:rsid w:val="00446CF4"/>
    <w:rsid w:val="00455597"/>
    <w:rsid w:val="0045722B"/>
    <w:rsid w:val="00461BEB"/>
    <w:rsid w:val="004620A1"/>
    <w:rsid w:val="004745D5"/>
    <w:rsid w:val="004760D3"/>
    <w:rsid w:val="00486232"/>
    <w:rsid w:val="004926DC"/>
    <w:rsid w:val="004B59B6"/>
    <w:rsid w:val="004C7D10"/>
    <w:rsid w:val="004D7D28"/>
    <w:rsid w:val="004F064E"/>
    <w:rsid w:val="00500CC8"/>
    <w:rsid w:val="005029F5"/>
    <w:rsid w:val="00511ED8"/>
    <w:rsid w:val="00520539"/>
    <w:rsid w:val="0052767E"/>
    <w:rsid w:val="00535716"/>
    <w:rsid w:val="00552DB4"/>
    <w:rsid w:val="00563F77"/>
    <w:rsid w:val="005656D1"/>
    <w:rsid w:val="00567144"/>
    <w:rsid w:val="00572A30"/>
    <w:rsid w:val="005811E5"/>
    <w:rsid w:val="00582C0F"/>
    <w:rsid w:val="00594253"/>
    <w:rsid w:val="005B4023"/>
    <w:rsid w:val="005B54ED"/>
    <w:rsid w:val="005C47C6"/>
    <w:rsid w:val="005F0BBE"/>
    <w:rsid w:val="006120F5"/>
    <w:rsid w:val="00615B1D"/>
    <w:rsid w:val="006171D8"/>
    <w:rsid w:val="00620E1B"/>
    <w:rsid w:val="006260B4"/>
    <w:rsid w:val="006271C3"/>
    <w:rsid w:val="00644231"/>
    <w:rsid w:val="00644D53"/>
    <w:rsid w:val="00651572"/>
    <w:rsid w:val="0065237F"/>
    <w:rsid w:val="00652E7D"/>
    <w:rsid w:val="00654814"/>
    <w:rsid w:val="00657C6E"/>
    <w:rsid w:val="00661F6D"/>
    <w:rsid w:val="0068401B"/>
    <w:rsid w:val="00684D59"/>
    <w:rsid w:val="00686E46"/>
    <w:rsid w:val="0069194C"/>
    <w:rsid w:val="006A160B"/>
    <w:rsid w:val="006A212D"/>
    <w:rsid w:val="006B1DE6"/>
    <w:rsid w:val="006B2309"/>
    <w:rsid w:val="006B56F9"/>
    <w:rsid w:val="006C0B08"/>
    <w:rsid w:val="006D1B1F"/>
    <w:rsid w:val="006D1BE4"/>
    <w:rsid w:val="006D24DC"/>
    <w:rsid w:val="006E38C3"/>
    <w:rsid w:val="006E6616"/>
    <w:rsid w:val="006F798F"/>
    <w:rsid w:val="00702BED"/>
    <w:rsid w:val="00704141"/>
    <w:rsid w:val="00704539"/>
    <w:rsid w:val="00711C47"/>
    <w:rsid w:val="0071525B"/>
    <w:rsid w:val="00727AA9"/>
    <w:rsid w:val="0073535F"/>
    <w:rsid w:val="007412C3"/>
    <w:rsid w:val="007415FB"/>
    <w:rsid w:val="00746149"/>
    <w:rsid w:val="007567B5"/>
    <w:rsid w:val="00764226"/>
    <w:rsid w:val="00765831"/>
    <w:rsid w:val="007748C8"/>
    <w:rsid w:val="00780D32"/>
    <w:rsid w:val="00781D29"/>
    <w:rsid w:val="007A7C81"/>
    <w:rsid w:val="007B1385"/>
    <w:rsid w:val="007C018E"/>
    <w:rsid w:val="007C61E0"/>
    <w:rsid w:val="007C7A6A"/>
    <w:rsid w:val="007D185D"/>
    <w:rsid w:val="007D2C55"/>
    <w:rsid w:val="007E02DE"/>
    <w:rsid w:val="007F116A"/>
    <w:rsid w:val="007F17B3"/>
    <w:rsid w:val="00813EAE"/>
    <w:rsid w:val="0081456F"/>
    <w:rsid w:val="008153C0"/>
    <w:rsid w:val="00846FF5"/>
    <w:rsid w:val="008471C4"/>
    <w:rsid w:val="008519A5"/>
    <w:rsid w:val="00854F85"/>
    <w:rsid w:val="0085583E"/>
    <w:rsid w:val="00870559"/>
    <w:rsid w:val="008729CD"/>
    <w:rsid w:val="008748F1"/>
    <w:rsid w:val="00877F44"/>
    <w:rsid w:val="00881B14"/>
    <w:rsid w:val="00883238"/>
    <w:rsid w:val="008947E3"/>
    <w:rsid w:val="008B7A9C"/>
    <w:rsid w:val="008C22E9"/>
    <w:rsid w:val="008C40A1"/>
    <w:rsid w:val="008C79E3"/>
    <w:rsid w:val="008D3797"/>
    <w:rsid w:val="008D44DA"/>
    <w:rsid w:val="008E12FA"/>
    <w:rsid w:val="008E3046"/>
    <w:rsid w:val="008E66B4"/>
    <w:rsid w:val="008E71E8"/>
    <w:rsid w:val="008F146E"/>
    <w:rsid w:val="009042D2"/>
    <w:rsid w:val="009164D3"/>
    <w:rsid w:val="00917103"/>
    <w:rsid w:val="00917D44"/>
    <w:rsid w:val="0092422B"/>
    <w:rsid w:val="0094060D"/>
    <w:rsid w:val="00944A1D"/>
    <w:rsid w:val="00944AD4"/>
    <w:rsid w:val="00945D4D"/>
    <w:rsid w:val="00947EBF"/>
    <w:rsid w:val="00961B29"/>
    <w:rsid w:val="00964139"/>
    <w:rsid w:val="0096572A"/>
    <w:rsid w:val="009710D2"/>
    <w:rsid w:val="009765F4"/>
    <w:rsid w:val="00977E8F"/>
    <w:rsid w:val="00995283"/>
    <w:rsid w:val="00995CB0"/>
    <w:rsid w:val="00996568"/>
    <w:rsid w:val="009A62B9"/>
    <w:rsid w:val="009A6576"/>
    <w:rsid w:val="009A684B"/>
    <w:rsid w:val="009B3D8C"/>
    <w:rsid w:val="009C0908"/>
    <w:rsid w:val="009C38FB"/>
    <w:rsid w:val="009D1C1E"/>
    <w:rsid w:val="009D5221"/>
    <w:rsid w:val="009E4021"/>
    <w:rsid w:val="00A00156"/>
    <w:rsid w:val="00A007C2"/>
    <w:rsid w:val="00A07E01"/>
    <w:rsid w:val="00A14E83"/>
    <w:rsid w:val="00A2553A"/>
    <w:rsid w:val="00A26962"/>
    <w:rsid w:val="00A34B3D"/>
    <w:rsid w:val="00A41067"/>
    <w:rsid w:val="00A410B7"/>
    <w:rsid w:val="00A47E6A"/>
    <w:rsid w:val="00A52609"/>
    <w:rsid w:val="00A62BE6"/>
    <w:rsid w:val="00A653A4"/>
    <w:rsid w:val="00A67CA6"/>
    <w:rsid w:val="00A7142A"/>
    <w:rsid w:val="00A840B9"/>
    <w:rsid w:val="00A869E9"/>
    <w:rsid w:val="00A9265C"/>
    <w:rsid w:val="00A96AD9"/>
    <w:rsid w:val="00A97AA8"/>
    <w:rsid w:val="00AC3D78"/>
    <w:rsid w:val="00AE1A5A"/>
    <w:rsid w:val="00AE4196"/>
    <w:rsid w:val="00AE4FF4"/>
    <w:rsid w:val="00AE6E51"/>
    <w:rsid w:val="00AE6F60"/>
    <w:rsid w:val="00AE7948"/>
    <w:rsid w:val="00AF2D94"/>
    <w:rsid w:val="00B021C2"/>
    <w:rsid w:val="00B0333E"/>
    <w:rsid w:val="00B0335B"/>
    <w:rsid w:val="00B052B5"/>
    <w:rsid w:val="00B07D27"/>
    <w:rsid w:val="00B12273"/>
    <w:rsid w:val="00B20B63"/>
    <w:rsid w:val="00B24A9E"/>
    <w:rsid w:val="00B30E6D"/>
    <w:rsid w:val="00B411B6"/>
    <w:rsid w:val="00B55B11"/>
    <w:rsid w:val="00B66E79"/>
    <w:rsid w:val="00B73E74"/>
    <w:rsid w:val="00B743C1"/>
    <w:rsid w:val="00B77149"/>
    <w:rsid w:val="00B852CD"/>
    <w:rsid w:val="00BA10F1"/>
    <w:rsid w:val="00BA77EA"/>
    <w:rsid w:val="00BB20C3"/>
    <w:rsid w:val="00BD72BB"/>
    <w:rsid w:val="00BF75F3"/>
    <w:rsid w:val="00C14799"/>
    <w:rsid w:val="00C1731A"/>
    <w:rsid w:val="00C22C35"/>
    <w:rsid w:val="00C22E8B"/>
    <w:rsid w:val="00C27D80"/>
    <w:rsid w:val="00C304D2"/>
    <w:rsid w:val="00C31F4A"/>
    <w:rsid w:val="00C33C09"/>
    <w:rsid w:val="00C349FE"/>
    <w:rsid w:val="00C415C3"/>
    <w:rsid w:val="00C45B00"/>
    <w:rsid w:val="00C47C24"/>
    <w:rsid w:val="00C552B8"/>
    <w:rsid w:val="00C616FD"/>
    <w:rsid w:val="00C65EDA"/>
    <w:rsid w:val="00C71A59"/>
    <w:rsid w:val="00C819C1"/>
    <w:rsid w:val="00C9035A"/>
    <w:rsid w:val="00C93974"/>
    <w:rsid w:val="00C93F99"/>
    <w:rsid w:val="00C94CAA"/>
    <w:rsid w:val="00C95561"/>
    <w:rsid w:val="00C969F8"/>
    <w:rsid w:val="00C97171"/>
    <w:rsid w:val="00CA0766"/>
    <w:rsid w:val="00CB7E9F"/>
    <w:rsid w:val="00CC79BE"/>
    <w:rsid w:val="00CD1081"/>
    <w:rsid w:val="00CD2DE0"/>
    <w:rsid w:val="00CF47AB"/>
    <w:rsid w:val="00CF63B2"/>
    <w:rsid w:val="00D063D4"/>
    <w:rsid w:val="00D06B2B"/>
    <w:rsid w:val="00D231D5"/>
    <w:rsid w:val="00D24D5D"/>
    <w:rsid w:val="00D45E41"/>
    <w:rsid w:val="00D54BA9"/>
    <w:rsid w:val="00D80173"/>
    <w:rsid w:val="00D82477"/>
    <w:rsid w:val="00D856C3"/>
    <w:rsid w:val="00D8759A"/>
    <w:rsid w:val="00D94B4C"/>
    <w:rsid w:val="00DB623E"/>
    <w:rsid w:val="00DC1D48"/>
    <w:rsid w:val="00DD11CB"/>
    <w:rsid w:val="00DD2F8E"/>
    <w:rsid w:val="00DD4033"/>
    <w:rsid w:val="00DE0234"/>
    <w:rsid w:val="00DE20CA"/>
    <w:rsid w:val="00DE3DCC"/>
    <w:rsid w:val="00DE4F56"/>
    <w:rsid w:val="00DF04A1"/>
    <w:rsid w:val="00DF318E"/>
    <w:rsid w:val="00DF3FDA"/>
    <w:rsid w:val="00E13DB4"/>
    <w:rsid w:val="00E2038B"/>
    <w:rsid w:val="00E2273D"/>
    <w:rsid w:val="00E245D5"/>
    <w:rsid w:val="00E30780"/>
    <w:rsid w:val="00E30E72"/>
    <w:rsid w:val="00E31B52"/>
    <w:rsid w:val="00E4192C"/>
    <w:rsid w:val="00E41A5E"/>
    <w:rsid w:val="00E47424"/>
    <w:rsid w:val="00E50C11"/>
    <w:rsid w:val="00E563C3"/>
    <w:rsid w:val="00E57978"/>
    <w:rsid w:val="00E60970"/>
    <w:rsid w:val="00E64A09"/>
    <w:rsid w:val="00E67823"/>
    <w:rsid w:val="00E71859"/>
    <w:rsid w:val="00E75C45"/>
    <w:rsid w:val="00E77165"/>
    <w:rsid w:val="00E83B25"/>
    <w:rsid w:val="00E903E6"/>
    <w:rsid w:val="00E9479E"/>
    <w:rsid w:val="00EA75FA"/>
    <w:rsid w:val="00EB1308"/>
    <w:rsid w:val="00EB5089"/>
    <w:rsid w:val="00EC100E"/>
    <w:rsid w:val="00EC718F"/>
    <w:rsid w:val="00EE4321"/>
    <w:rsid w:val="00F1330B"/>
    <w:rsid w:val="00F1372C"/>
    <w:rsid w:val="00F23A91"/>
    <w:rsid w:val="00F43D2B"/>
    <w:rsid w:val="00F44F9E"/>
    <w:rsid w:val="00F45000"/>
    <w:rsid w:val="00F71F9D"/>
    <w:rsid w:val="00F807F0"/>
    <w:rsid w:val="00F81DC4"/>
    <w:rsid w:val="00F81EC8"/>
    <w:rsid w:val="00F84A6A"/>
    <w:rsid w:val="00F856E7"/>
    <w:rsid w:val="00F9034B"/>
    <w:rsid w:val="00F917BF"/>
    <w:rsid w:val="00F9583E"/>
    <w:rsid w:val="00F9660C"/>
    <w:rsid w:val="00FA00EF"/>
    <w:rsid w:val="00FA5C07"/>
    <w:rsid w:val="00FA7D0E"/>
    <w:rsid w:val="00FB0ACE"/>
    <w:rsid w:val="00FC7BA9"/>
    <w:rsid w:val="00FD731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42AEBA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77BCC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3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3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3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D2C9-B3E7-471F-8A4B-E0A7D524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Biliana Kamenska</cp:lastModifiedBy>
  <cp:revision>5</cp:revision>
  <dcterms:created xsi:type="dcterms:W3CDTF">2024-12-18T13:07:00Z</dcterms:created>
  <dcterms:modified xsi:type="dcterms:W3CDTF">2024-12-19T08:56:00Z</dcterms:modified>
</cp:coreProperties>
</file>