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Pr="003F700D" w:rsidRDefault="002B2A4C" w:rsidP="00315BBD">
      <w:pPr>
        <w:tabs>
          <w:tab w:val="left" w:pos="3123"/>
        </w:tabs>
        <w:spacing w:line="360" w:lineRule="auto"/>
        <w:jc w:val="center"/>
        <w:rPr>
          <w:rFonts w:ascii="Verdana" w:eastAsia="Calibri" w:hAnsi="Verdana" w:cs="Times New Roman"/>
          <w:b/>
          <w:sz w:val="20"/>
          <w:szCs w:val="20"/>
        </w:rPr>
      </w:pPr>
      <w:bookmarkStart w:id="0" w:name="_GoBack"/>
      <w:bookmarkEnd w:id="0"/>
      <w:r w:rsidRPr="003F700D">
        <w:rPr>
          <w:rFonts w:ascii="Verdana" w:eastAsia="Calibri" w:hAnsi="Verdana" w:cs="Times New Roman"/>
          <w:b/>
          <w:sz w:val="20"/>
          <w:szCs w:val="20"/>
        </w:rPr>
        <w:t xml:space="preserve">ИНФЛАЦИЯ И ИНДЕКСИ НА ПОТРЕБИТЕЛСКИТЕ ЦЕНИ ЗА </w:t>
      </w:r>
    </w:p>
    <w:p w14:paraId="13415505" w14:textId="0F1D4113" w:rsidR="002B2A4C" w:rsidRPr="003F700D" w:rsidRDefault="00C9771F" w:rsidP="00CA73A8">
      <w:pPr>
        <w:tabs>
          <w:tab w:val="left" w:pos="3123"/>
        </w:tabs>
        <w:spacing w:after="160" w:line="360" w:lineRule="auto"/>
        <w:jc w:val="center"/>
        <w:rPr>
          <w:rFonts w:ascii="Verdana" w:eastAsia="Calibri" w:hAnsi="Verdana" w:cs="Times New Roman"/>
          <w:b/>
          <w:sz w:val="20"/>
          <w:szCs w:val="20"/>
        </w:rPr>
      </w:pPr>
      <w:r>
        <w:rPr>
          <w:rFonts w:ascii="Verdana" w:eastAsia="Calibri" w:hAnsi="Verdana" w:cs="Times New Roman"/>
          <w:b/>
          <w:sz w:val="20"/>
          <w:szCs w:val="20"/>
        </w:rPr>
        <w:t>НОЕМВРИ</w:t>
      </w:r>
      <w:r w:rsidR="002B2A4C" w:rsidRPr="003F700D">
        <w:rPr>
          <w:rFonts w:ascii="Verdana" w:eastAsia="Calibri" w:hAnsi="Verdana" w:cs="Times New Roman"/>
          <w:b/>
          <w:sz w:val="20"/>
          <w:szCs w:val="20"/>
        </w:rPr>
        <w:t xml:space="preserve"> 2024 ГОДИНА</w:t>
      </w:r>
    </w:p>
    <w:p w14:paraId="4C674A2D" w14:textId="5C0424CA" w:rsidR="00AF4F13" w:rsidRPr="003F700D"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Месечната инфлация е </w:t>
      </w:r>
      <w:r w:rsidR="001141C3">
        <w:rPr>
          <w:rFonts w:ascii="Verdana" w:eastAsia="Μοντέρνα" w:hAnsi="Verdana" w:cs="Times New Roman"/>
          <w:i/>
          <w:sz w:val="20"/>
          <w:szCs w:val="20"/>
          <w:lang w:eastAsia="bg-BG"/>
        </w:rPr>
        <w:t>0</w:t>
      </w:r>
      <w:r w:rsidRPr="003F700D">
        <w:rPr>
          <w:rFonts w:ascii="Verdana" w:eastAsia="Μοντέρνα" w:hAnsi="Verdana" w:cs="Times New Roman"/>
          <w:i/>
          <w:sz w:val="20"/>
          <w:szCs w:val="20"/>
          <w:lang w:eastAsia="bg-BG"/>
        </w:rPr>
        <w:t>.</w:t>
      </w:r>
      <w:r w:rsidR="001141C3">
        <w:rPr>
          <w:rFonts w:ascii="Verdana" w:eastAsia="Μοντέρνα" w:hAnsi="Verdana" w:cs="Times New Roman"/>
          <w:i/>
          <w:sz w:val="20"/>
          <w:szCs w:val="20"/>
          <w:lang w:eastAsia="bg-BG"/>
        </w:rPr>
        <w:t>6</w:t>
      </w:r>
      <w:r w:rsidRPr="003F700D">
        <w:rPr>
          <w:rFonts w:ascii="Verdana" w:eastAsia="Μοντέρνα" w:hAnsi="Verdana" w:cs="Times New Roman"/>
          <w:i/>
          <w:sz w:val="20"/>
          <w:szCs w:val="20"/>
          <w:lang w:eastAsia="bg-BG"/>
        </w:rPr>
        <w:t xml:space="preserve">%, а годишната инфлация е </w:t>
      </w:r>
      <w:r w:rsidR="001141C3">
        <w:rPr>
          <w:rFonts w:ascii="Verdana" w:eastAsia="Μοντέρνα" w:hAnsi="Verdana" w:cs="Times New Roman"/>
          <w:i/>
          <w:sz w:val="20"/>
          <w:szCs w:val="20"/>
          <w:lang w:eastAsia="bg-BG"/>
        </w:rPr>
        <w:t>2</w:t>
      </w:r>
      <w:r w:rsidRPr="003F700D">
        <w:rPr>
          <w:rFonts w:ascii="Verdana" w:eastAsia="Μοντέρνα" w:hAnsi="Verdana" w:cs="Times New Roman"/>
          <w:i/>
          <w:sz w:val="20"/>
          <w:szCs w:val="20"/>
          <w:lang w:eastAsia="bg-BG"/>
        </w:rPr>
        <w:t>.</w:t>
      </w:r>
      <w:r w:rsidR="001141C3">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1141C3">
        <w:rPr>
          <w:rFonts w:ascii="Verdana" w:eastAsia="Μοντέρνα" w:hAnsi="Verdana" w:cs="Times New Roman"/>
          <w:i/>
          <w:sz w:val="20"/>
          <w:szCs w:val="20"/>
          <w:lang w:eastAsia="bg-BG"/>
        </w:rPr>
        <w:t>ноември</w:t>
      </w:r>
      <w:r w:rsidR="00976A87"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а годишната инфлация е за </w:t>
      </w:r>
      <w:r w:rsidR="001141C3">
        <w:rPr>
          <w:rFonts w:ascii="Verdana" w:eastAsia="Μοντέρνα" w:hAnsi="Verdana" w:cs="Times New Roman"/>
          <w:i/>
          <w:sz w:val="20"/>
          <w:szCs w:val="20"/>
          <w:lang w:eastAsia="bg-BG"/>
        </w:rPr>
        <w:t>ноември</w:t>
      </w:r>
      <w:r w:rsidR="001141C3"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2024 г. спрямо същия месец на предходната година.</w:t>
      </w:r>
    </w:p>
    <w:p w14:paraId="23C0B399" w14:textId="1E35B085" w:rsidR="00976A87" w:rsidRPr="003F700D"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През </w:t>
      </w:r>
      <w:r w:rsidR="001141C3">
        <w:rPr>
          <w:rFonts w:ascii="Verdana" w:eastAsia="Μοντέρνα" w:hAnsi="Verdana" w:cs="Times New Roman"/>
          <w:i/>
          <w:sz w:val="20"/>
          <w:szCs w:val="20"/>
          <w:lang w:eastAsia="bg-BG"/>
        </w:rPr>
        <w:t>ноември</w:t>
      </w:r>
      <w:r w:rsidR="001141C3"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най-голямо е </w:t>
      </w:r>
      <w:r w:rsidR="00C44842">
        <w:rPr>
          <w:rFonts w:ascii="Verdana" w:eastAsia="Μοντέρνα" w:hAnsi="Verdana" w:cs="Times New Roman"/>
          <w:i/>
          <w:sz w:val="20"/>
          <w:szCs w:val="20"/>
          <w:lang w:eastAsia="bg-BG"/>
        </w:rPr>
        <w:t>увелич</w:t>
      </w:r>
      <w:r w:rsidR="00781D39">
        <w:rPr>
          <w:rFonts w:ascii="Verdana" w:eastAsia="Μοντέρνα" w:hAnsi="Verdana" w:cs="Times New Roman"/>
          <w:i/>
          <w:sz w:val="20"/>
          <w:szCs w:val="20"/>
          <w:lang w:eastAsia="bg-BG"/>
        </w:rPr>
        <w:t>ението</w:t>
      </w:r>
      <w:r w:rsidR="00017619"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на цените</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в</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групите:</w:t>
      </w:r>
      <w:r w:rsidR="00251079" w:rsidRPr="00251079">
        <w:rPr>
          <w:rFonts w:ascii="Verdana" w:eastAsia="Μοντέρνα" w:hAnsi="Verdana" w:cs="Times New Roman"/>
          <w:sz w:val="20"/>
          <w:szCs w:val="20"/>
          <w:lang w:eastAsia="bg-BG"/>
        </w:rPr>
        <w:t xml:space="preserve"> </w:t>
      </w:r>
      <w:r w:rsidR="00251079" w:rsidRPr="00251079">
        <w:rPr>
          <w:rFonts w:ascii="Verdana" w:eastAsia="Μοντέρνα" w:hAnsi="Verdana" w:cs="Times New Roman"/>
          <w:i/>
          <w:sz w:val="20"/>
          <w:szCs w:val="20"/>
          <w:lang w:eastAsia="bg-BG"/>
        </w:rPr>
        <w:t>„Хранителни продукти и безалкохолни напитки“</w:t>
      </w:r>
      <w:r w:rsidR="00251079">
        <w:rPr>
          <w:rFonts w:ascii="Verdana" w:eastAsia="Μοντέρνα" w:hAnsi="Verdana" w:cs="Times New Roman"/>
          <w:i/>
          <w:sz w:val="20"/>
          <w:szCs w:val="20"/>
          <w:lang w:eastAsia="bg-BG"/>
        </w:rPr>
        <w:t xml:space="preserve"> </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+1</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4</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 xml:space="preserve">, </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Р</w:t>
      </w:r>
      <w:r w:rsidR="00781D39" w:rsidRPr="003F700D">
        <w:rPr>
          <w:rFonts w:ascii="Verdana" w:eastAsia="Μοντέρνα" w:hAnsi="Verdana" w:cs="Times New Roman"/>
          <w:i/>
          <w:sz w:val="20"/>
          <w:szCs w:val="20"/>
          <w:lang w:eastAsia="bg-BG"/>
        </w:rPr>
        <w:t>азвлечения и култура“ (</w:t>
      </w:r>
      <w:r w:rsidR="00C44842">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1</w:t>
      </w:r>
      <w:r w:rsidR="00781D3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3</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 xml:space="preserve">, </w:t>
      </w:r>
      <w:r w:rsidR="00251079" w:rsidRPr="00251079">
        <w:rPr>
          <w:rFonts w:ascii="Verdana" w:eastAsia="Μοντέρνα" w:hAnsi="Verdana" w:cs="Times New Roman"/>
          <w:i/>
          <w:sz w:val="20"/>
          <w:szCs w:val="20"/>
          <w:lang w:eastAsia="bg-BG"/>
        </w:rPr>
        <w:t xml:space="preserve">„Алкохолни напитки и тютюневи изделия“ </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+0</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7</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 xml:space="preserve"> и</w:t>
      </w:r>
      <w:r w:rsidR="00251079" w:rsidRPr="003F700D">
        <w:rPr>
          <w:rFonts w:ascii="Verdana" w:eastAsia="Μοντέρνα" w:hAnsi="Verdana" w:cs="Times New Roman"/>
          <w:i/>
          <w:sz w:val="20"/>
          <w:szCs w:val="20"/>
          <w:lang w:eastAsia="bg-BG"/>
        </w:rPr>
        <w:t xml:space="preserve"> „Транспорт“ (</w:t>
      </w:r>
      <w:r w:rsidR="00251079">
        <w:rPr>
          <w:rFonts w:ascii="Verdana" w:eastAsia="Μοντέρνα" w:hAnsi="Verdana" w:cs="Times New Roman"/>
          <w:i/>
          <w:sz w:val="20"/>
          <w:szCs w:val="20"/>
          <w:lang w:eastAsia="bg-BG"/>
        </w:rPr>
        <w:t>+0</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7</w:t>
      </w:r>
      <w:r w:rsidR="00251079" w:rsidRPr="003F700D">
        <w:rPr>
          <w:rFonts w:ascii="Verdana" w:eastAsia="Μοντέρνα" w:hAnsi="Verdana" w:cs="Times New Roman"/>
          <w:i/>
          <w:sz w:val="20"/>
          <w:szCs w:val="20"/>
          <w:lang w:eastAsia="bg-BG"/>
        </w:rPr>
        <w:t>%)</w:t>
      </w:r>
      <w:r w:rsidR="00251079">
        <w:rPr>
          <w:rFonts w:ascii="Verdana" w:eastAsia="Μοντέρνα" w:hAnsi="Verdana" w:cs="Times New Roman"/>
          <w:i/>
          <w:sz w:val="20"/>
          <w:szCs w:val="20"/>
          <w:lang w:eastAsia="bg-BG"/>
        </w:rPr>
        <w:t>.</w:t>
      </w:r>
      <w:r w:rsidR="00251079" w:rsidRPr="003F700D">
        <w:rPr>
          <w:rFonts w:ascii="Verdana" w:eastAsia="Μοντέρνα" w:hAnsi="Verdana" w:cs="Times New Roman"/>
          <w:i/>
          <w:sz w:val="20"/>
          <w:szCs w:val="20"/>
          <w:lang w:eastAsia="bg-BG"/>
        </w:rPr>
        <w:t xml:space="preserve"> </w:t>
      </w:r>
      <w:r w:rsidR="005F20AE" w:rsidRPr="003F700D">
        <w:rPr>
          <w:rFonts w:ascii="Verdana" w:eastAsia="Μοντέρνα" w:hAnsi="Verdana" w:cs="Times New Roman"/>
          <w:i/>
          <w:sz w:val="20"/>
          <w:szCs w:val="20"/>
          <w:lang w:eastAsia="bg-BG"/>
        </w:rPr>
        <w:t>Най-голямо намаление</w:t>
      </w:r>
      <w:r w:rsidR="005F20AE">
        <w:rPr>
          <w:rFonts w:ascii="Verdana" w:eastAsia="Μοντέρνα" w:hAnsi="Verdana" w:cs="Times New Roman"/>
          <w:i/>
          <w:sz w:val="20"/>
          <w:szCs w:val="20"/>
          <w:lang w:val="en-US" w:eastAsia="bg-BG"/>
        </w:rPr>
        <w:t xml:space="preserve"> </w:t>
      </w:r>
      <w:r w:rsidR="005F20AE" w:rsidRPr="003F700D">
        <w:rPr>
          <w:rFonts w:ascii="Verdana" w:eastAsia="Μοντέρνα" w:hAnsi="Verdana" w:cs="Times New Roman"/>
          <w:i/>
          <w:sz w:val="20"/>
          <w:szCs w:val="20"/>
          <w:lang w:eastAsia="bg-BG"/>
        </w:rPr>
        <w:t xml:space="preserve">е регистрирано в групите: </w:t>
      </w:r>
      <w:r w:rsidR="00C44842" w:rsidRPr="003F700D">
        <w:rPr>
          <w:rFonts w:ascii="Verdana" w:eastAsia="Μοντέρνα" w:hAnsi="Verdana" w:cs="Times New Roman"/>
          <w:i/>
          <w:sz w:val="20"/>
          <w:szCs w:val="20"/>
          <w:lang w:eastAsia="bg-BG"/>
        </w:rPr>
        <w:t>„Облекло и обувки“</w:t>
      </w:r>
      <w:r w:rsidR="00C44842" w:rsidRPr="003E45DE">
        <w:rPr>
          <w:rFonts w:ascii="Verdana" w:eastAsia="Μοντέρνα" w:hAnsi="Verdana" w:cs="Times New Roman"/>
          <w:i/>
          <w:sz w:val="20"/>
          <w:szCs w:val="20"/>
          <w:lang w:eastAsia="bg-BG"/>
        </w:rPr>
        <w:t xml:space="preserve"> </w:t>
      </w:r>
      <w:r w:rsidR="00C44842">
        <w:rPr>
          <w:rFonts w:ascii="Verdana" w:eastAsia="Μοντέρνα" w:hAnsi="Verdana" w:cs="Times New Roman"/>
          <w:i/>
          <w:sz w:val="20"/>
          <w:szCs w:val="20"/>
          <w:lang w:eastAsia="bg-BG"/>
        </w:rPr>
        <w:t>(</w:t>
      </w:r>
      <w:r w:rsidR="005F20AE">
        <w:rPr>
          <w:rFonts w:ascii="Verdana" w:eastAsia="Μοντέρνα" w:hAnsi="Verdana" w:cs="Times New Roman"/>
          <w:i/>
          <w:sz w:val="20"/>
          <w:szCs w:val="20"/>
          <w:lang w:eastAsia="bg-BG"/>
        </w:rPr>
        <w:t>-1</w:t>
      </w:r>
      <w:r w:rsidR="00C44842" w:rsidRPr="003F700D">
        <w:rPr>
          <w:rFonts w:ascii="Verdana" w:eastAsia="Μοντέρνα" w:hAnsi="Verdana" w:cs="Times New Roman"/>
          <w:i/>
          <w:sz w:val="20"/>
          <w:szCs w:val="20"/>
          <w:lang w:eastAsia="bg-BG"/>
        </w:rPr>
        <w:t>.</w:t>
      </w:r>
      <w:r w:rsidR="005F20AE">
        <w:rPr>
          <w:rFonts w:ascii="Verdana" w:eastAsia="Μοντέρνα" w:hAnsi="Verdana" w:cs="Times New Roman"/>
          <w:i/>
          <w:sz w:val="20"/>
          <w:szCs w:val="20"/>
          <w:lang w:eastAsia="bg-BG"/>
        </w:rPr>
        <w:t>3</w:t>
      </w:r>
      <w:r w:rsidR="00C44842" w:rsidRPr="003F700D">
        <w:rPr>
          <w:rFonts w:ascii="Verdana" w:eastAsia="Μοντέρνα" w:hAnsi="Verdana" w:cs="Times New Roman"/>
          <w:i/>
          <w:sz w:val="20"/>
          <w:szCs w:val="20"/>
          <w:lang w:eastAsia="bg-BG"/>
        </w:rPr>
        <w:t>%)</w:t>
      </w:r>
      <w:r w:rsidR="005F20AE">
        <w:rPr>
          <w:rFonts w:ascii="Verdana" w:eastAsia="Μοντέρνα" w:hAnsi="Verdana" w:cs="Times New Roman"/>
          <w:i/>
          <w:sz w:val="20"/>
          <w:szCs w:val="20"/>
          <w:lang w:eastAsia="bg-BG"/>
        </w:rPr>
        <w:t xml:space="preserve"> и</w:t>
      </w:r>
      <w:r w:rsidR="00C44842">
        <w:rPr>
          <w:rFonts w:ascii="Verdana" w:eastAsia="Μοντέρνα" w:hAnsi="Verdana" w:cs="Times New Roman"/>
          <w:i/>
          <w:sz w:val="20"/>
          <w:szCs w:val="20"/>
          <w:lang w:eastAsia="bg-BG"/>
        </w:rPr>
        <w:t xml:space="preserve"> </w:t>
      </w:r>
      <w:r w:rsidR="005F20AE" w:rsidRPr="005F20AE">
        <w:rPr>
          <w:rFonts w:ascii="Verdana" w:eastAsia="Μοντέρνα" w:hAnsi="Verdana" w:cs="Times New Roman"/>
          <w:i/>
          <w:sz w:val="20"/>
          <w:szCs w:val="20"/>
          <w:lang w:eastAsia="bg-BG"/>
        </w:rPr>
        <w:t xml:space="preserve">„Жилищно обзавеждане, стоки и услуги за домакинството и за обичайното поддържане на дома“ </w:t>
      </w:r>
      <w:r w:rsidR="00C44842" w:rsidRPr="003F700D">
        <w:rPr>
          <w:rFonts w:ascii="Verdana" w:eastAsia="Μοντέρνα" w:hAnsi="Verdana" w:cs="Times New Roman"/>
          <w:i/>
          <w:sz w:val="20"/>
          <w:szCs w:val="20"/>
          <w:lang w:eastAsia="bg-BG"/>
        </w:rPr>
        <w:t>(</w:t>
      </w:r>
      <w:r w:rsidR="005F20AE">
        <w:rPr>
          <w:rFonts w:ascii="Verdana" w:eastAsia="Μοντέρνα" w:hAnsi="Verdana" w:cs="Times New Roman"/>
          <w:i/>
          <w:sz w:val="20"/>
          <w:szCs w:val="20"/>
          <w:lang w:eastAsia="bg-BG"/>
        </w:rPr>
        <w:t>-</w:t>
      </w:r>
      <w:r w:rsidR="00D2406A">
        <w:rPr>
          <w:rFonts w:ascii="Verdana" w:eastAsia="Μοντέρνα" w:hAnsi="Verdana" w:cs="Times New Roman"/>
          <w:i/>
          <w:sz w:val="20"/>
          <w:szCs w:val="20"/>
          <w:lang w:eastAsia="bg-BG"/>
        </w:rPr>
        <w:t>0</w:t>
      </w:r>
      <w:r w:rsidR="00C44842" w:rsidRPr="003F700D">
        <w:rPr>
          <w:rFonts w:ascii="Verdana" w:eastAsia="Μοντέρνα" w:hAnsi="Verdana" w:cs="Times New Roman"/>
          <w:i/>
          <w:sz w:val="20"/>
          <w:szCs w:val="20"/>
          <w:lang w:eastAsia="bg-BG"/>
        </w:rPr>
        <w:t>.</w:t>
      </w:r>
      <w:r w:rsidR="00D2406A">
        <w:rPr>
          <w:rFonts w:ascii="Verdana" w:eastAsia="Μοντέρνα" w:hAnsi="Verdana" w:cs="Times New Roman"/>
          <w:i/>
          <w:sz w:val="20"/>
          <w:szCs w:val="20"/>
          <w:lang w:eastAsia="bg-BG"/>
        </w:rPr>
        <w:t>4</w:t>
      </w:r>
      <w:r w:rsidR="00C44842" w:rsidRPr="003F700D">
        <w:rPr>
          <w:rFonts w:ascii="Verdana" w:eastAsia="Μοντέρνα" w:hAnsi="Verdana" w:cs="Times New Roman"/>
          <w:i/>
          <w:sz w:val="20"/>
          <w:szCs w:val="20"/>
          <w:lang w:eastAsia="bg-BG"/>
        </w:rPr>
        <w:t>%)</w:t>
      </w:r>
      <w:r w:rsidR="00C44842">
        <w:rPr>
          <w:rFonts w:ascii="Verdana" w:eastAsia="Μοντέρνα" w:hAnsi="Verdana" w:cs="Times New Roman"/>
          <w:i/>
          <w:sz w:val="20"/>
          <w:szCs w:val="20"/>
          <w:lang w:eastAsia="bg-BG"/>
        </w:rPr>
        <w:t>.</w:t>
      </w:r>
    </w:p>
    <w:p w14:paraId="50044385" w14:textId="77777777" w:rsidR="00AF4F13" w:rsidRPr="003F700D"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потребителските цени (ИПЦ)</w:t>
      </w:r>
    </w:p>
    <w:p w14:paraId="4E9F2DB1" w14:textId="657C2BAF" w:rsidR="00AF4F13" w:rsidRPr="003F700D"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DC59CA">
        <w:rPr>
          <w:rFonts w:ascii="Verdana" w:eastAsia="Μοντέρνα" w:hAnsi="Verdana" w:cs="Times New Roman"/>
          <w:sz w:val="20"/>
          <w:szCs w:val="20"/>
          <w:lang w:eastAsia="bg-BG"/>
        </w:rPr>
        <w:t>ноември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Pr="003F700D">
        <w:rPr>
          <w:rFonts w:ascii="Verdana" w:eastAsia="Μοντέρνα" w:hAnsi="Verdana" w:cs="Times New Roman"/>
          <w:sz w:val="20"/>
          <w:szCs w:val="20"/>
          <w:lang w:eastAsia="bg-BG"/>
        </w:rPr>
        <w:t xml:space="preserve"> е </w:t>
      </w:r>
      <w:r w:rsidR="00E66CFA">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E66CFA">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E66CFA">
        <w:rPr>
          <w:rFonts w:ascii="Verdana" w:eastAsia="Μοντέρνα" w:hAnsi="Verdana" w:cs="Times New Roman"/>
          <w:sz w:val="20"/>
          <w:szCs w:val="20"/>
          <w:lang w:eastAsia="bg-BG"/>
        </w:rPr>
        <w:t>ноември</w:t>
      </w:r>
      <w:r w:rsidR="00E66CFA"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E66CFA">
        <w:rPr>
          <w:rFonts w:ascii="Verdana" w:eastAsia="Μοντέρνα" w:hAnsi="Verdana" w:cs="Times New Roman"/>
          <w:sz w:val="20"/>
          <w:szCs w:val="20"/>
          <w:lang w:eastAsia="bg-BG"/>
        </w:rPr>
        <w:t>ноември</w:t>
      </w:r>
      <w:r w:rsidR="00E66CFA"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E66CFA">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E66CFA">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4D4E21" w:rsidRPr="003F700D">
        <w:rPr>
          <w:rStyle w:val="FootnoteReference"/>
          <w:rFonts w:ascii="Verdana" w:eastAsia="Μοντέρνα" w:hAnsi="Verdana" w:cs="Times New Roman"/>
          <w:sz w:val="20"/>
          <w:szCs w:val="20"/>
          <w:lang w:eastAsia="bg-BG"/>
        </w:rPr>
        <w:footnoteReference w:id="1"/>
      </w:r>
      <w:r w:rsidRPr="003F700D">
        <w:rPr>
          <w:rFonts w:ascii="Verdana" w:eastAsia="Μοντέρνα" w:hAnsi="Verdana" w:cs="Times New Roman"/>
          <w:sz w:val="20"/>
          <w:szCs w:val="20"/>
          <w:lang w:eastAsia="bg-BG"/>
        </w:rPr>
        <w:t>.</w:t>
      </w:r>
    </w:p>
    <w:p w14:paraId="00BADABD" w14:textId="27E38483" w:rsidR="00990C60" w:rsidRPr="00990C60" w:rsidRDefault="00AF4F13" w:rsidP="00990C60">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D52135">
        <w:rPr>
          <w:rFonts w:ascii="Verdana" w:eastAsia="Μοντέρνα" w:hAnsi="Verdana" w:cs="Times New Roman"/>
          <w:sz w:val="20"/>
          <w:szCs w:val="20"/>
          <w:lang w:eastAsia="bg-BG"/>
        </w:rPr>
        <w:t>ноември</w:t>
      </w:r>
      <w:r w:rsidR="00D5213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1B77B4">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D52135">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 xml:space="preserve">%, а средногодишната инфлация за периода </w:t>
      </w:r>
      <w:r w:rsidR="00D52135" w:rsidRPr="003F700D">
        <w:rPr>
          <w:rFonts w:ascii="Verdana" w:eastAsia="Μοντέρνα" w:hAnsi="Verdana" w:cs="Times New Roman"/>
          <w:sz w:val="20"/>
          <w:szCs w:val="20"/>
          <w:lang w:eastAsia="bg-BG"/>
        </w:rPr>
        <w:t xml:space="preserve">декември </w:t>
      </w:r>
      <w:r w:rsidRPr="003F700D">
        <w:rPr>
          <w:rFonts w:ascii="Verdana" w:eastAsia="Μοντέρνα" w:hAnsi="Verdana" w:cs="Times New Roman"/>
          <w:sz w:val="20"/>
          <w:szCs w:val="20"/>
          <w:lang w:eastAsia="bg-BG"/>
        </w:rPr>
        <w:t xml:space="preserve">2023 - </w:t>
      </w:r>
      <w:r w:rsidR="00D52135">
        <w:rPr>
          <w:rFonts w:ascii="Verdana" w:eastAsia="Μοντέρνα" w:hAnsi="Verdana" w:cs="Times New Roman"/>
          <w:sz w:val="20"/>
          <w:szCs w:val="20"/>
          <w:lang w:eastAsia="bg-BG"/>
        </w:rPr>
        <w:t>ноември</w:t>
      </w:r>
      <w:r w:rsidR="00D5213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периода </w:t>
      </w:r>
      <w:r w:rsidR="00D52135" w:rsidRPr="003F700D">
        <w:rPr>
          <w:rFonts w:ascii="Verdana" w:eastAsia="Μοντέρνα" w:hAnsi="Verdana" w:cs="Times New Roman"/>
          <w:sz w:val="20"/>
          <w:szCs w:val="20"/>
          <w:lang w:eastAsia="bg-BG"/>
        </w:rPr>
        <w:t xml:space="preserve">декември </w:t>
      </w:r>
      <w:r w:rsidRPr="003F700D">
        <w:rPr>
          <w:rFonts w:ascii="Verdana" w:eastAsia="Μοντέρνα" w:hAnsi="Verdana" w:cs="Times New Roman"/>
          <w:sz w:val="20"/>
          <w:szCs w:val="20"/>
          <w:lang w:eastAsia="bg-BG"/>
        </w:rPr>
        <w:t xml:space="preserve">2022 - </w:t>
      </w:r>
      <w:r w:rsidR="00D52135">
        <w:rPr>
          <w:rFonts w:ascii="Verdana" w:eastAsia="Μοντέρνα" w:hAnsi="Verdana" w:cs="Times New Roman"/>
          <w:sz w:val="20"/>
          <w:szCs w:val="20"/>
          <w:lang w:eastAsia="bg-BG"/>
        </w:rPr>
        <w:t>ноември</w:t>
      </w:r>
      <w:r w:rsidR="00D5213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1B77B4">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946723">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p>
    <w:p w14:paraId="01ABAA17" w14:textId="1B0809DB"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5A5DF2CC" w14:textId="77777777" w:rsidR="002E77FD" w:rsidRPr="005E0E66"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6359E6F5"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7344E23D"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668BBC39"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1D45320F"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6296BF56"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2CE80C0A"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705A81BA" w14:textId="77777777" w:rsidR="002E77FD" w:rsidRDefault="002E77FD"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22F8CA12" w14:textId="3DE409D8" w:rsidR="00AF4F13" w:rsidRPr="003F700D" w:rsidRDefault="00AF4F13" w:rsidP="00CA73A8">
      <w:pPr>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Фиг. 1. Инфлация, измерена чрез ИПЦ, по месеци</w:t>
      </w:r>
    </w:p>
    <w:p w14:paraId="14A90BF1" w14:textId="799674CF" w:rsidR="00977464" w:rsidRPr="003F700D" w:rsidRDefault="002E77FD"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1C0C232F" wp14:editId="165D7FAE">
            <wp:extent cx="5229225" cy="3009900"/>
            <wp:effectExtent l="0" t="0" r="317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BE0E3" w14:textId="77777777" w:rsidR="00AF4F13" w:rsidRPr="003F700D"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782F311D" w14:textId="47D44D88" w:rsidR="00AF4F13" w:rsidRPr="003F700D"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B16F04">
        <w:rPr>
          <w:rFonts w:ascii="Verdana" w:eastAsia="Μοντέρνα" w:hAnsi="Verdana" w:cs="Times New Roman"/>
          <w:sz w:val="20"/>
          <w:szCs w:val="20"/>
          <w:lang w:eastAsia="bg-BG"/>
        </w:rPr>
        <w:t>ноември</w:t>
      </w:r>
      <w:r w:rsidR="00A14C2A"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цените на стоките и услугите са </w:t>
      </w:r>
      <w:r w:rsidR="00A14C2A">
        <w:rPr>
          <w:rFonts w:ascii="Verdana" w:eastAsia="Μοντέρνα" w:hAnsi="Verdana" w:cs="Times New Roman"/>
          <w:sz w:val="20"/>
          <w:szCs w:val="20"/>
          <w:lang w:eastAsia="bg-BG"/>
        </w:rPr>
        <w:t>се увеличили</w:t>
      </w:r>
      <w:r w:rsidR="00C10D97"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047852FE" w14:textId="0357050D" w:rsidR="0046738A" w:rsidRPr="00A72745" w:rsidRDefault="00A72745" w:rsidP="00A72745">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w:t>
      </w:r>
      <w:r>
        <w:rPr>
          <w:rFonts w:ascii="Verdana" w:eastAsia="Μοντέρνα" w:hAnsi="Verdana" w:cs="Times New Roman"/>
          <w:sz w:val="20"/>
          <w:szCs w:val="20"/>
          <w:lang w:eastAsia="bg-BG"/>
        </w:rPr>
        <w:t>олни напитки“ - увеличение с 1.4%</w:t>
      </w:r>
      <w:r w:rsidRPr="003F700D">
        <w:rPr>
          <w:rFonts w:ascii="Verdana" w:eastAsia="Μοντέρνα" w:hAnsi="Verdana" w:cs="Times New Roman"/>
          <w:sz w:val="20"/>
          <w:szCs w:val="20"/>
          <w:lang w:eastAsia="bg-BG"/>
        </w:rPr>
        <w:t>;</w:t>
      </w:r>
    </w:p>
    <w:p w14:paraId="57FB0848" w14:textId="674BA685" w:rsidR="009C21A2" w:rsidRPr="003F700D" w:rsidRDefault="009C21A2" w:rsidP="009C21A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w:t>
      </w:r>
      <w:r w:rsidR="00A14C2A">
        <w:rPr>
          <w:rFonts w:ascii="Verdana" w:eastAsia="Μοντέρνα" w:hAnsi="Verdana" w:cs="Times New Roman"/>
          <w:sz w:val="20"/>
          <w:szCs w:val="20"/>
          <w:lang w:eastAsia="bg-BG"/>
        </w:rPr>
        <w:t>увеличение</w:t>
      </w:r>
      <w:r w:rsidR="00A14C2A"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с </w:t>
      </w:r>
      <w:r w:rsidR="00A72745">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A72745">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16341A45" w14:textId="6A2FCC77" w:rsidR="00A72745" w:rsidRDefault="00A72745" w:rsidP="00A72745">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тютюневи изделия“ - увеличение с 0.</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p>
    <w:p w14:paraId="08B02783" w14:textId="34EDCA0D" w:rsidR="00A72745" w:rsidRPr="003F700D" w:rsidRDefault="00A72745" w:rsidP="00A72745">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„Транспорт“ - увеличение с 0.</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p>
    <w:p w14:paraId="53A27259" w14:textId="7F530D95" w:rsidR="003B7461" w:rsidRPr="003F700D" w:rsidRDefault="003B7461" w:rsidP="003B746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„Рест</w:t>
      </w:r>
      <w:r>
        <w:rPr>
          <w:rFonts w:ascii="Verdana" w:eastAsia="Μοντέρνα" w:hAnsi="Verdana" w:cs="Times New Roman"/>
          <w:sz w:val="20"/>
          <w:szCs w:val="20"/>
          <w:lang w:eastAsia="bg-BG"/>
        </w:rPr>
        <w:t>оранти и хотели“ - увеличение с 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25B0FD1D" w14:textId="3DE15FE3" w:rsidR="003B7461" w:rsidRPr="003F700D" w:rsidRDefault="003B7461" w:rsidP="003B746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59894E2C" w14:textId="457F5070" w:rsidR="007322BC" w:rsidRDefault="007322BC" w:rsidP="007322BC">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„Образование“ - увеличение 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51E309F9" w14:textId="1190C3B7" w:rsidR="005B5C46" w:rsidRPr="003F700D" w:rsidRDefault="005B5C46" w:rsidP="005B5C46">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 - увеличение с 0.</w:t>
      </w:r>
      <w:r>
        <w:rPr>
          <w:rFonts w:ascii="Verdana" w:eastAsia="Μοντέρνα" w:hAnsi="Verdana" w:cs="Times New Roman"/>
          <w:sz w:val="20"/>
          <w:szCs w:val="20"/>
          <w:lang w:eastAsia="bg-BG"/>
        </w:rPr>
        <w:t>2%.</w:t>
      </w:r>
    </w:p>
    <w:p w14:paraId="70613B62" w14:textId="1DE6E70D" w:rsidR="00A72745" w:rsidRPr="005B5C46" w:rsidRDefault="005B5C46" w:rsidP="00A96362">
      <w:pPr>
        <w:tabs>
          <w:tab w:val="left" w:pos="284"/>
          <w:tab w:val="left" w:pos="851"/>
        </w:tabs>
        <w:spacing w:line="360" w:lineRule="auto"/>
        <w:ind w:firstLine="567"/>
        <w:jc w:val="both"/>
        <w:rPr>
          <w:rFonts w:ascii="Verdana" w:eastAsia="Μοντέρνα" w:hAnsi="Verdana" w:cs="Times New Roman"/>
          <w:sz w:val="20"/>
          <w:szCs w:val="20"/>
          <w:lang w:eastAsia="bg-BG"/>
        </w:rPr>
      </w:pPr>
      <w:r w:rsidRPr="005B5C46">
        <w:rPr>
          <w:rFonts w:ascii="Verdana" w:eastAsia="Μοντέρνα" w:hAnsi="Verdana" w:cs="Times New Roman"/>
          <w:sz w:val="20"/>
          <w:szCs w:val="20"/>
          <w:lang w:eastAsia="bg-BG"/>
        </w:rPr>
        <w:t>По-ниски са цените на стоките и услугите в следн</w:t>
      </w:r>
      <w:r w:rsidR="00C94FC0">
        <w:rPr>
          <w:rFonts w:ascii="Verdana" w:eastAsia="Μοντέρνα" w:hAnsi="Verdana" w:cs="Times New Roman"/>
          <w:sz w:val="20"/>
          <w:szCs w:val="20"/>
          <w:lang w:eastAsia="bg-BG"/>
        </w:rPr>
        <w:t>ите</w:t>
      </w:r>
      <w:r w:rsidRPr="005B5C46">
        <w:rPr>
          <w:rFonts w:ascii="Verdana" w:eastAsia="Μοντέρνα" w:hAnsi="Verdana" w:cs="Times New Roman"/>
          <w:sz w:val="20"/>
          <w:szCs w:val="20"/>
          <w:lang w:eastAsia="bg-BG"/>
        </w:rPr>
        <w:t xml:space="preserve"> потребителск</w:t>
      </w:r>
      <w:r w:rsidR="00C94FC0">
        <w:rPr>
          <w:rFonts w:ascii="Verdana" w:eastAsia="Μοντέρνα" w:hAnsi="Verdana" w:cs="Times New Roman"/>
          <w:sz w:val="20"/>
          <w:szCs w:val="20"/>
          <w:lang w:eastAsia="bg-BG"/>
        </w:rPr>
        <w:t>и</w:t>
      </w:r>
      <w:r w:rsidRPr="005B5C46">
        <w:rPr>
          <w:rFonts w:ascii="Verdana" w:eastAsia="Μοντέρνα" w:hAnsi="Verdana" w:cs="Times New Roman"/>
          <w:sz w:val="20"/>
          <w:szCs w:val="20"/>
          <w:lang w:eastAsia="bg-BG"/>
        </w:rPr>
        <w:t xml:space="preserve"> груп</w:t>
      </w:r>
      <w:r w:rsidR="00C94FC0">
        <w:rPr>
          <w:rFonts w:ascii="Verdana" w:eastAsia="Μοντέρνα" w:hAnsi="Verdana" w:cs="Times New Roman"/>
          <w:sz w:val="20"/>
          <w:szCs w:val="20"/>
          <w:lang w:eastAsia="bg-BG"/>
        </w:rPr>
        <w:t>и</w:t>
      </w:r>
      <w:r w:rsidRPr="005B5C46">
        <w:rPr>
          <w:rFonts w:ascii="Verdana" w:eastAsia="Μοντέρνα" w:hAnsi="Verdana" w:cs="Times New Roman"/>
          <w:sz w:val="20"/>
          <w:szCs w:val="20"/>
          <w:lang w:eastAsia="bg-BG"/>
        </w:rPr>
        <w:t>:</w:t>
      </w:r>
    </w:p>
    <w:p w14:paraId="07004941" w14:textId="44C4CA65" w:rsidR="00A14C2A" w:rsidRPr="0090629A" w:rsidRDefault="00A14C2A" w:rsidP="00A14C2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 </w:t>
      </w:r>
      <w:r w:rsidR="004C3E3B">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sidR="004C3E3B">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4C3E3B">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0F30EFCC" w14:textId="76FFCFAE" w:rsidR="00967265" w:rsidRDefault="00967265" w:rsidP="00A14C2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74AB9130" w14:textId="661FB5B9" w:rsidR="00A14C2A" w:rsidRDefault="00A14C2A" w:rsidP="00A14C2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14C2A">
        <w:rPr>
          <w:rFonts w:ascii="Verdana" w:eastAsia="Μοντέρνα" w:hAnsi="Verdana" w:cs="Times New Roman"/>
          <w:sz w:val="20"/>
          <w:szCs w:val="20"/>
          <w:lang w:eastAsia="bg-BG"/>
        </w:rPr>
        <w:t>„Жилища, вода, електроенергия, газ и други горива“</w:t>
      </w:r>
      <w:r w:rsidRPr="003F700D">
        <w:rPr>
          <w:rFonts w:ascii="Verdana" w:eastAsia="Μοντέρνα" w:hAnsi="Verdana" w:cs="Times New Roman"/>
          <w:sz w:val="20"/>
          <w:szCs w:val="20"/>
          <w:lang w:eastAsia="bg-BG"/>
        </w:rPr>
        <w:t xml:space="preserve"> - </w:t>
      </w:r>
      <w:r w:rsidR="00F96A41">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sidR="00F96A41">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F96A41">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6E736D19" w14:textId="3CCC643A" w:rsidR="009C436F" w:rsidRDefault="009C436F" w:rsidP="009C436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„Разнообразни стоки и услуги“ - </w:t>
      </w:r>
      <w:r w:rsidR="00F96A41">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0.</w:t>
      </w:r>
      <w:r w:rsidR="00F96A41">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F96A41">
        <w:rPr>
          <w:rFonts w:ascii="Verdana" w:eastAsia="Μοντέρνα" w:hAnsi="Verdana" w:cs="Times New Roman"/>
          <w:sz w:val="20"/>
          <w:szCs w:val="20"/>
          <w:lang w:eastAsia="bg-BG"/>
        </w:rPr>
        <w:t>.</w:t>
      </w:r>
    </w:p>
    <w:p w14:paraId="0FD37F74" w14:textId="77777777" w:rsidR="00372E89" w:rsidRDefault="00372E89" w:rsidP="00315BBD">
      <w:pPr>
        <w:tabs>
          <w:tab w:val="left" w:pos="3123"/>
        </w:tabs>
        <w:spacing w:before="240" w:line="360" w:lineRule="auto"/>
        <w:ind w:firstLine="567"/>
        <w:jc w:val="both"/>
        <w:rPr>
          <w:rFonts w:ascii="Verdana" w:eastAsia="Μοντέρνα" w:hAnsi="Verdana" w:cs="Times New Roman"/>
          <w:sz w:val="20"/>
          <w:szCs w:val="20"/>
          <w:lang w:eastAsia="bg-BG"/>
        </w:rPr>
      </w:pPr>
    </w:p>
    <w:p w14:paraId="6F64D4AC" w14:textId="2416D4B2" w:rsidR="00BC4C62" w:rsidRDefault="00BC4C62" w:rsidP="000B426A">
      <w:pPr>
        <w:tabs>
          <w:tab w:val="left" w:pos="3123"/>
        </w:tabs>
        <w:spacing w:line="360" w:lineRule="auto"/>
        <w:ind w:firstLine="567"/>
        <w:jc w:val="both"/>
        <w:rPr>
          <w:rFonts w:ascii="Verdana" w:eastAsia="Μοντέρνα" w:hAnsi="Verdana" w:cs="Times New Roman"/>
          <w:sz w:val="20"/>
          <w:szCs w:val="20"/>
          <w:lang w:eastAsia="bg-BG"/>
        </w:rPr>
      </w:pPr>
      <w:r w:rsidRPr="006F3A0E">
        <w:rPr>
          <w:rFonts w:ascii="Verdana" w:eastAsia="Μοντέρνα" w:hAnsi="Verdana" w:cs="Times New Roman"/>
          <w:sz w:val="20"/>
          <w:szCs w:val="20"/>
          <w:lang w:eastAsia="bg-BG"/>
        </w:rPr>
        <w:lastRenderedPageBreak/>
        <w:t xml:space="preserve">През месец ноември 2024 г. са се увеличили цените на следните хранителни </w:t>
      </w:r>
      <w:r w:rsidRPr="00253C16">
        <w:rPr>
          <w:rFonts w:ascii="Verdana" w:eastAsia="Μοντέρνα" w:hAnsi="Verdana" w:cs="Times New Roman"/>
          <w:sz w:val="20"/>
          <w:szCs w:val="20"/>
          <w:lang w:eastAsia="bg-BG"/>
        </w:rPr>
        <w:t xml:space="preserve">продукти: </w:t>
      </w:r>
      <w:r>
        <w:rPr>
          <w:rFonts w:ascii="Verdana" w:eastAsia="Μοντέρνα" w:hAnsi="Verdana" w:cs="Times New Roman"/>
          <w:sz w:val="20"/>
          <w:szCs w:val="20"/>
          <w:lang w:eastAsia="bg-BG"/>
        </w:rPr>
        <w:t>домати</w:t>
      </w:r>
      <w:r w:rsidRPr="00456705">
        <w:rPr>
          <w:rFonts w:ascii="Verdana" w:eastAsia="Μοντέρνα" w:hAnsi="Verdana" w:cs="Times New Roman"/>
          <w:sz w:val="20"/>
          <w:szCs w:val="20"/>
          <w:lang w:eastAsia="bg-BG"/>
        </w:rPr>
        <w:t xml:space="preserve"> - </w:t>
      </w:r>
      <w:r w:rsidRPr="00586CF0">
        <w:rPr>
          <w:rFonts w:ascii="Verdana" w:eastAsia="Μοντέρνα" w:hAnsi="Verdana" w:cs="Times New Roman"/>
          <w:sz w:val="20"/>
          <w:szCs w:val="20"/>
          <w:lang w:eastAsia="bg-BG"/>
        </w:rPr>
        <w:t>с 21.2%,</w:t>
      </w:r>
      <w:r w:rsidRPr="00052510">
        <w:rPr>
          <w:rFonts w:ascii="Verdana" w:eastAsia="Μοντέρνα" w:hAnsi="Verdana" w:cs="Times New Roman"/>
          <w:sz w:val="20"/>
          <w:szCs w:val="20"/>
          <w:lang w:eastAsia="bg-BG"/>
        </w:rPr>
        <w:t xml:space="preserve"> </w:t>
      </w:r>
      <w:r w:rsidR="007F1331">
        <w:rPr>
          <w:rFonts w:ascii="Verdana" w:eastAsia="Μοντέρνα" w:hAnsi="Verdana" w:cs="Times New Roman"/>
          <w:sz w:val="20"/>
          <w:szCs w:val="20"/>
          <w:lang w:eastAsia="bg-BG"/>
        </w:rPr>
        <w:t>пипер</w:t>
      </w:r>
      <w:r w:rsidR="007F1331" w:rsidRPr="00586CF0">
        <w:rPr>
          <w:rFonts w:ascii="Verdana" w:eastAsia="Μοντέρνα" w:hAnsi="Verdana" w:cs="Times New Roman"/>
          <w:sz w:val="20"/>
          <w:szCs w:val="20"/>
          <w:lang w:eastAsia="bg-BG"/>
        </w:rPr>
        <w:t xml:space="preserve"> - с 1</w:t>
      </w:r>
      <w:r w:rsidR="007F1331">
        <w:rPr>
          <w:rFonts w:ascii="Verdana" w:eastAsia="Μοντέρνα" w:hAnsi="Verdana" w:cs="Times New Roman"/>
          <w:sz w:val="20"/>
          <w:szCs w:val="20"/>
          <w:lang w:eastAsia="bg-BG"/>
        </w:rPr>
        <w:t>4</w:t>
      </w:r>
      <w:r w:rsidR="007F1331" w:rsidRPr="00586CF0">
        <w:rPr>
          <w:rFonts w:ascii="Verdana" w:eastAsia="Μοντέρνα" w:hAnsi="Verdana" w:cs="Times New Roman"/>
          <w:sz w:val="20"/>
          <w:szCs w:val="20"/>
          <w:lang w:eastAsia="bg-BG"/>
        </w:rPr>
        <w:t>.</w:t>
      </w:r>
      <w:r w:rsidR="007F1331">
        <w:rPr>
          <w:rFonts w:ascii="Verdana" w:eastAsia="Μοντέρνα" w:hAnsi="Verdana" w:cs="Times New Roman"/>
          <w:sz w:val="20"/>
          <w:szCs w:val="20"/>
          <w:lang w:eastAsia="bg-BG"/>
        </w:rPr>
        <w:t>1</w:t>
      </w:r>
      <w:r w:rsidR="007F1331" w:rsidRPr="00586CF0">
        <w:rPr>
          <w:rFonts w:ascii="Verdana" w:eastAsia="Μοντέρνα" w:hAnsi="Verdana" w:cs="Times New Roman"/>
          <w:sz w:val="20"/>
          <w:szCs w:val="20"/>
          <w:lang w:eastAsia="bg-BG"/>
        </w:rPr>
        <w:t>%,</w:t>
      </w:r>
      <w:r w:rsidR="007F1331">
        <w:rPr>
          <w:rFonts w:ascii="Verdana" w:eastAsia="Μοντέρνα" w:hAnsi="Verdana" w:cs="Times New Roman"/>
          <w:sz w:val="20"/>
          <w:szCs w:val="20"/>
          <w:lang w:eastAsia="bg-BG"/>
        </w:rPr>
        <w:t xml:space="preserve"> </w:t>
      </w:r>
      <w:r w:rsidRPr="00586CF0">
        <w:rPr>
          <w:rFonts w:ascii="Verdana" w:eastAsia="Μοντέρνα" w:hAnsi="Verdana" w:cs="Times New Roman"/>
          <w:sz w:val="20"/>
          <w:szCs w:val="20"/>
          <w:lang w:eastAsia="bg-BG"/>
        </w:rPr>
        <w:t>краставици - с 12.4%,</w:t>
      </w:r>
      <w:r w:rsidRPr="00052510">
        <w:rPr>
          <w:rFonts w:ascii="Verdana" w:eastAsia="Μοντέρνα" w:hAnsi="Verdana" w:cs="Times New Roman"/>
          <w:sz w:val="20"/>
          <w:szCs w:val="20"/>
          <w:lang w:eastAsia="bg-BG"/>
        </w:rPr>
        <w:t xml:space="preserve"> </w:t>
      </w:r>
      <w:r w:rsidRPr="00456705">
        <w:rPr>
          <w:rFonts w:ascii="Verdana" w:eastAsia="Μοντέρνα" w:hAnsi="Verdana" w:cs="Times New Roman"/>
          <w:sz w:val="20"/>
          <w:szCs w:val="20"/>
          <w:lang w:eastAsia="bg-BG"/>
        </w:rPr>
        <w:t xml:space="preserve">олио - с 5.5%, </w:t>
      </w:r>
      <w:r w:rsidRPr="00954DD2">
        <w:rPr>
          <w:rFonts w:ascii="Verdana" w:eastAsia="Μοντέρνα" w:hAnsi="Verdana" w:cs="Times New Roman"/>
          <w:sz w:val="20"/>
          <w:szCs w:val="20"/>
          <w:lang w:eastAsia="bg-BG"/>
        </w:rPr>
        <w:t>картофи - с 4.3%,</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яйца - с 3.4%,</w:t>
      </w:r>
      <w:r w:rsidRPr="00052510">
        <w:rPr>
          <w:rFonts w:ascii="Verdana" w:eastAsia="Μοντέρνα" w:hAnsi="Verdana" w:cs="Times New Roman"/>
          <w:sz w:val="20"/>
          <w:szCs w:val="20"/>
          <w:lang w:eastAsia="bg-BG"/>
        </w:rPr>
        <w:t xml:space="preserve"> </w:t>
      </w:r>
      <w:r w:rsidRPr="00954DD2">
        <w:rPr>
          <w:rFonts w:ascii="Verdana" w:eastAsia="Μοντέρνα" w:hAnsi="Verdana" w:cs="Times New Roman"/>
          <w:sz w:val="20"/>
          <w:szCs w:val="20"/>
          <w:lang w:eastAsia="bg-BG"/>
        </w:rPr>
        <w:t xml:space="preserve">сладолед - с 3.0%, </w:t>
      </w:r>
      <w:r w:rsidRPr="00253C16">
        <w:rPr>
          <w:rFonts w:ascii="Verdana" w:eastAsia="Μοντέρνα" w:hAnsi="Verdana" w:cs="Times New Roman"/>
          <w:sz w:val="20"/>
          <w:szCs w:val="20"/>
          <w:lang w:eastAsia="bg-BG"/>
        </w:rPr>
        <w:t>пълномаслено прясно мляко - с 2.9%,</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млечни масла - с 2.6</w:t>
      </w:r>
      <w:r w:rsidRPr="00456705">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макаронени изделия - с 2.2%, прясна и охладена риба</w:t>
      </w:r>
      <w:r w:rsidR="00297C89">
        <w:rPr>
          <w:rFonts w:ascii="Verdana" w:eastAsia="Μοντέρνα" w:hAnsi="Verdana" w:cs="Times New Roman"/>
          <w:sz w:val="20"/>
          <w:szCs w:val="20"/>
          <w:lang w:eastAsia="bg-BG"/>
        </w:rPr>
        <w:t> </w:t>
      </w:r>
      <w:r w:rsidRPr="00253C16">
        <w:rPr>
          <w:rFonts w:ascii="Verdana" w:eastAsia="Μοντέρνα" w:hAnsi="Verdana" w:cs="Times New Roman"/>
          <w:sz w:val="20"/>
          <w:szCs w:val="20"/>
          <w:lang w:eastAsia="bg-BG"/>
        </w:rPr>
        <w:t>- с 2.1%,</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свинско месо - с 1.7%</w:t>
      </w:r>
      <w:r>
        <w:rPr>
          <w:rFonts w:ascii="Verdana" w:eastAsia="Μοντέρνα" w:hAnsi="Verdana" w:cs="Times New Roman"/>
          <w:sz w:val="20"/>
          <w:szCs w:val="20"/>
          <w:lang w:eastAsia="bg-BG"/>
        </w:rPr>
        <w:t>,</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нискомаслено прясно мляко - с 1.7%,</w:t>
      </w:r>
      <w:r w:rsidRPr="00052510">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з</w:t>
      </w:r>
      <w:r w:rsidRPr="001A785E">
        <w:rPr>
          <w:rFonts w:ascii="Verdana" w:eastAsia="Μοντέρνα" w:hAnsi="Verdana" w:cs="Times New Roman"/>
          <w:sz w:val="20"/>
          <w:szCs w:val="20"/>
          <w:lang w:eastAsia="bg-BG"/>
        </w:rPr>
        <w:t>елен лук, чесън и праз</w:t>
      </w:r>
      <w:r>
        <w:rPr>
          <w:rFonts w:ascii="Verdana" w:eastAsia="Μοντέρνα" w:hAnsi="Verdana" w:cs="Times New Roman"/>
          <w:sz w:val="20"/>
          <w:szCs w:val="20"/>
          <w:lang w:eastAsia="bg-BG"/>
        </w:rPr>
        <w:t xml:space="preserve"> - с </w:t>
      </w:r>
      <w:r w:rsidRPr="00052510">
        <w:rPr>
          <w:rFonts w:ascii="Verdana" w:eastAsia="Μοντέρνα" w:hAnsi="Verdana" w:cs="Times New Roman"/>
          <w:sz w:val="20"/>
          <w:szCs w:val="20"/>
          <w:lang w:eastAsia="bg-BG"/>
        </w:rPr>
        <w:t xml:space="preserve">1.7%, </w:t>
      </w:r>
      <w:r w:rsidRPr="00595DFF">
        <w:rPr>
          <w:rFonts w:ascii="Verdana" w:eastAsia="Μοντέρνα" w:hAnsi="Verdana" w:cs="Times New Roman"/>
          <w:sz w:val="20"/>
          <w:szCs w:val="20"/>
          <w:lang w:eastAsia="bg-BG"/>
        </w:rPr>
        <w:t>маслини - с 1.6%,</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извара - с 1.5%,</w:t>
      </w:r>
      <w:r w:rsidRPr="00052510">
        <w:rPr>
          <w:rFonts w:ascii="Verdana" w:eastAsia="Μοντέρνα" w:hAnsi="Verdana" w:cs="Times New Roman"/>
          <w:sz w:val="20"/>
          <w:szCs w:val="20"/>
          <w:lang w:eastAsia="bg-BG"/>
        </w:rPr>
        <w:t xml:space="preserve"> </w:t>
      </w:r>
      <w:r w:rsidRPr="00456705">
        <w:rPr>
          <w:rFonts w:ascii="Verdana" w:eastAsia="Μοντέρνα" w:hAnsi="Verdana" w:cs="Times New Roman"/>
          <w:sz w:val="20"/>
          <w:szCs w:val="20"/>
          <w:lang w:eastAsia="bg-BG"/>
        </w:rPr>
        <w:t>ябълки - с 1.4%,</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трайни колбаси</w:t>
      </w:r>
      <w:r w:rsidR="00297C89">
        <w:rPr>
          <w:rFonts w:ascii="Verdana" w:eastAsia="Μοντέρνα" w:hAnsi="Verdana" w:cs="Times New Roman"/>
          <w:sz w:val="20"/>
          <w:szCs w:val="20"/>
          <w:lang w:eastAsia="bg-BG"/>
        </w:rPr>
        <w:t> </w:t>
      </w:r>
      <w:r w:rsidRPr="00253C16">
        <w:rPr>
          <w:rFonts w:ascii="Verdana" w:eastAsia="Μοντέρνα" w:hAnsi="Verdana" w:cs="Times New Roman"/>
          <w:sz w:val="20"/>
          <w:szCs w:val="20"/>
          <w:lang w:eastAsia="bg-BG"/>
        </w:rPr>
        <w:t>- с 1.2%, мляно месо (кайма) - с 1.2%,</w:t>
      </w:r>
      <w:r w:rsidRPr="00052510">
        <w:rPr>
          <w:rFonts w:ascii="Verdana" w:eastAsia="Μοντέρνα" w:hAnsi="Verdana" w:cs="Times New Roman"/>
          <w:sz w:val="20"/>
          <w:szCs w:val="20"/>
          <w:lang w:eastAsia="bg-BG"/>
        </w:rPr>
        <w:t xml:space="preserve"> </w:t>
      </w:r>
      <w:r w:rsidRPr="00954DD2">
        <w:rPr>
          <w:rFonts w:ascii="Verdana" w:eastAsia="Μοντέρνα" w:hAnsi="Verdana" w:cs="Times New Roman"/>
          <w:sz w:val="20"/>
          <w:szCs w:val="20"/>
          <w:lang w:eastAsia="bg-BG"/>
        </w:rPr>
        <w:t>пресни зеленчукови подправки - с 1.0%,</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сирене</w:t>
      </w:r>
      <w:r w:rsidR="00297C89">
        <w:rPr>
          <w:rFonts w:ascii="Verdana" w:eastAsia="Μοντέρνα" w:hAnsi="Verdana" w:cs="Times New Roman"/>
          <w:sz w:val="20"/>
          <w:szCs w:val="20"/>
          <w:lang w:eastAsia="bg-BG"/>
        </w:rPr>
        <w:t> </w:t>
      </w:r>
      <w:r w:rsidRPr="00253C16">
        <w:rPr>
          <w:rFonts w:ascii="Verdana" w:eastAsia="Μοντέρνα" w:hAnsi="Verdana" w:cs="Times New Roman"/>
          <w:sz w:val="20"/>
          <w:szCs w:val="20"/>
          <w:lang w:eastAsia="bg-BG"/>
        </w:rPr>
        <w:t>- с 0.9%,</w:t>
      </w:r>
      <w:r w:rsidRPr="00052510">
        <w:rPr>
          <w:rFonts w:ascii="Verdana" w:eastAsia="Μοντέρνα" w:hAnsi="Verdana" w:cs="Times New Roman"/>
          <w:sz w:val="20"/>
          <w:szCs w:val="20"/>
          <w:lang w:eastAsia="bg-BG"/>
        </w:rPr>
        <w:t xml:space="preserve"> кореноплодни</w:t>
      </w:r>
      <w:r w:rsidRPr="00595DFF">
        <w:rPr>
          <w:rFonts w:ascii="Verdana" w:eastAsia="Μοντέρνα" w:hAnsi="Verdana" w:cs="Times New Roman"/>
          <w:sz w:val="20"/>
          <w:szCs w:val="20"/>
          <w:lang w:eastAsia="bg-BG"/>
        </w:rPr>
        <w:t xml:space="preserve"> зеленчуци (моркови и червено цвекло) - с 0.9%, </w:t>
      </w:r>
      <w:r w:rsidRPr="00FC7891">
        <w:rPr>
          <w:rFonts w:ascii="Verdana" w:eastAsia="Μοντέρνα" w:hAnsi="Verdana" w:cs="Times New Roman"/>
          <w:sz w:val="20"/>
          <w:szCs w:val="20"/>
          <w:lang w:eastAsia="bg-BG"/>
        </w:rPr>
        <w:t>плодови сокове - с 0.9%,</w:t>
      </w:r>
      <w:r w:rsidRPr="00052510">
        <w:rPr>
          <w:rFonts w:ascii="Verdana" w:eastAsia="Μοντέρνα" w:hAnsi="Verdana" w:cs="Times New Roman"/>
          <w:sz w:val="20"/>
          <w:szCs w:val="20"/>
          <w:lang w:eastAsia="bg-BG"/>
        </w:rPr>
        <w:t xml:space="preserve"> </w:t>
      </w:r>
      <w:r w:rsidRPr="00FC7891">
        <w:rPr>
          <w:rFonts w:ascii="Verdana" w:eastAsia="Μοντέρνα" w:hAnsi="Verdana" w:cs="Times New Roman"/>
          <w:sz w:val="20"/>
          <w:szCs w:val="20"/>
          <w:lang w:eastAsia="bg-BG"/>
        </w:rPr>
        <w:t>какао - с 0.7%,</w:t>
      </w:r>
      <w:r w:rsidRPr="00052510">
        <w:rPr>
          <w:rFonts w:ascii="Verdana" w:eastAsia="Μοντέρνα" w:hAnsi="Verdana" w:cs="Times New Roman"/>
          <w:sz w:val="20"/>
          <w:szCs w:val="20"/>
          <w:lang w:eastAsia="bg-BG"/>
        </w:rPr>
        <w:t xml:space="preserve"> </w:t>
      </w:r>
      <w:r w:rsidRPr="00595DFF">
        <w:rPr>
          <w:rFonts w:ascii="Verdana" w:eastAsia="Μοντέρνα" w:hAnsi="Verdana" w:cs="Times New Roman"/>
          <w:sz w:val="20"/>
          <w:szCs w:val="20"/>
          <w:lang w:eastAsia="bg-BG"/>
        </w:rPr>
        <w:t xml:space="preserve">гъби </w:t>
      </w:r>
      <w:r w:rsidRPr="00954DD2">
        <w:rPr>
          <w:rFonts w:ascii="Verdana" w:eastAsia="Μοντέρνα" w:hAnsi="Verdana" w:cs="Times New Roman"/>
          <w:sz w:val="20"/>
          <w:szCs w:val="20"/>
          <w:lang w:eastAsia="bg-BG"/>
        </w:rPr>
        <w:t>- с 0.6%,</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кашкавал - с 0.5%,</w:t>
      </w:r>
      <w:r w:rsidRPr="00052510">
        <w:rPr>
          <w:rFonts w:ascii="Verdana" w:eastAsia="Μοντέρνα" w:hAnsi="Verdana" w:cs="Times New Roman"/>
          <w:sz w:val="20"/>
          <w:szCs w:val="20"/>
          <w:lang w:eastAsia="bg-BG"/>
        </w:rPr>
        <w:t xml:space="preserve"> </w:t>
      </w:r>
      <w:r w:rsidRPr="00954DD2">
        <w:rPr>
          <w:rFonts w:ascii="Verdana" w:eastAsia="Μοντέρνα" w:hAnsi="Verdana" w:cs="Times New Roman"/>
          <w:sz w:val="20"/>
          <w:szCs w:val="20"/>
          <w:lang w:eastAsia="bg-BG"/>
        </w:rPr>
        <w:t>сушени зеленчукови подправки - с 0.5%,</w:t>
      </w:r>
      <w:r w:rsidRPr="00052510">
        <w:rPr>
          <w:rFonts w:ascii="Verdana" w:eastAsia="Μοντέρνα" w:hAnsi="Verdana" w:cs="Times New Roman"/>
          <w:sz w:val="20"/>
          <w:szCs w:val="20"/>
          <w:lang w:eastAsia="bg-BG"/>
        </w:rPr>
        <w:t xml:space="preserve"> </w:t>
      </w:r>
      <w:r w:rsidRPr="00253C16">
        <w:rPr>
          <w:rFonts w:ascii="Verdana" w:eastAsia="Μοντέρνα" w:hAnsi="Verdana" w:cs="Times New Roman"/>
          <w:sz w:val="20"/>
          <w:szCs w:val="20"/>
          <w:lang w:eastAsia="bg-BG"/>
        </w:rPr>
        <w:t>бял хляб - с 0.4%,</w:t>
      </w:r>
      <w:r w:rsidRPr="00052510">
        <w:rPr>
          <w:rFonts w:ascii="Verdana" w:eastAsia="Μοντέρνα" w:hAnsi="Verdana" w:cs="Times New Roman"/>
          <w:sz w:val="20"/>
          <w:szCs w:val="20"/>
          <w:lang w:eastAsia="bg-BG"/>
        </w:rPr>
        <w:t xml:space="preserve"> </w:t>
      </w:r>
      <w:r w:rsidRPr="00954DD2">
        <w:rPr>
          <w:rFonts w:ascii="Verdana" w:eastAsia="Μοντέρνα" w:hAnsi="Verdana" w:cs="Times New Roman"/>
          <w:sz w:val="20"/>
          <w:szCs w:val="20"/>
          <w:lang w:eastAsia="bg-BG"/>
        </w:rPr>
        <w:t>шоколад и шоколадови изделия - с 0.4%,</w:t>
      </w:r>
      <w:r w:rsidRPr="00052510">
        <w:rPr>
          <w:rFonts w:ascii="Verdana" w:eastAsia="Μοντέρνα" w:hAnsi="Verdana" w:cs="Times New Roman"/>
          <w:sz w:val="20"/>
          <w:szCs w:val="20"/>
          <w:lang w:eastAsia="bg-BG"/>
        </w:rPr>
        <w:t xml:space="preserve"> </w:t>
      </w:r>
      <w:r w:rsidRPr="00FC7891">
        <w:rPr>
          <w:rFonts w:ascii="Verdana" w:eastAsia="Μοντέρνα" w:hAnsi="Verdana" w:cs="Times New Roman"/>
          <w:sz w:val="20"/>
          <w:szCs w:val="20"/>
          <w:lang w:eastAsia="bg-BG"/>
        </w:rPr>
        <w:t>ракии</w:t>
      </w:r>
      <w:r w:rsidR="00297C89">
        <w:rPr>
          <w:rFonts w:ascii="Verdana" w:eastAsia="Μοντέρνα" w:hAnsi="Verdana" w:cs="Times New Roman"/>
          <w:sz w:val="20"/>
          <w:szCs w:val="20"/>
          <w:lang w:eastAsia="bg-BG"/>
        </w:rPr>
        <w:t> </w:t>
      </w:r>
      <w:r w:rsidRPr="00FC7891">
        <w:rPr>
          <w:rFonts w:ascii="Verdana" w:eastAsia="Μοντέρνα" w:hAnsi="Verdana" w:cs="Times New Roman"/>
          <w:sz w:val="20"/>
          <w:szCs w:val="20"/>
          <w:lang w:eastAsia="bg-BG"/>
        </w:rPr>
        <w:t>- с 0.4%, вина - с 0.4%</w:t>
      </w:r>
      <w:r w:rsidR="00291CD8">
        <w:rPr>
          <w:rFonts w:ascii="Verdana" w:eastAsia="Μοντέρνα" w:hAnsi="Verdana" w:cs="Times New Roman"/>
          <w:sz w:val="20"/>
          <w:szCs w:val="20"/>
          <w:lang w:eastAsia="bg-BG"/>
        </w:rPr>
        <w:t xml:space="preserve">, </w:t>
      </w:r>
      <w:r w:rsidRPr="00FC7891">
        <w:rPr>
          <w:rFonts w:ascii="Verdana" w:eastAsia="Μοντέρνα" w:hAnsi="Verdana" w:cs="Times New Roman"/>
          <w:sz w:val="20"/>
          <w:szCs w:val="20"/>
          <w:lang w:eastAsia="bg-BG"/>
        </w:rPr>
        <w:t>и други.</w:t>
      </w:r>
    </w:p>
    <w:p w14:paraId="0A3FCB5D" w14:textId="31F2F27F" w:rsidR="00BC4C62" w:rsidRPr="00C469BB" w:rsidRDefault="00BC4C62" w:rsidP="000B426A">
      <w:pPr>
        <w:tabs>
          <w:tab w:val="left" w:pos="3123"/>
        </w:tabs>
        <w:spacing w:line="360" w:lineRule="auto"/>
        <w:ind w:firstLine="567"/>
        <w:jc w:val="both"/>
        <w:rPr>
          <w:rFonts w:ascii="Verdana" w:eastAsia="Μοντέρνα" w:hAnsi="Verdana" w:cs="Times New Roman"/>
          <w:sz w:val="20"/>
          <w:szCs w:val="20"/>
          <w:lang w:eastAsia="bg-BG"/>
        </w:rPr>
      </w:pPr>
      <w:r w:rsidRPr="006435A3">
        <w:rPr>
          <w:rFonts w:ascii="Verdana" w:eastAsia="Μοντέρνα" w:hAnsi="Verdana" w:cs="Times New Roman"/>
          <w:sz w:val="20"/>
          <w:szCs w:val="20"/>
          <w:lang w:eastAsia="bg-BG"/>
        </w:rPr>
        <w:t>Намал</w:t>
      </w:r>
      <w:r w:rsidRPr="00D4055F">
        <w:rPr>
          <w:rFonts w:ascii="Verdana" w:eastAsia="Μοντέρνα" w:hAnsi="Verdana" w:cs="Times New Roman"/>
          <w:sz w:val="20"/>
          <w:szCs w:val="20"/>
          <w:lang w:eastAsia="bg-BG"/>
        </w:rPr>
        <w:t>е</w:t>
      </w:r>
      <w:r w:rsidRPr="006435A3">
        <w:rPr>
          <w:rFonts w:ascii="Verdana" w:eastAsia="Μοντέρνα" w:hAnsi="Verdana" w:cs="Times New Roman"/>
          <w:sz w:val="20"/>
          <w:szCs w:val="20"/>
          <w:lang w:eastAsia="bg-BG"/>
        </w:rPr>
        <w:t>ни са цените н</w:t>
      </w:r>
      <w:r>
        <w:rPr>
          <w:rFonts w:ascii="Verdana" w:eastAsia="Μοντέρνα" w:hAnsi="Verdana" w:cs="Times New Roman"/>
          <w:sz w:val="20"/>
          <w:szCs w:val="20"/>
          <w:lang w:eastAsia="bg-BG"/>
        </w:rPr>
        <w:t xml:space="preserve">а следните хранителни продукти: </w:t>
      </w:r>
      <w:r w:rsidRPr="006435A3">
        <w:rPr>
          <w:rFonts w:ascii="Verdana" w:eastAsia="Μοντέρνα" w:hAnsi="Verdana" w:cs="Times New Roman"/>
          <w:sz w:val="20"/>
          <w:szCs w:val="20"/>
          <w:lang w:eastAsia="bg-BG"/>
        </w:rPr>
        <w:t>цитрусови и южни плодове - с 9.8%,</w:t>
      </w:r>
      <w:r>
        <w:rPr>
          <w:rFonts w:ascii="Verdana" w:eastAsia="Μοντέρνα" w:hAnsi="Verdana" w:cs="Times New Roman"/>
          <w:sz w:val="20"/>
          <w:szCs w:val="20"/>
          <w:lang w:eastAsia="bg-BG"/>
        </w:rPr>
        <w:t xml:space="preserve"> </w:t>
      </w:r>
      <w:r w:rsidRPr="006435A3">
        <w:rPr>
          <w:rFonts w:ascii="Verdana" w:eastAsia="Μοντέρνα" w:hAnsi="Verdana" w:cs="Times New Roman"/>
          <w:sz w:val="20"/>
          <w:szCs w:val="20"/>
          <w:lang w:eastAsia="bg-BG"/>
        </w:rPr>
        <w:t xml:space="preserve">зрял </w:t>
      </w:r>
      <w:r w:rsidRPr="00D4055F">
        <w:rPr>
          <w:rFonts w:ascii="Verdana" w:eastAsia="Μοντέρνα" w:hAnsi="Verdana" w:cs="Times New Roman"/>
          <w:sz w:val="20"/>
          <w:szCs w:val="20"/>
          <w:lang w:eastAsia="bg-BG"/>
        </w:rPr>
        <w:t>чесън - с 1.5%,</w:t>
      </w:r>
      <w:r w:rsidRPr="00556B4A">
        <w:rPr>
          <w:rFonts w:ascii="Verdana" w:eastAsia="Μοντέρνα" w:hAnsi="Verdana" w:cs="Times New Roman"/>
          <w:sz w:val="20"/>
          <w:szCs w:val="20"/>
          <w:lang w:eastAsia="bg-BG"/>
        </w:rPr>
        <w:t xml:space="preserve"> </w:t>
      </w:r>
      <w:r w:rsidRPr="006435A3">
        <w:rPr>
          <w:rFonts w:ascii="Verdana" w:eastAsia="Μοντέρνα" w:hAnsi="Verdana" w:cs="Times New Roman"/>
          <w:sz w:val="20"/>
          <w:szCs w:val="20"/>
          <w:lang w:eastAsia="bg-BG"/>
        </w:rPr>
        <w:t>зърнени закуски - с 1.1%,</w:t>
      </w:r>
      <w:r w:rsidRPr="00556B4A">
        <w:rPr>
          <w:rFonts w:ascii="Verdana" w:eastAsia="Μοντέρνα" w:hAnsi="Verdana" w:cs="Times New Roman"/>
          <w:sz w:val="20"/>
          <w:szCs w:val="20"/>
          <w:lang w:eastAsia="bg-BG"/>
        </w:rPr>
        <w:t xml:space="preserve"> </w:t>
      </w:r>
      <w:r w:rsidRPr="006435A3">
        <w:rPr>
          <w:rFonts w:ascii="Verdana" w:eastAsia="Μοντέρνα" w:hAnsi="Verdana" w:cs="Times New Roman"/>
          <w:sz w:val="20"/>
          <w:szCs w:val="20"/>
          <w:lang w:eastAsia="bg-BG"/>
        </w:rPr>
        <w:t>маргарин - с 1.0%,</w:t>
      </w:r>
      <w:r w:rsidRPr="00556B4A">
        <w:rPr>
          <w:rFonts w:ascii="Verdana" w:eastAsia="Μοντέρνα" w:hAnsi="Verdana" w:cs="Times New Roman"/>
          <w:sz w:val="20"/>
          <w:szCs w:val="20"/>
          <w:lang w:eastAsia="bg-BG"/>
        </w:rPr>
        <w:t xml:space="preserve"> </w:t>
      </w:r>
      <w:r w:rsidRPr="00D4055F">
        <w:rPr>
          <w:rFonts w:ascii="Verdana" w:eastAsia="Μοντέρνα" w:hAnsi="Verdana" w:cs="Times New Roman"/>
          <w:sz w:val="20"/>
          <w:szCs w:val="20"/>
          <w:lang w:eastAsia="bg-BG"/>
        </w:rPr>
        <w:t>оцет - с 1.0%, леща - с 1.0%,</w:t>
      </w:r>
      <w:r w:rsidRPr="00556B4A">
        <w:rPr>
          <w:rFonts w:ascii="Verdana" w:eastAsia="Μοντέρνα" w:hAnsi="Verdana" w:cs="Times New Roman"/>
          <w:sz w:val="20"/>
          <w:szCs w:val="20"/>
          <w:lang w:eastAsia="bg-BG"/>
        </w:rPr>
        <w:t xml:space="preserve"> </w:t>
      </w:r>
      <w:r w:rsidRPr="006435A3">
        <w:rPr>
          <w:rFonts w:ascii="Verdana" w:eastAsia="Μοντέρνα" w:hAnsi="Verdana" w:cs="Times New Roman"/>
          <w:sz w:val="20"/>
          <w:szCs w:val="20"/>
          <w:lang w:eastAsia="bg-BG"/>
        </w:rPr>
        <w:t>брашно - с 0.9%,</w:t>
      </w:r>
      <w:r w:rsidRPr="00556B4A">
        <w:rPr>
          <w:rFonts w:ascii="Verdana" w:eastAsia="Μοντέρνα" w:hAnsi="Verdana" w:cs="Times New Roman"/>
          <w:sz w:val="20"/>
          <w:szCs w:val="20"/>
          <w:lang w:eastAsia="bg-BG"/>
        </w:rPr>
        <w:t xml:space="preserve"> </w:t>
      </w:r>
      <w:r w:rsidRPr="00D4055F">
        <w:rPr>
          <w:rFonts w:ascii="Verdana" w:eastAsia="Μοντέρνα" w:hAnsi="Verdana" w:cs="Times New Roman"/>
          <w:sz w:val="20"/>
          <w:szCs w:val="20"/>
          <w:lang w:eastAsia="bg-BG"/>
        </w:rPr>
        <w:t>минерална вода - с 0.9%,</w:t>
      </w:r>
      <w:r w:rsidRPr="00556B4A">
        <w:rPr>
          <w:rFonts w:ascii="Verdana" w:eastAsia="Μοντέρνα" w:hAnsi="Verdana" w:cs="Times New Roman"/>
          <w:sz w:val="20"/>
          <w:szCs w:val="20"/>
          <w:lang w:eastAsia="bg-BG"/>
        </w:rPr>
        <w:t xml:space="preserve"> </w:t>
      </w:r>
      <w:r w:rsidRPr="006435A3">
        <w:rPr>
          <w:rFonts w:ascii="Verdana" w:eastAsia="Μοντέρνα" w:hAnsi="Verdana" w:cs="Times New Roman"/>
          <w:sz w:val="20"/>
          <w:szCs w:val="20"/>
          <w:lang w:eastAsia="bg-BG"/>
        </w:rPr>
        <w:t>ориз - с 0.8%,</w:t>
      </w:r>
      <w:r w:rsidRPr="00556B4A">
        <w:rPr>
          <w:rFonts w:ascii="Verdana" w:eastAsia="Μοντέρνα" w:hAnsi="Verdana" w:cs="Times New Roman"/>
          <w:sz w:val="20"/>
          <w:szCs w:val="20"/>
          <w:lang w:eastAsia="bg-BG"/>
        </w:rPr>
        <w:t xml:space="preserve"> </w:t>
      </w:r>
      <w:r w:rsidRPr="00D4055F">
        <w:rPr>
          <w:rFonts w:ascii="Verdana" w:eastAsia="Μοντέρνα" w:hAnsi="Verdana" w:cs="Times New Roman"/>
          <w:sz w:val="20"/>
          <w:szCs w:val="20"/>
          <w:lang w:eastAsia="bg-BG"/>
        </w:rPr>
        <w:t xml:space="preserve">листни зеленчуци - с 0.7%, </w:t>
      </w:r>
      <w:r w:rsidRPr="006435A3">
        <w:rPr>
          <w:rFonts w:ascii="Verdana" w:eastAsia="Μοντέρνα" w:hAnsi="Verdana" w:cs="Times New Roman"/>
          <w:sz w:val="20"/>
          <w:szCs w:val="20"/>
          <w:lang w:eastAsia="bg-BG"/>
        </w:rPr>
        <w:t>малотрайни колбаси - с 0.6%,</w:t>
      </w:r>
      <w:r w:rsidRPr="00556B4A">
        <w:rPr>
          <w:rFonts w:ascii="Verdana" w:eastAsia="Μοντέρνα" w:hAnsi="Verdana" w:cs="Times New Roman"/>
          <w:sz w:val="20"/>
          <w:szCs w:val="20"/>
          <w:lang w:eastAsia="bg-BG"/>
        </w:rPr>
        <w:t xml:space="preserve"> </w:t>
      </w:r>
      <w:r w:rsidRPr="00D4055F">
        <w:rPr>
          <w:rFonts w:ascii="Verdana" w:eastAsia="Μοντέρνα" w:hAnsi="Verdana" w:cs="Times New Roman"/>
          <w:sz w:val="20"/>
          <w:szCs w:val="20"/>
          <w:lang w:eastAsia="bg-BG"/>
        </w:rPr>
        <w:t>кафе - с 0.6%,</w:t>
      </w:r>
      <w:r w:rsidRPr="00556B4A">
        <w:rPr>
          <w:rFonts w:ascii="Verdana" w:eastAsia="Μοντέρνα" w:hAnsi="Verdana" w:cs="Times New Roman"/>
          <w:sz w:val="20"/>
          <w:szCs w:val="20"/>
          <w:lang w:eastAsia="bg-BG"/>
        </w:rPr>
        <w:t xml:space="preserve"> </w:t>
      </w:r>
      <w:r w:rsidRPr="00D4055F">
        <w:rPr>
          <w:rFonts w:ascii="Verdana" w:eastAsia="Μοντέρνα" w:hAnsi="Verdana" w:cs="Times New Roman"/>
          <w:sz w:val="20"/>
          <w:szCs w:val="20"/>
          <w:lang w:eastAsia="bg-BG"/>
        </w:rPr>
        <w:t>боб - с 0.5%,</w:t>
      </w:r>
      <w:r w:rsidRPr="00556B4A">
        <w:rPr>
          <w:rFonts w:ascii="Verdana" w:eastAsia="Μοντέρνα" w:hAnsi="Verdana" w:cs="Times New Roman"/>
          <w:sz w:val="20"/>
          <w:szCs w:val="20"/>
          <w:lang w:eastAsia="bg-BG"/>
        </w:rPr>
        <w:t xml:space="preserve"> </w:t>
      </w:r>
      <w:r w:rsidRPr="006435A3">
        <w:rPr>
          <w:rFonts w:ascii="Verdana" w:eastAsia="Μοντέρνα" w:hAnsi="Verdana" w:cs="Times New Roman"/>
          <w:sz w:val="20"/>
          <w:szCs w:val="20"/>
          <w:lang w:eastAsia="bg-BG"/>
        </w:rPr>
        <w:t xml:space="preserve">хляб </w:t>
      </w:r>
      <w:r w:rsidR="00297C89">
        <w:rPr>
          <w:rFonts w:ascii="Verdana" w:eastAsia="Μοντέρνα" w:hAnsi="Verdana" w:cs="Times New Roman"/>
          <w:sz w:val="20"/>
          <w:szCs w:val="20"/>
          <w:lang w:eastAsia="bg-BG"/>
        </w:rPr>
        <w:t>„</w:t>
      </w:r>
      <w:r w:rsidRPr="006435A3">
        <w:rPr>
          <w:rFonts w:ascii="Verdana" w:eastAsia="Μοντέρνα" w:hAnsi="Verdana" w:cs="Times New Roman"/>
          <w:sz w:val="20"/>
          <w:szCs w:val="20"/>
          <w:lang w:eastAsia="bg-BG"/>
        </w:rPr>
        <w:t>Добруджа</w:t>
      </w:r>
      <w:r w:rsidR="00297C89">
        <w:rPr>
          <w:rFonts w:ascii="Verdana" w:eastAsia="Μοντέρνα" w:hAnsi="Verdana" w:cs="Times New Roman"/>
          <w:sz w:val="20"/>
          <w:szCs w:val="20"/>
          <w:lang w:eastAsia="bg-BG"/>
        </w:rPr>
        <w:t>“</w:t>
      </w:r>
      <w:r w:rsidRPr="006435A3">
        <w:rPr>
          <w:rFonts w:ascii="Verdana" w:eastAsia="Μοντέρνα" w:hAnsi="Verdana" w:cs="Times New Roman"/>
          <w:sz w:val="20"/>
          <w:szCs w:val="20"/>
          <w:lang w:eastAsia="bg-BG"/>
        </w:rPr>
        <w:t xml:space="preserve"> - с 0.4%, месо от едър рогат добитък - с 0.3%, </w:t>
      </w:r>
      <w:r w:rsidRPr="00D4055F">
        <w:rPr>
          <w:rFonts w:ascii="Verdana" w:eastAsia="Μοντέρνα" w:hAnsi="Verdana" w:cs="Times New Roman"/>
          <w:sz w:val="20"/>
          <w:szCs w:val="20"/>
          <w:lang w:eastAsia="bg-BG"/>
        </w:rPr>
        <w:t xml:space="preserve">бира - с </w:t>
      </w:r>
      <w:r w:rsidRPr="00C469BB">
        <w:rPr>
          <w:rFonts w:ascii="Verdana" w:eastAsia="Μοντέρνα" w:hAnsi="Verdana" w:cs="Times New Roman"/>
          <w:sz w:val="20"/>
          <w:szCs w:val="20"/>
          <w:lang w:eastAsia="bg-BG"/>
        </w:rPr>
        <w:t xml:space="preserve">0.3%, </w:t>
      </w:r>
      <w:r w:rsidRPr="006435A3">
        <w:rPr>
          <w:rFonts w:ascii="Verdana" w:eastAsia="Μοντέρνα" w:hAnsi="Verdana" w:cs="Times New Roman"/>
          <w:sz w:val="20"/>
          <w:szCs w:val="20"/>
          <w:lang w:eastAsia="bg-BG"/>
        </w:rPr>
        <w:t xml:space="preserve">месо от домашни птици - с 0.2%, кисели млека - с 0.2%, </w:t>
      </w:r>
      <w:r w:rsidR="007E1632">
        <w:rPr>
          <w:rFonts w:ascii="Verdana" w:eastAsia="Μοντέρνα" w:hAnsi="Verdana" w:cs="Times New Roman"/>
          <w:sz w:val="20"/>
          <w:szCs w:val="20"/>
          <w:lang w:eastAsia="bg-BG"/>
        </w:rPr>
        <w:t>захар - с 0.2%</w:t>
      </w:r>
      <w:r w:rsidRPr="00D4055F">
        <w:rPr>
          <w:rFonts w:ascii="Verdana" w:eastAsia="Μοντέρνα" w:hAnsi="Verdana" w:cs="Times New Roman"/>
          <w:sz w:val="20"/>
          <w:szCs w:val="20"/>
          <w:lang w:eastAsia="bg-BG"/>
        </w:rPr>
        <w:t xml:space="preserve">, </w:t>
      </w:r>
      <w:r w:rsidRPr="00C469BB">
        <w:rPr>
          <w:rFonts w:ascii="Verdana" w:eastAsia="Μοντέρνα" w:hAnsi="Verdana" w:cs="Times New Roman"/>
          <w:sz w:val="20"/>
          <w:szCs w:val="20"/>
          <w:lang w:eastAsia="bg-BG"/>
        </w:rPr>
        <w:t>и други.</w:t>
      </w:r>
    </w:p>
    <w:p w14:paraId="4C697272" w14:textId="504DAF94" w:rsidR="00BC4C62" w:rsidRPr="00C469BB" w:rsidRDefault="00BC4C62" w:rsidP="000B426A">
      <w:pPr>
        <w:tabs>
          <w:tab w:val="left" w:pos="3123"/>
        </w:tabs>
        <w:spacing w:line="360" w:lineRule="auto"/>
        <w:ind w:firstLine="567"/>
        <w:jc w:val="both"/>
        <w:rPr>
          <w:rFonts w:ascii="Verdana" w:eastAsia="Μοντέρνα" w:hAnsi="Verdana" w:cs="Times New Roman"/>
          <w:sz w:val="20"/>
          <w:szCs w:val="20"/>
          <w:lang w:eastAsia="bg-BG"/>
        </w:rPr>
      </w:pPr>
      <w:r w:rsidRPr="00C469BB">
        <w:rPr>
          <w:rFonts w:ascii="Verdana" w:eastAsia="Μοντέρνα" w:hAnsi="Verdana" w:cs="Times New Roman"/>
          <w:sz w:val="20"/>
          <w:szCs w:val="20"/>
          <w:lang w:eastAsia="bg-BG"/>
        </w:rPr>
        <w:t>В групите на нехранителните стоки и услугите</w:t>
      </w:r>
      <w:r w:rsidRPr="00C469BB">
        <w:rPr>
          <w:rFonts w:ascii="Verdana" w:eastAsia="Μοντέρνα" w:hAnsi="Verdana" w:cs="Times New Roman"/>
          <w:sz w:val="20"/>
          <w:szCs w:val="20"/>
          <w:lang w:val="en-US" w:eastAsia="bg-BG"/>
        </w:rPr>
        <w:t xml:space="preserve"> e</w:t>
      </w:r>
      <w:r w:rsidRPr="00C469BB">
        <w:rPr>
          <w:rFonts w:ascii="Verdana" w:eastAsia="Μοντέρνα" w:hAnsi="Verdana" w:cs="Times New Roman"/>
          <w:sz w:val="20"/>
          <w:szCs w:val="20"/>
          <w:lang w:eastAsia="bg-BG"/>
        </w:rPr>
        <w:t xml:space="preserve"> регистрирано увеличение на цените при: </w:t>
      </w:r>
      <w:r w:rsidRPr="00E963F2">
        <w:rPr>
          <w:rFonts w:ascii="Verdana" w:eastAsia="Μοντέρνα" w:hAnsi="Verdana" w:cs="Times New Roman"/>
          <w:sz w:val="20"/>
          <w:szCs w:val="20"/>
          <w:lang w:eastAsia="bg-BG"/>
        </w:rPr>
        <w:t>централно газоснабдяване - с 6.0%,</w:t>
      </w:r>
      <w:r w:rsidRPr="00556B4A">
        <w:rPr>
          <w:rFonts w:ascii="Verdana" w:eastAsia="Μοντέρνα" w:hAnsi="Verdana" w:cs="Times New Roman"/>
          <w:sz w:val="20"/>
          <w:szCs w:val="20"/>
          <w:lang w:eastAsia="bg-BG"/>
        </w:rPr>
        <w:t xml:space="preserve"> </w:t>
      </w:r>
      <w:r w:rsidRPr="00AC6955">
        <w:rPr>
          <w:rFonts w:ascii="Verdana" w:eastAsia="Μοντέρνα" w:hAnsi="Verdana" w:cs="Times New Roman"/>
          <w:sz w:val="20"/>
          <w:szCs w:val="20"/>
          <w:lang w:eastAsia="bg-BG"/>
        </w:rPr>
        <w:t>газ пропан-бутан за ЛТС - с 3.3%, метан за ЛТС - с 3.1%,</w:t>
      </w:r>
      <w:r w:rsidRPr="00556B4A">
        <w:rPr>
          <w:rFonts w:ascii="Verdana" w:eastAsia="Μοντέρνα" w:hAnsi="Verdana" w:cs="Times New Roman"/>
          <w:sz w:val="20"/>
          <w:szCs w:val="20"/>
          <w:lang w:eastAsia="bg-BG"/>
        </w:rPr>
        <w:t xml:space="preserve"> </w:t>
      </w:r>
      <w:r w:rsidRPr="00FA2A16">
        <w:rPr>
          <w:rFonts w:ascii="Verdana" w:eastAsia="Μοντέρνα" w:hAnsi="Verdana" w:cs="Times New Roman"/>
          <w:sz w:val="20"/>
          <w:szCs w:val="20"/>
          <w:lang w:eastAsia="bg-BG"/>
        </w:rPr>
        <w:t>пакетни услуги за почивка и туристически пътувания в страната</w:t>
      </w:r>
      <w:r w:rsidR="00297C89">
        <w:rPr>
          <w:rFonts w:ascii="Verdana" w:eastAsia="Μοντέρνα" w:hAnsi="Verdana" w:cs="Times New Roman"/>
          <w:sz w:val="20"/>
          <w:szCs w:val="20"/>
          <w:lang w:eastAsia="bg-BG"/>
        </w:rPr>
        <w:t> </w:t>
      </w:r>
      <w:r w:rsidRPr="00FA2A16">
        <w:rPr>
          <w:rFonts w:ascii="Verdana" w:eastAsia="Μοντέρνα" w:hAnsi="Verdana" w:cs="Times New Roman"/>
          <w:sz w:val="20"/>
          <w:szCs w:val="20"/>
          <w:lang w:eastAsia="bg-BG"/>
        </w:rPr>
        <w:t>- с 2.5%,</w:t>
      </w:r>
      <w:r w:rsidRPr="00556B4A">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почистващи и дезинфекционни средства (течни препарати за почистване на дома) - с</w:t>
      </w:r>
      <w:r w:rsidRPr="00E963F2">
        <w:rPr>
          <w:rFonts w:ascii="Verdana" w:eastAsia="Μοντέρνα" w:hAnsi="Verdana" w:cs="Times New Roman"/>
          <w:sz w:val="20"/>
          <w:szCs w:val="20"/>
          <w:lang w:eastAsia="bg-BG"/>
        </w:rPr>
        <w:t xml:space="preserve"> 2.4%,</w:t>
      </w:r>
      <w:r w:rsidRPr="00556B4A">
        <w:rPr>
          <w:rFonts w:ascii="Verdana" w:eastAsia="Μοντέρνα" w:hAnsi="Verdana" w:cs="Times New Roman"/>
          <w:sz w:val="20"/>
          <w:szCs w:val="20"/>
          <w:lang w:eastAsia="bg-BG"/>
        </w:rPr>
        <w:t xml:space="preserve"> </w:t>
      </w:r>
      <w:r w:rsidRPr="00FA2A16">
        <w:rPr>
          <w:rFonts w:ascii="Verdana" w:eastAsia="Μοντέρνα" w:hAnsi="Verdana" w:cs="Times New Roman"/>
          <w:sz w:val="20"/>
          <w:szCs w:val="20"/>
          <w:lang w:eastAsia="bg-BG"/>
        </w:rPr>
        <w:t>кина и театри - с 1.8%,</w:t>
      </w:r>
      <w:r w:rsidRPr="00556B4A">
        <w:rPr>
          <w:rFonts w:ascii="Verdana" w:eastAsia="Μοντέρνα" w:hAnsi="Verdana" w:cs="Times New Roman"/>
          <w:sz w:val="20"/>
          <w:szCs w:val="20"/>
          <w:lang w:eastAsia="bg-BG"/>
        </w:rPr>
        <w:t xml:space="preserve"> </w:t>
      </w:r>
      <w:r w:rsidRPr="00AC6955">
        <w:rPr>
          <w:rFonts w:ascii="Verdana" w:eastAsia="Μοντέρνα" w:hAnsi="Verdana" w:cs="Times New Roman"/>
          <w:sz w:val="20"/>
          <w:szCs w:val="20"/>
          <w:lang w:eastAsia="bg-BG"/>
        </w:rPr>
        <w:t xml:space="preserve">дизелово гориво - с 1.5%, </w:t>
      </w:r>
      <w:r w:rsidRPr="00FA2A16">
        <w:rPr>
          <w:rFonts w:ascii="Verdana" w:eastAsia="Μοντέρνα" w:hAnsi="Verdana" w:cs="Times New Roman"/>
          <w:sz w:val="20"/>
          <w:szCs w:val="20"/>
          <w:lang w:eastAsia="bg-BG"/>
        </w:rPr>
        <w:t>бръснаро-фризьорски услуги и услуги за поддържане на добър външен вид - с 1.5%,</w:t>
      </w:r>
      <w:r w:rsidRPr="00556B4A">
        <w:rPr>
          <w:rFonts w:ascii="Verdana" w:eastAsia="Μοντέρνα" w:hAnsi="Verdana" w:cs="Times New Roman"/>
          <w:sz w:val="20"/>
          <w:szCs w:val="20"/>
          <w:lang w:eastAsia="bg-BG"/>
        </w:rPr>
        <w:t xml:space="preserve"> </w:t>
      </w:r>
      <w:r w:rsidRPr="00AC6955">
        <w:rPr>
          <w:rFonts w:ascii="Verdana" w:eastAsia="Μοντέρνα" w:hAnsi="Verdana" w:cs="Times New Roman"/>
          <w:sz w:val="20"/>
          <w:szCs w:val="20"/>
          <w:lang w:eastAsia="bg-BG"/>
        </w:rPr>
        <w:t>поддържане и ремонт на ЛТС - с 1.3%,</w:t>
      </w:r>
      <w:r w:rsidRPr="00556B4A">
        <w:rPr>
          <w:rFonts w:ascii="Verdana" w:eastAsia="Μοντέρνα" w:hAnsi="Verdana" w:cs="Times New Roman"/>
          <w:sz w:val="20"/>
          <w:szCs w:val="20"/>
          <w:lang w:eastAsia="bg-BG"/>
        </w:rPr>
        <w:t xml:space="preserve"> </w:t>
      </w:r>
      <w:r w:rsidRPr="00E963F2">
        <w:rPr>
          <w:rFonts w:ascii="Verdana" w:eastAsia="Μοντέρνα" w:hAnsi="Verdana" w:cs="Times New Roman"/>
          <w:sz w:val="20"/>
          <w:szCs w:val="20"/>
          <w:lang w:eastAsia="bg-BG"/>
        </w:rPr>
        <w:t>принадлежности за ЛТС - с 1.1%,</w:t>
      </w:r>
      <w:r>
        <w:rPr>
          <w:rFonts w:ascii="Verdana" w:eastAsia="Μοντέρνα" w:hAnsi="Verdana" w:cs="Times New Roman"/>
          <w:sz w:val="20"/>
          <w:szCs w:val="20"/>
          <w:lang w:eastAsia="bg-BG"/>
        </w:rPr>
        <w:t xml:space="preserve"> </w:t>
      </w:r>
      <w:r w:rsidRPr="00C469BB">
        <w:rPr>
          <w:rFonts w:ascii="Verdana" w:eastAsia="Μοντέρνα" w:hAnsi="Verdana" w:cs="Times New Roman"/>
          <w:sz w:val="20"/>
          <w:szCs w:val="20"/>
          <w:lang w:eastAsia="bg-BG"/>
        </w:rPr>
        <w:t xml:space="preserve">цигари - с 0.9%, </w:t>
      </w:r>
      <w:r w:rsidRPr="00FA2A16">
        <w:rPr>
          <w:rFonts w:ascii="Verdana" w:eastAsia="Μοντέρνα" w:hAnsi="Verdana" w:cs="Times New Roman"/>
          <w:sz w:val="20"/>
          <w:szCs w:val="20"/>
          <w:lang w:eastAsia="bg-BG"/>
        </w:rPr>
        <w:t xml:space="preserve">услуги по обществено хранене - с 0.7%, </w:t>
      </w:r>
      <w:r w:rsidRPr="00E963F2">
        <w:rPr>
          <w:rFonts w:ascii="Verdana" w:eastAsia="Μοντέρνα" w:hAnsi="Verdana" w:cs="Times New Roman"/>
          <w:sz w:val="20"/>
          <w:szCs w:val="20"/>
          <w:lang w:eastAsia="bg-BG"/>
        </w:rPr>
        <w:t>газообразни горива за битови нужди - с 0.6</w:t>
      </w:r>
      <w:r w:rsidRPr="00D4491C">
        <w:rPr>
          <w:rFonts w:ascii="Verdana" w:eastAsia="Μοντέρνα" w:hAnsi="Verdana" w:cs="Times New Roman"/>
          <w:sz w:val="20"/>
          <w:szCs w:val="20"/>
          <w:lang w:eastAsia="bg-BG"/>
        </w:rPr>
        <w:t xml:space="preserve">%, </w:t>
      </w:r>
      <w:r w:rsidRPr="00AC6955">
        <w:rPr>
          <w:rFonts w:ascii="Verdana" w:eastAsia="Μοντέρνα" w:hAnsi="Verdana" w:cs="Times New Roman"/>
          <w:sz w:val="20"/>
          <w:szCs w:val="20"/>
          <w:lang w:eastAsia="bg-BG"/>
        </w:rPr>
        <w:t>бензин А95Н - с 0.6%, бензин А100Н - с 0.3%,</w:t>
      </w:r>
      <w:r>
        <w:rPr>
          <w:rFonts w:ascii="Verdana" w:eastAsia="Μοντέρνα" w:hAnsi="Verdana" w:cs="Times New Roman"/>
          <w:sz w:val="20"/>
          <w:szCs w:val="20"/>
          <w:lang w:eastAsia="bg-BG"/>
        </w:rPr>
        <w:t xml:space="preserve"> </w:t>
      </w:r>
      <w:r w:rsidRPr="00E963F2">
        <w:rPr>
          <w:rFonts w:ascii="Verdana" w:eastAsia="Μοντέρνα" w:hAnsi="Verdana" w:cs="Times New Roman"/>
          <w:sz w:val="20"/>
          <w:szCs w:val="20"/>
          <w:lang w:eastAsia="bg-BG"/>
        </w:rPr>
        <w:t xml:space="preserve">прахове за пране - с 0.2%, </w:t>
      </w:r>
      <w:r w:rsidRPr="00FA2A16">
        <w:rPr>
          <w:rFonts w:ascii="Verdana" w:eastAsia="Μοντέρνα" w:hAnsi="Verdana" w:cs="Times New Roman"/>
          <w:sz w:val="20"/>
          <w:szCs w:val="20"/>
          <w:lang w:eastAsia="bg-BG"/>
        </w:rPr>
        <w:t>козметични продукти - с 0.1%, и други.</w:t>
      </w:r>
    </w:p>
    <w:p w14:paraId="04585A15" w14:textId="21C8819B" w:rsidR="00BC4C62" w:rsidRDefault="00BC4C62" w:rsidP="000B426A">
      <w:pPr>
        <w:tabs>
          <w:tab w:val="left" w:pos="3123"/>
        </w:tabs>
        <w:spacing w:line="360" w:lineRule="auto"/>
        <w:ind w:firstLine="567"/>
        <w:jc w:val="both"/>
        <w:rPr>
          <w:rFonts w:ascii="Verdana" w:eastAsia="Μοντέρνα" w:hAnsi="Verdana" w:cs="Times New Roman"/>
          <w:sz w:val="20"/>
          <w:szCs w:val="20"/>
          <w:lang w:eastAsia="bg-BG"/>
        </w:rPr>
      </w:pPr>
      <w:r w:rsidRPr="00D43415">
        <w:rPr>
          <w:rFonts w:ascii="Verdana" w:eastAsia="Μοντέρνα" w:hAnsi="Verdana" w:cs="Times New Roman"/>
          <w:sz w:val="20"/>
          <w:szCs w:val="20"/>
          <w:lang w:eastAsia="bg-BG"/>
        </w:rPr>
        <w:t>При нехранителните стоки и услугите е регистрирано намаление на цените при:</w:t>
      </w:r>
      <w:r w:rsidRPr="00E01BD7">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международни полети - с 6.4%,</w:t>
      </w:r>
      <w:r w:rsidRPr="00E01BD7">
        <w:rPr>
          <w:rFonts w:ascii="Verdana" w:eastAsia="Μοντέρνα" w:hAnsi="Verdana" w:cs="Times New Roman"/>
          <w:sz w:val="20"/>
          <w:szCs w:val="20"/>
          <w:lang w:eastAsia="bg-BG"/>
        </w:rPr>
        <w:t xml:space="preserve"> </w:t>
      </w:r>
      <w:r w:rsidRPr="00D43415">
        <w:rPr>
          <w:rFonts w:ascii="Verdana" w:eastAsia="Μοντέρνα" w:hAnsi="Verdana" w:cs="Times New Roman"/>
          <w:sz w:val="20"/>
          <w:szCs w:val="20"/>
          <w:lang w:eastAsia="bg-BG"/>
        </w:rPr>
        <w:t>топлоенергия - с 4.6</w:t>
      </w:r>
      <w:r w:rsidRPr="00482FF3">
        <w:rPr>
          <w:rFonts w:ascii="Verdana" w:eastAsia="Μοντέρνα" w:hAnsi="Verdana" w:cs="Times New Roman"/>
          <w:sz w:val="20"/>
          <w:szCs w:val="20"/>
          <w:lang w:eastAsia="bg-BG"/>
        </w:rPr>
        <w:t>%,</w:t>
      </w:r>
      <w:r w:rsidRPr="00E01BD7">
        <w:rPr>
          <w:rFonts w:ascii="Verdana" w:eastAsia="Μοντέρνα" w:hAnsi="Verdana" w:cs="Times New Roman"/>
          <w:sz w:val="20"/>
          <w:szCs w:val="20"/>
          <w:lang w:eastAsia="bg-BG"/>
        </w:rPr>
        <w:t xml:space="preserve"> </w:t>
      </w:r>
      <w:r w:rsidRPr="00D43415">
        <w:rPr>
          <w:rFonts w:ascii="Verdana" w:eastAsia="Μοντέρνα" w:hAnsi="Verdana" w:cs="Times New Roman"/>
          <w:sz w:val="20"/>
          <w:szCs w:val="20"/>
          <w:lang w:eastAsia="bg-BG"/>
        </w:rPr>
        <w:t>въглища - с 2.7%,</w:t>
      </w:r>
      <w:r>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телевизори</w:t>
      </w:r>
      <w:r w:rsidR="00297C89">
        <w:rPr>
          <w:rFonts w:ascii="Verdana" w:eastAsia="Μοντέρνα" w:hAnsi="Verdana" w:cs="Times New Roman"/>
          <w:sz w:val="20"/>
          <w:szCs w:val="20"/>
          <w:lang w:eastAsia="bg-BG"/>
        </w:rPr>
        <w:t> </w:t>
      </w:r>
      <w:r w:rsidRPr="00D4491C">
        <w:rPr>
          <w:rFonts w:ascii="Verdana" w:eastAsia="Μοντέρνα" w:hAnsi="Verdana" w:cs="Times New Roman"/>
          <w:sz w:val="20"/>
          <w:szCs w:val="20"/>
          <w:lang w:eastAsia="bg-BG"/>
        </w:rPr>
        <w:t>- с 2.7%,</w:t>
      </w:r>
      <w:r w:rsidRPr="00E01BD7">
        <w:rPr>
          <w:rFonts w:ascii="Verdana" w:eastAsia="Μοντέρνα" w:hAnsi="Verdana" w:cs="Times New Roman"/>
          <w:sz w:val="20"/>
          <w:szCs w:val="20"/>
          <w:lang w:eastAsia="bg-BG"/>
        </w:rPr>
        <w:t xml:space="preserve"> </w:t>
      </w:r>
      <w:r w:rsidRPr="00482FF3">
        <w:rPr>
          <w:rFonts w:ascii="Verdana" w:eastAsia="Μοντέρνα" w:hAnsi="Verdana" w:cs="Times New Roman"/>
          <w:sz w:val="20"/>
          <w:szCs w:val="20"/>
          <w:lang w:eastAsia="bg-BG"/>
        </w:rPr>
        <w:t>перални и съдомиялни машини - с 2.5%,</w:t>
      </w:r>
      <w:r w:rsidRPr="00E01BD7">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препарати за почистване на съдове</w:t>
      </w:r>
      <w:r w:rsidR="00297C89">
        <w:rPr>
          <w:rFonts w:ascii="Verdana" w:eastAsia="Μοντέρνα" w:hAnsi="Verdana" w:cs="Times New Roman"/>
          <w:sz w:val="20"/>
          <w:szCs w:val="20"/>
          <w:lang w:eastAsia="bg-BG"/>
        </w:rPr>
        <w:t> </w:t>
      </w:r>
      <w:r w:rsidRPr="00D4491C">
        <w:rPr>
          <w:rFonts w:ascii="Verdana" w:eastAsia="Μοντέρνα" w:hAnsi="Verdana" w:cs="Times New Roman"/>
          <w:sz w:val="20"/>
          <w:szCs w:val="20"/>
          <w:lang w:eastAsia="bg-BG"/>
        </w:rPr>
        <w:t>- с 2.4%,</w:t>
      </w:r>
      <w:r w:rsidRPr="00E01BD7">
        <w:rPr>
          <w:rFonts w:ascii="Verdana" w:eastAsia="Μοντέρνα" w:hAnsi="Verdana" w:cs="Times New Roman"/>
          <w:sz w:val="20"/>
          <w:szCs w:val="20"/>
          <w:lang w:eastAsia="bg-BG"/>
        </w:rPr>
        <w:t xml:space="preserve"> </w:t>
      </w:r>
      <w:r w:rsidRPr="00482FF3">
        <w:rPr>
          <w:rFonts w:ascii="Verdana" w:eastAsia="Μοντέρνα" w:hAnsi="Verdana" w:cs="Times New Roman"/>
          <w:sz w:val="20"/>
          <w:szCs w:val="20"/>
          <w:lang w:eastAsia="bg-BG"/>
        </w:rPr>
        <w:t xml:space="preserve">готварски </w:t>
      </w:r>
      <w:r w:rsidRPr="00D4491C">
        <w:rPr>
          <w:rFonts w:ascii="Verdana" w:eastAsia="Μοντέρνα" w:hAnsi="Verdana" w:cs="Times New Roman"/>
          <w:sz w:val="20"/>
          <w:szCs w:val="20"/>
          <w:lang w:eastAsia="bg-BG"/>
        </w:rPr>
        <w:t>печки - с 2.0%,</w:t>
      </w:r>
      <w:r w:rsidRPr="00E01BD7">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климатични инсталации - с 1.6%,</w:t>
      </w:r>
      <w:r w:rsidRPr="00D43415">
        <w:rPr>
          <w:rFonts w:ascii="Verdana" w:eastAsia="Μοντέρνα" w:hAnsi="Verdana" w:cs="Times New Roman"/>
          <w:sz w:val="20"/>
          <w:szCs w:val="20"/>
          <w:lang w:eastAsia="bg-BG"/>
        </w:rPr>
        <w:t xml:space="preserve"> облекло - с 1.5%,</w:t>
      </w:r>
      <w:r w:rsidRPr="00E01BD7">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хладилници - с 1</w:t>
      </w:r>
      <w:r w:rsidRPr="00482FF3">
        <w:rPr>
          <w:rFonts w:ascii="Verdana" w:eastAsia="Μοντέρνα" w:hAnsi="Verdana" w:cs="Times New Roman"/>
          <w:sz w:val="20"/>
          <w:szCs w:val="20"/>
          <w:lang w:eastAsia="bg-BG"/>
        </w:rPr>
        <w:t>.5%,</w:t>
      </w:r>
      <w:r w:rsidRPr="00E01BD7">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 xml:space="preserve">прахосмукачки - с 1.4%, </w:t>
      </w:r>
      <w:r w:rsidRPr="00D43415">
        <w:rPr>
          <w:rFonts w:ascii="Verdana" w:eastAsia="Μοντέρνα" w:hAnsi="Verdana" w:cs="Times New Roman"/>
          <w:sz w:val="20"/>
          <w:szCs w:val="20"/>
          <w:lang w:eastAsia="bg-BG"/>
        </w:rPr>
        <w:t>обувки - с 1.1%,</w:t>
      </w:r>
      <w:r w:rsidRPr="00E01BD7">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гуми за автомобили и велосипеди - с 0.6%,</w:t>
      </w:r>
      <w:r w:rsidRPr="00E01BD7">
        <w:rPr>
          <w:rFonts w:ascii="Verdana" w:eastAsia="Μοντέρνα" w:hAnsi="Verdana" w:cs="Times New Roman"/>
          <w:sz w:val="20"/>
          <w:szCs w:val="20"/>
          <w:lang w:eastAsia="bg-BG"/>
        </w:rPr>
        <w:t xml:space="preserve"> </w:t>
      </w:r>
      <w:r w:rsidRPr="00D4491C">
        <w:rPr>
          <w:rFonts w:ascii="Verdana" w:eastAsia="Μοντέρνα" w:hAnsi="Verdana" w:cs="Times New Roman"/>
          <w:sz w:val="20"/>
          <w:szCs w:val="20"/>
          <w:lang w:eastAsia="bg-BG"/>
        </w:rPr>
        <w:t>продукти за лична хигиена - с 0.6%,</w:t>
      </w:r>
      <w:r>
        <w:rPr>
          <w:rFonts w:ascii="Verdana" w:eastAsia="Μοντέρνα" w:hAnsi="Verdana" w:cs="Times New Roman"/>
          <w:sz w:val="20"/>
          <w:szCs w:val="20"/>
          <w:lang w:eastAsia="bg-BG"/>
        </w:rPr>
        <w:t xml:space="preserve"> </w:t>
      </w:r>
      <w:r w:rsidRPr="00D43415">
        <w:rPr>
          <w:rFonts w:ascii="Verdana" w:eastAsia="Μοντέρνα" w:hAnsi="Verdana" w:cs="Times New Roman"/>
          <w:sz w:val="20"/>
          <w:szCs w:val="20"/>
          <w:lang w:eastAsia="bg-BG"/>
        </w:rPr>
        <w:t xml:space="preserve">пелети - с 0.4%, </w:t>
      </w:r>
      <w:r w:rsidRPr="00D4491C">
        <w:rPr>
          <w:rFonts w:ascii="Verdana" w:eastAsia="Μοντέρνα" w:hAnsi="Verdana" w:cs="Times New Roman"/>
          <w:sz w:val="20"/>
          <w:szCs w:val="20"/>
          <w:lang w:eastAsia="bg-BG"/>
        </w:rPr>
        <w:t>бойлери - с 0.2%, хотели във ваканционни центрове и курорти - с 0.1%, и други.</w:t>
      </w:r>
    </w:p>
    <w:p w14:paraId="4C8482DD" w14:textId="77777777" w:rsidR="00BC4C62" w:rsidRPr="003F700D" w:rsidRDefault="00BC4C62" w:rsidP="00BC4C62">
      <w:pPr>
        <w:tabs>
          <w:tab w:val="left" w:pos="3123"/>
        </w:tabs>
        <w:spacing w:line="360" w:lineRule="auto"/>
        <w:ind w:firstLine="567"/>
        <w:jc w:val="both"/>
        <w:rPr>
          <w:rFonts w:ascii="Verdana" w:eastAsia="Μοντέρνα" w:hAnsi="Verdana" w:cs="Times New Roman"/>
          <w:sz w:val="20"/>
          <w:szCs w:val="20"/>
          <w:lang w:eastAsia="bg-BG"/>
        </w:rPr>
      </w:pPr>
      <w:r w:rsidRPr="00D4491C">
        <w:rPr>
          <w:rFonts w:ascii="Verdana" w:eastAsia="Μοντέρνα" w:hAnsi="Verdana" w:cs="Times New Roman"/>
          <w:sz w:val="20"/>
          <w:szCs w:val="20"/>
          <w:lang w:eastAsia="bg-BG"/>
        </w:rPr>
        <w:t>Регистрирано е увеличение на цените на лекарствените продукти</w:t>
      </w:r>
      <w:r w:rsidRPr="00D4491C">
        <w:rPr>
          <w:rFonts w:ascii="Verdana" w:eastAsia="Μοντέρνα" w:hAnsi="Verdana" w:cs="Times New Roman"/>
          <w:sz w:val="20"/>
          <w:szCs w:val="20"/>
          <w:lang w:val="en-US" w:eastAsia="bg-BG"/>
        </w:rPr>
        <w:t xml:space="preserve"> </w:t>
      </w:r>
      <w:r w:rsidRPr="00D4491C">
        <w:rPr>
          <w:rFonts w:ascii="Verdana" w:eastAsia="Μοντέρνα" w:hAnsi="Verdana" w:cs="Times New Roman"/>
          <w:sz w:val="20"/>
          <w:szCs w:val="20"/>
          <w:lang w:eastAsia="bg-BG"/>
        </w:rPr>
        <w:t>с 0.3%. Лекарските и стоматологичните услуги са се увеличили съответно с 0.1% и 0.5%.</w:t>
      </w:r>
    </w:p>
    <w:p w14:paraId="066B47DA" w14:textId="77777777" w:rsidR="00AF4F13" w:rsidRPr="003F700D"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Хармонизиран индекс на потребителските цени</w:t>
      </w:r>
      <w:r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b/>
          <w:sz w:val="20"/>
          <w:szCs w:val="20"/>
          <w:lang w:eastAsia="bg-BG"/>
        </w:rPr>
        <w:t>(ХИПЦ)</w:t>
      </w:r>
    </w:p>
    <w:p w14:paraId="5CB02CBE" w14:textId="3DE4DB6F" w:rsidR="00AF4F13" w:rsidRPr="003F700D"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052809">
        <w:rPr>
          <w:rFonts w:ascii="Verdana" w:eastAsia="Μοντέρνα" w:hAnsi="Verdana" w:cs="Times New Roman"/>
          <w:sz w:val="20"/>
          <w:szCs w:val="20"/>
          <w:lang w:eastAsia="bg-BG"/>
        </w:rPr>
        <w:t>ноември</w:t>
      </w:r>
      <w:r w:rsidR="00FE7CC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00C56474" w:rsidRPr="003F700D">
        <w:rPr>
          <w:rFonts w:ascii="Verdana" w:eastAsia="Μοντέρνα" w:hAnsi="Verdana" w:cs="Times New Roman"/>
          <w:sz w:val="20"/>
          <w:szCs w:val="20"/>
          <w:lang w:eastAsia="bg-BG"/>
        </w:rPr>
        <w:t xml:space="preserve"> е </w:t>
      </w:r>
      <w:r w:rsidR="00184625">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052809">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052809">
        <w:rPr>
          <w:rFonts w:ascii="Verdana" w:eastAsia="Μοντέρνα" w:hAnsi="Verdana" w:cs="Times New Roman"/>
          <w:sz w:val="20"/>
          <w:szCs w:val="20"/>
          <w:lang w:eastAsia="bg-BG"/>
        </w:rPr>
        <w:t>ноември</w:t>
      </w:r>
      <w:r w:rsidR="00052809"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052809">
        <w:rPr>
          <w:rFonts w:ascii="Verdana" w:eastAsia="Μοντέρνα" w:hAnsi="Verdana" w:cs="Times New Roman"/>
          <w:sz w:val="20"/>
          <w:szCs w:val="20"/>
          <w:lang w:eastAsia="bg-BG"/>
        </w:rPr>
        <w:t>ноември</w:t>
      </w:r>
      <w:r w:rsidR="00052809"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184625">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184625">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vertAlign w:val="superscript"/>
          <w:lang w:eastAsia="bg-BG"/>
        </w:rPr>
        <w:footnoteReference w:id="2"/>
      </w:r>
      <w:r w:rsidRPr="003F700D">
        <w:rPr>
          <w:rFonts w:ascii="Verdana" w:eastAsia="Μοντέρνα" w:hAnsi="Verdana" w:cs="Times New Roman"/>
          <w:sz w:val="20"/>
          <w:szCs w:val="20"/>
          <w:lang w:eastAsia="bg-BG"/>
        </w:rPr>
        <w:t>.</w:t>
      </w:r>
    </w:p>
    <w:p w14:paraId="391BAF38" w14:textId="79A6DEAC" w:rsidR="00FE7CCC" w:rsidRPr="003F700D" w:rsidRDefault="00FE7CCC" w:rsidP="00FE7CCC">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EA77AC">
        <w:rPr>
          <w:rFonts w:ascii="Verdana" w:eastAsia="Μοντέρνα" w:hAnsi="Verdana" w:cs="Times New Roman"/>
          <w:sz w:val="20"/>
          <w:szCs w:val="20"/>
          <w:lang w:eastAsia="bg-BG"/>
        </w:rPr>
        <w:t>ноември</w:t>
      </w:r>
      <w:r w:rsidR="00EA77A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563273">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EA77AC">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 xml:space="preserve">%, а средногодишната инфлация за периода </w:t>
      </w:r>
      <w:r w:rsidR="00EA77AC" w:rsidRPr="003F700D">
        <w:rPr>
          <w:rFonts w:ascii="Verdana" w:eastAsia="Μοντέρνα" w:hAnsi="Verdana" w:cs="Times New Roman"/>
          <w:sz w:val="20"/>
          <w:szCs w:val="20"/>
          <w:lang w:eastAsia="bg-BG"/>
        </w:rPr>
        <w:t xml:space="preserve">декември </w:t>
      </w:r>
      <w:r w:rsidRPr="003F700D">
        <w:rPr>
          <w:rFonts w:ascii="Verdana" w:eastAsia="Μοντέρνα" w:hAnsi="Verdana" w:cs="Times New Roman"/>
          <w:sz w:val="20"/>
          <w:szCs w:val="20"/>
          <w:lang w:eastAsia="bg-BG"/>
        </w:rPr>
        <w:t xml:space="preserve">2023 - </w:t>
      </w:r>
      <w:r w:rsidR="00EA77AC">
        <w:rPr>
          <w:rFonts w:ascii="Verdana" w:eastAsia="Μοντέρνα" w:hAnsi="Verdana" w:cs="Times New Roman"/>
          <w:sz w:val="20"/>
          <w:szCs w:val="20"/>
          <w:lang w:eastAsia="bg-BG"/>
        </w:rPr>
        <w:t>ноември</w:t>
      </w:r>
      <w:r w:rsidR="00EA77A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периода </w:t>
      </w:r>
      <w:r w:rsidR="00EA77AC" w:rsidRPr="003F700D">
        <w:rPr>
          <w:rFonts w:ascii="Verdana" w:eastAsia="Μοντέρνα" w:hAnsi="Verdana" w:cs="Times New Roman"/>
          <w:sz w:val="20"/>
          <w:szCs w:val="20"/>
          <w:lang w:eastAsia="bg-BG"/>
        </w:rPr>
        <w:t xml:space="preserve">декември </w:t>
      </w:r>
      <w:r w:rsidRPr="003F700D">
        <w:rPr>
          <w:rFonts w:ascii="Verdana" w:eastAsia="Μοντέρνα" w:hAnsi="Verdana" w:cs="Times New Roman"/>
          <w:sz w:val="20"/>
          <w:szCs w:val="20"/>
          <w:lang w:eastAsia="bg-BG"/>
        </w:rPr>
        <w:t xml:space="preserve">2022 - </w:t>
      </w:r>
      <w:r w:rsidR="00EA77AC">
        <w:rPr>
          <w:rFonts w:ascii="Verdana" w:eastAsia="Μοντέρνα" w:hAnsi="Verdana" w:cs="Times New Roman"/>
          <w:sz w:val="20"/>
          <w:szCs w:val="20"/>
          <w:lang w:eastAsia="bg-BG"/>
        </w:rPr>
        <w:t>ноември</w:t>
      </w:r>
      <w:r w:rsidR="00EA77A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F94A2C">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F94A2C">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p>
    <w:p w14:paraId="0364FB88" w14:textId="77777777" w:rsidR="00AF4F13" w:rsidRPr="003F700D" w:rsidRDefault="00AF4F13" w:rsidP="00CA73A8">
      <w:pPr>
        <w:keepNext/>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Фиг. 2. Инфлация, измерена чрез ХИПЦ, по месеци</w:t>
      </w:r>
      <w:r w:rsidR="00237F94" w:rsidRPr="003F700D">
        <w:rPr>
          <w:rFonts w:ascii="Verdana" w:eastAsia="Μοντέρνα" w:hAnsi="Verdana" w:cs="Times New Roman"/>
          <w:b/>
          <w:sz w:val="20"/>
          <w:szCs w:val="20"/>
          <w:lang w:eastAsia="bg-BG"/>
        </w:rPr>
        <w:t> </w:t>
      </w:r>
    </w:p>
    <w:p w14:paraId="19D159F2" w14:textId="58DF87BA" w:rsidR="002931C3" w:rsidRPr="00A44D28" w:rsidRDefault="00575FDA" w:rsidP="00A44D28">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1266C4DD" wp14:editId="36F91BCA">
            <wp:extent cx="4962525" cy="31432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3BECDA" w14:textId="5312F86D" w:rsidR="00AF4F13" w:rsidRPr="003F700D"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24FA4276" w14:textId="7FDDCE5D" w:rsidR="00AF4F13" w:rsidRPr="003F700D" w:rsidRDefault="00AF4F13" w:rsidP="00A96362">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ХИПЦ през </w:t>
      </w:r>
      <w:r w:rsidR="007D0929">
        <w:rPr>
          <w:rFonts w:ascii="Verdana" w:eastAsia="Μοντέρνα" w:hAnsi="Verdana" w:cs="Times New Roman"/>
          <w:sz w:val="20"/>
          <w:szCs w:val="20"/>
          <w:lang w:eastAsia="bg-BG"/>
        </w:rPr>
        <w:t>ноември</w:t>
      </w:r>
      <w:r w:rsidR="00221FF5"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2024 г. цените на стоките и услугите са</w:t>
      </w:r>
      <w:r w:rsidR="00221FF5">
        <w:rPr>
          <w:rFonts w:ascii="Verdana" w:eastAsia="Μοντέρνα" w:hAnsi="Verdana" w:cs="Times New Roman"/>
          <w:sz w:val="20"/>
          <w:szCs w:val="20"/>
          <w:lang w:eastAsia="bg-BG"/>
        </w:rPr>
        <w:t xml:space="preserve"> се увеличили</w:t>
      </w:r>
      <w:r w:rsidR="00D025F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374F94B4" w14:textId="00B29640" w:rsidR="007D0929" w:rsidRPr="003F700D" w:rsidRDefault="007D0929" w:rsidP="007D092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и безалкохолни напитки“ -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50A2FEB1" w14:textId="457BE6F4" w:rsidR="007D0929" w:rsidRPr="003F700D" w:rsidRDefault="007D0929" w:rsidP="007D092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w:t>
      </w:r>
      <w:r>
        <w:rPr>
          <w:rFonts w:ascii="Verdana" w:eastAsia="Μοντέρνα" w:hAnsi="Verdana" w:cs="Times New Roman"/>
          <w:sz w:val="20"/>
          <w:szCs w:val="20"/>
          <w:lang w:eastAsia="bg-BG"/>
        </w:rPr>
        <w:t>неви изделия“ - увеличение с 0.7</w:t>
      </w:r>
      <w:r w:rsidRPr="003F700D">
        <w:rPr>
          <w:rFonts w:ascii="Verdana" w:eastAsia="Μοντέρνα" w:hAnsi="Verdana" w:cs="Times New Roman"/>
          <w:sz w:val="20"/>
          <w:szCs w:val="20"/>
          <w:lang w:eastAsia="bg-BG"/>
        </w:rPr>
        <w:t>%;</w:t>
      </w:r>
    </w:p>
    <w:p w14:paraId="4FD15717" w14:textId="081205CF" w:rsidR="007D0929" w:rsidRPr="003F700D" w:rsidRDefault="007D0929" w:rsidP="007D092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w:t>
      </w:r>
      <w:r>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 с 0.4%</w:t>
      </w:r>
      <w:r w:rsidRPr="003F700D">
        <w:rPr>
          <w:rFonts w:ascii="Verdana" w:eastAsia="Μοντέρνα" w:hAnsi="Verdana" w:cs="Times New Roman"/>
          <w:sz w:val="20"/>
          <w:szCs w:val="20"/>
          <w:lang w:eastAsia="bg-BG"/>
        </w:rPr>
        <w:t>;</w:t>
      </w:r>
    </w:p>
    <w:p w14:paraId="0C25F3F9" w14:textId="79504687" w:rsidR="007D0929" w:rsidRDefault="007D0929" w:rsidP="007D092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„Ресторанти и хотели“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7602C338" w14:textId="16581E61" w:rsidR="007D0929" w:rsidRPr="0005074F" w:rsidRDefault="007D0929" w:rsidP="007D092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„Образование“ - увеличение с </w:t>
      </w:r>
      <w:r w:rsidR="00DE17C8">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DE17C8">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464C2BC4" w14:textId="77777777" w:rsidR="00E16373" w:rsidRPr="00BD7807" w:rsidRDefault="00E16373" w:rsidP="00E16373">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w:t>
      </w:r>
      <w:r>
        <w:rPr>
          <w:rFonts w:ascii="Verdana" w:eastAsia="Μοντέρνα" w:hAnsi="Verdana" w:cs="Times New Roman"/>
          <w:sz w:val="20"/>
          <w:szCs w:val="20"/>
          <w:lang w:eastAsia="bg-BG"/>
        </w:rPr>
        <w:t xml:space="preserve"> - увеличение с 0.2</w:t>
      </w:r>
      <w:r w:rsidRPr="003F700D">
        <w:rPr>
          <w:rFonts w:ascii="Verdana" w:eastAsia="Μοντέρνα" w:hAnsi="Verdana" w:cs="Times New Roman"/>
          <w:sz w:val="20"/>
          <w:szCs w:val="20"/>
          <w:lang w:eastAsia="bg-BG"/>
        </w:rPr>
        <w:t>%;</w:t>
      </w:r>
    </w:p>
    <w:p w14:paraId="20AB8DA2" w14:textId="1D82E780" w:rsidR="00AB65E4" w:rsidRPr="003F700D" w:rsidRDefault="00AB65E4" w:rsidP="00AB65E4">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„Транспорт“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Pr>
          <w:rFonts w:ascii="Verdana" w:eastAsia="Μοντέρνα" w:hAnsi="Verdana" w:cs="Times New Roman"/>
          <w:sz w:val="20"/>
          <w:szCs w:val="20"/>
          <w:lang w:val="en-US" w:eastAsia="bg-BG"/>
        </w:rPr>
        <w:t>;</w:t>
      </w:r>
    </w:p>
    <w:p w14:paraId="3C4142DD" w14:textId="4C6DDA77" w:rsidR="005B13BD" w:rsidRPr="005B13BD" w:rsidRDefault="005B13BD" w:rsidP="005B13BD">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lastRenderedPageBreak/>
        <w:t xml:space="preserve">„Развлечения и култура“ - </w:t>
      </w:r>
      <w:r>
        <w:rPr>
          <w:rFonts w:ascii="Verdana" w:eastAsia="Μοντέρνα" w:hAnsi="Verdana" w:cs="Times New Roman"/>
          <w:sz w:val="20"/>
          <w:szCs w:val="20"/>
          <w:lang w:eastAsia="bg-BG"/>
        </w:rPr>
        <w:t>увеличение с 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p>
    <w:p w14:paraId="03CFE8E4" w14:textId="668D624B" w:rsidR="007D0929" w:rsidRPr="00AB65E4" w:rsidRDefault="00AB65E4" w:rsidP="00A96362">
      <w:pPr>
        <w:tabs>
          <w:tab w:val="left" w:pos="3123"/>
        </w:tabs>
        <w:spacing w:line="360" w:lineRule="auto"/>
        <w:ind w:firstLine="567"/>
        <w:jc w:val="both"/>
        <w:rPr>
          <w:rFonts w:ascii="Verdana" w:eastAsia="Μοντέρνα" w:hAnsi="Verdana" w:cs="Times New Roman"/>
          <w:sz w:val="20"/>
          <w:szCs w:val="20"/>
          <w:lang w:eastAsia="bg-BG"/>
        </w:rPr>
      </w:pPr>
      <w:r w:rsidRPr="00BD7807">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ниски</w:t>
      </w:r>
      <w:r w:rsidRPr="00BD7807">
        <w:rPr>
          <w:rFonts w:ascii="Verdana" w:eastAsia="Μοντέρνα" w:hAnsi="Verdana" w:cs="Times New Roman"/>
          <w:sz w:val="20"/>
          <w:szCs w:val="20"/>
          <w:lang w:eastAsia="bg-BG"/>
        </w:rPr>
        <w:t xml:space="preserve"> са цените на стоките и услугите в следните потребителски групи:</w:t>
      </w:r>
    </w:p>
    <w:p w14:paraId="3E7B9F9A" w14:textId="14B503B6" w:rsidR="000A7912" w:rsidRPr="003F700D" w:rsidRDefault="000A7912" w:rsidP="000A791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w:t>
      </w:r>
      <w:r>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sidR="00AB65E4">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sidR="00AB65E4">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AB65E4">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1E60B429" w14:textId="7354942F" w:rsidR="005B13BD" w:rsidRPr="005B13BD" w:rsidRDefault="005B13BD" w:rsidP="005B13BD">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намаление с </w:t>
      </w:r>
      <w:r>
        <w:rPr>
          <w:rFonts w:ascii="Verdana" w:eastAsia="Μοντέρνα" w:hAnsi="Verdana" w:cs="Times New Roman"/>
          <w:sz w:val="20"/>
          <w:szCs w:val="20"/>
          <w:lang w:val="en-US"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Pr>
          <w:rFonts w:ascii="Verdana" w:eastAsia="Μοντέρνα" w:hAnsi="Verdana" w:cs="Times New Roman"/>
          <w:sz w:val="20"/>
          <w:szCs w:val="20"/>
          <w:lang w:val="en-US" w:eastAsia="bg-BG"/>
        </w:rPr>
        <w:t>;</w:t>
      </w:r>
    </w:p>
    <w:p w14:paraId="6E17A739" w14:textId="4139B42A" w:rsidR="005B13BD" w:rsidRPr="005B13BD" w:rsidRDefault="005B13BD" w:rsidP="005B13BD">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„Жилища, вода, електроенергия, газ и други горива“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51194A54" w14:textId="5900D413" w:rsidR="00BD7807" w:rsidRPr="00BD7807" w:rsidRDefault="005B13BD" w:rsidP="00A96362">
      <w:pPr>
        <w:tabs>
          <w:tab w:val="left" w:pos="3123"/>
        </w:tabs>
        <w:spacing w:line="360" w:lineRule="auto"/>
        <w:ind w:firstLine="567"/>
        <w:jc w:val="both"/>
        <w:rPr>
          <w:rFonts w:ascii="Verdana" w:eastAsia="Μοντέρνα" w:hAnsi="Verdana" w:cs="Times New Roman"/>
          <w:sz w:val="20"/>
          <w:szCs w:val="20"/>
          <w:lang w:eastAsia="bg-BG"/>
        </w:rPr>
      </w:pPr>
      <w:r w:rsidRPr="005B13BD">
        <w:rPr>
          <w:rFonts w:ascii="Verdana" w:eastAsia="Μοντέρνα" w:hAnsi="Verdana" w:cs="Times New Roman"/>
          <w:sz w:val="20"/>
          <w:szCs w:val="20"/>
          <w:lang w:eastAsia="bg-BG"/>
        </w:rPr>
        <w:t>Без промяна остават цените на стоките и услугите в груп</w:t>
      </w:r>
      <w:r>
        <w:rPr>
          <w:rFonts w:ascii="Verdana" w:eastAsia="Μοντέρνα" w:hAnsi="Verdana" w:cs="Times New Roman"/>
          <w:sz w:val="20"/>
          <w:szCs w:val="20"/>
          <w:lang w:eastAsia="bg-BG"/>
        </w:rPr>
        <w:t>а</w:t>
      </w:r>
      <w:r w:rsidRPr="005B13B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„Разнообразни ст</w:t>
      </w:r>
      <w:r>
        <w:rPr>
          <w:rFonts w:ascii="Verdana" w:eastAsia="Μοντέρνα" w:hAnsi="Verdana" w:cs="Times New Roman"/>
          <w:sz w:val="20"/>
          <w:szCs w:val="20"/>
          <w:lang w:eastAsia="bg-BG"/>
        </w:rPr>
        <w:t>оки и услуги“</w:t>
      </w:r>
      <w:r w:rsidRPr="005B13BD">
        <w:rPr>
          <w:rFonts w:ascii="Verdana" w:eastAsia="Μοντέρνα" w:hAnsi="Verdana" w:cs="Times New Roman"/>
          <w:sz w:val="20"/>
          <w:szCs w:val="20"/>
          <w:lang w:eastAsia="bg-BG"/>
        </w:rPr>
        <w:t xml:space="preserve">. </w:t>
      </w:r>
    </w:p>
    <w:p w14:paraId="1EAEDA9C" w14:textId="12569B39" w:rsidR="00AF4F13" w:rsidRPr="003F700D" w:rsidRDefault="00AF4F13" w:rsidP="0007132A">
      <w:pPr>
        <w:keepNext/>
        <w:tabs>
          <w:tab w:val="left" w:pos="3123"/>
        </w:tabs>
        <w:spacing w:before="160" w:after="160" w:line="360" w:lineRule="auto"/>
        <w:ind w:firstLine="567"/>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цените за малката кошница (ИЦМК)</w:t>
      </w:r>
    </w:p>
    <w:p w14:paraId="2F0198EB" w14:textId="1ED358E4" w:rsidR="00AD4F16" w:rsidRPr="003F700D" w:rsidRDefault="00AD4F16" w:rsidP="00AD4F16">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w:t>
      </w:r>
      <w:r w:rsidRPr="003F700D">
        <w:rPr>
          <w:rFonts w:ascii="Verdana" w:eastAsia="Μοντέρνα" w:hAnsi="Verdana" w:cs="Times New Roman"/>
          <w:b/>
          <w:sz w:val="20"/>
          <w:szCs w:val="20"/>
          <w:lang w:eastAsia="bg-BG"/>
        </w:rPr>
        <w:t>индекса на цените за малката кошница</w:t>
      </w:r>
      <w:r w:rsidRPr="003F700D">
        <w:rPr>
          <w:rFonts w:ascii="Verdana" w:eastAsia="Μοντέρνα" w:hAnsi="Verdana" w:cs="Times New Roman"/>
          <w:sz w:val="20"/>
          <w:szCs w:val="20"/>
          <w:lang w:eastAsia="bg-BG"/>
        </w:rPr>
        <w:t xml:space="preserve"> през </w:t>
      </w:r>
      <w:r w:rsidR="005B13BD">
        <w:rPr>
          <w:rFonts w:ascii="Verdana" w:eastAsia="Μοντέρνα" w:hAnsi="Verdana" w:cs="Times New Roman"/>
          <w:sz w:val="20"/>
          <w:szCs w:val="20"/>
          <w:lang w:eastAsia="bg-BG"/>
        </w:rPr>
        <w:t>ноември</w:t>
      </w:r>
      <w:r w:rsidRPr="003F700D">
        <w:rPr>
          <w:rFonts w:ascii="Verdana" w:eastAsia="Μοντέρνα" w:hAnsi="Verdana" w:cs="Times New Roman"/>
          <w:sz w:val="20"/>
          <w:szCs w:val="20"/>
          <w:lang w:eastAsia="bg-BG"/>
        </w:rPr>
        <w:t xml:space="preserve"> 2024 г. е регистрирано увеличение с 0.</w:t>
      </w:r>
      <w:r w:rsidR="005B13BD">
        <w:rPr>
          <w:rFonts w:ascii="Verdana" w:eastAsia="Μοντέρνα" w:hAnsi="Verdana" w:cs="Times New Roman"/>
          <w:sz w:val="20"/>
          <w:szCs w:val="20"/>
          <w:lang w:eastAsia="bg-BG"/>
        </w:rPr>
        <w:t>9</w:t>
      </w:r>
      <w:r w:rsidRPr="003F700D">
        <w:rPr>
          <w:rFonts w:ascii="Verdana" w:eastAsia="Μοντέρνα" w:hAnsi="Verdana" w:cs="Times New Roman"/>
          <w:sz w:val="20"/>
          <w:szCs w:val="20"/>
          <w:lang w:eastAsia="bg-BG"/>
        </w:rPr>
        <w:t xml:space="preserve">% на месечна база и увеличение с </w:t>
      </w:r>
      <w:r w:rsidR="005B13BD">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 от началото на годината</w:t>
      </w:r>
      <w:r w:rsidRPr="003F700D">
        <w:rPr>
          <w:rFonts w:ascii="Verdana" w:eastAsia="Μοντέρνα" w:hAnsi="Verdana" w:cs="Times New Roman"/>
          <w:sz w:val="20"/>
          <w:szCs w:val="20"/>
          <w:vertAlign w:val="superscript"/>
          <w:lang w:eastAsia="bg-BG"/>
        </w:rPr>
        <w:footnoteReference w:id="3"/>
      </w:r>
      <w:r w:rsidRPr="003F700D">
        <w:rPr>
          <w:rFonts w:ascii="Verdana" w:eastAsia="Μοντέρνα" w:hAnsi="Verdana" w:cs="Times New Roman"/>
          <w:sz w:val="20"/>
          <w:szCs w:val="20"/>
          <w:lang w:eastAsia="bg-BG"/>
        </w:rPr>
        <w:t>.</w:t>
      </w:r>
    </w:p>
    <w:p w14:paraId="286EF9D0" w14:textId="77777777" w:rsidR="00AF4F13" w:rsidRPr="003F700D"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16C0F21A" w14:textId="6BE05BF6" w:rsidR="005B13BD" w:rsidRDefault="005B13BD" w:rsidP="005B13BD">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1F049638" w14:textId="0C9C2176" w:rsidR="005B13BD" w:rsidRPr="005B13BD" w:rsidRDefault="005B13BD" w:rsidP="005B13BD">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нехранителни стоки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с 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1E8747C5" w14:textId="60E1E7E0" w:rsidR="00E90EB5" w:rsidRPr="003F700D" w:rsidRDefault="00E90EB5" w:rsidP="00E90EB5">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услуги</w:t>
      </w:r>
      <w:r w:rsidRPr="003F700D">
        <w:rPr>
          <w:rFonts w:ascii="Verdana" w:eastAsia="Μοντέρνα" w:hAnsi="Verdana" w:cs="Times New Roman"/>
          <w:sz w:val="20"/>
          <w:szCs w:val="20"/>
          <w:lang w:eastAsia="bg-BG"/>
        </w:rPr>
        <w:t xml:space="preserve"> - </w:t>
      </w:r>
      <w:r w:rsidR="005B13BD">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sidR="005B13BD">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5B13B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5B13BD">
        <w:rPr>
          <w:rFonts w:ascii="Verdana" w:eastAsia="Μοντέρνα" w:hAnsi="Verdana" w:cs="Times New Roman"/>
          <w:sz w:val="20"/>
          <w:szCs w:val="20"/>
          <w:lang w:eastAsia="bg-BG"/>
        </w:rPr>
        <w:t>.</w:t>
      </w:r>
    </w:p>
    <w:p w14:paraId="59FCDE5B" w14:textId="2A356FB1" w:rsidR="00225AD3" w:rsidRPr="003F700D" w:rsidRDefault="00225AD3">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01C6193D" w14:textId="77777777" w:rsidR="002D0367" w:rsidRPr="003F700D" w:rsidRDefault="002D0367" w:rsidP="009B75DB">
      <w:pPr>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Методологични бележки</w:t>
      </w:r>
    </w:p>
    <w:p w14:paraId="27C2D7BC" w14:textId="77777777" w:rsidR="002D0367" w:rsidRPr="00CA1104"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в Република България.</w:t>
      </w:r>
      <w:r w:rsidRPr="00CA110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при структура на разходите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78DAFEF8"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Хармонизираният индекс на потребителските цени</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CA1104">
        <w:rPr>
          <w:rFonts w:ascii="Verdana" w:eastAsia="Μοντέρνα" w:hAnsi="Verdana" w:cs="Times New Roman"/>
          <w:sz w:val="20"/>
          <w:szCs w:val="20"/>
          <w:lang w:eastAsia="bg-BG"/>
        </w:rPr>
        <w:t xml:space="preserve"> ХИПЦ, както и ИПЦ, измерва</w:t>
      </w:r>
      <w:r w:rsidR="00B7782D" w:rsidRPr="00CA1104">
        <w:rPr>
          <w:rFonts w:ascii="Verdana" w:eastAsia="Μοντέρνα" w:hAnsi="Verdana" w:cs="Times New Roman"/>
          <w:sz w:val="20"/>
          <w:szCs w:val="20"/>
          <w:lang w:eastAsia="bg-BG"/>
        </w:rPr>
        <w:t>т</w:t>
      </w:r>
      <w:r w:rsidRPr="00CA1104">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CA1104">
        <w:rPr>
          <w:rFonts w:ascii="Verdana" w:eastAsia="Μοντέρνα" w:hAnsi="Verdana" w:cs="Times New Roman"/>
          <w:sz w:val="20"/>
          <w:szCs w:val="20"/>
          <w:vertAlign w:val="superscript"/>
          <w:lang w:eastAsia="bg-BG"/>
        </w:rPr>
        <w:footnoteReference w:id="4"/>
      </w:r>
      <w:r w:rsidRPr="00CA1104">
        <w:rPr>
          <w:rFonts w:ascii="Verdana" w:eastAsia="Μοντέρνα" w:hAnsi="Verdana" w:cs="Times New Roman"/>
          <w:sz w:val="20"/>
          <w:szCs w:val="20"/>
          <w:lang w:eastAsia="bg-BG"/>
        </w:rPr>
        <w:t>.</w:t>
      </w:r>
    </w:p>
    <w:p w14:paraId="04745F5E" w14:textId="521CC1AC"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В изпълнение на изискванията на Регламент (ЕС) № 2015/2010 </w:t>
      </w:r>
      <w:r w:rsidRPr="00CA1104">
        <w:rPr>
          <w:rFonts w:ascii="Verdana" w:eastAsia="Μοντέρνα" w:hAnsi="Verdana" w:cs="Times New Roman"/>
          <w:b/>
          <w:sz w:val="20"/>
          <w:szCs w:val="20"/>
          <w:lang w:eastAsia="bg-BG"/>
        </w:rPr>
        <w:t>от началото на 2016 г. беше сменена базисната година за ХИПЦ</w:t>
      </w:r>
      <w:r w:rsidRPr="00CA1104">
        <w:rPr>
          <w:rFonts w:ascii="Verdana" w:eastAsia="Μοντέρνα" w:hAnsi="Verdana" w:cs="Times New Roman"/>
          <w:sz w:val="20"/>
          <w:szCs w:val="20"/>
          <w:lang w:eastAsia="bg-BG"/>
        </w:rPr>
        <w:t xml:space="preserve"> и всички индекси се изчисляват и публикуват </w:t>
      </w:r>
      <w:r w:rsidRPr="00CA1104">
        <w:rPr>
          <w:rFonts w:ascii="Verdana" w:eastAsia="Μοντέρνα" w:hAnsi="Verdana" w:cs="Times New Roman"/>
          <w:b/>
          <w:sz w:val="20"/>
          <w:szCs w:val="20"/>
          <w:lang w:eastAsia="bg-BG"/>
        </w:rPr>
        <w:t xml:space="preserve">при база 2015 година. </w:t>
      </w:r>
      <w:r w:rsidRPr="00CA110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CA1104">
          <w:rPr>
            <w:rStyle w:val="Hyperlink"/>
            <w:rFonts w:ascii="Verdana" w:eastAsia="Μοντέρνα" w:hAnsi="Verdana" w:cs="Times New Roman"/>
            <w:sz w:val="20"/>
            <w:szCs w:val="20"/>
            <w:lang w:eastAsia="bg-BG"/>
          </w:rPr>
          <w:t>www.nsi.bg</w:t>
        </w:r>
      </w:hyperlink>
      <w:r w:rsidRPr="00CA1104">
        <w:rPr>
          <w:rFonts w:ascii="Verdana" w:eastAsia="Μοντέρνα" w:hAnsi="Verdana" w:cs="Times New Roman"/>
          <w:sz w:val="20"/>
          <w:szCs w:val="20"/>
          <w:lang w:eastAsia="bg-BG"/>
        </w:rPr>
        <w:t>).</w:t>
      </w:r>
    </w:p>
    <w:p w14:paraId="7F7B4295"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Индексът на цените за малката кошница </w:t>
      </w:r>
      <w:r w:rsidRPr="00CA1104">
        <w:rPr>
          <w:rFonts w:ascii="Verdana" w:eastAsia="Μοντέρνα" w:hAnsi="Verdana" w:cs="Times New Roman"/>
          <w:sz w:val="20"/>
          <w:szCs w:val="20"/>
          <w:lang w:eastAsia="bg-BG"/>
        </w:rPr>
        <w:t xml:space="preserve">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w:t>
      </w:r>
      <w:r w:rsidRPr="00CA1104">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с тегла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36B63921"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Верижните </w:t>
      </w:r>
      <w:r w:rsidRPr="00CA110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CA1104">
        <w:rPr>
          <w:rFonts w:ascii="Verdana" w:eastAsia="Μοντέρνα" w:hAnsi="Verdana" w:cs="Times New Roman"/>
          <w:b/>
          <w:sz w:val="20"/>
          <w:szCs w:val="20"/>
          <w:lang w:eastAsia="bg-BG"/>
        </w:rPr>
        <w:t>месечната инфлация.</w:t>
      </w:r>
    </w:p>
    <w:p w14:paraId="07BA6927"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12-месечните </w:t>
      </w:r>
      <w:r w:rsidRPr="00CA1104">
        <w:rPr>
          <w:rFonts w:ascii="Verdana" w:eastAsia="Μοντέρνα" w:hAnsi="Verdana" w:cs="Times New Roman"/>
          <w:sz w:val="20"/>
          <w:szCs w:val="20"/>
          <w:lang w:eastAsia="bg-BG"/>
        </w:rPr>
        <w:t>индекси на потребителските цени</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CA1104">
        <w:rPr>
          <w:rFonts w:ascii="Verdana" w:eastAsia="Μοντέρνα" w:hAnsi="Verdana" w:cs="Times New Roman"/>
          <w:b/>
          <w:sz w:val="20"/>
          <w:szCs w:val="20"/>
          <w:lang w:eastAsia="bg-BG"/>
        </w:rPr>
        <w:t>годишната инфлация.</w:t>
      </w:r>
    </w:p>
    <w:p w14:paraId="1560BF8F"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Индексите на потребителските цени </w:t>
      </w:r>
      <w:r w:rsidRPr="00CA1104">
        <w:rPr>
          <w:rFonts w:ascii="Verdana" w:eastAsia="Μοντέρνα" w:hAnsi="Verdana" w:cs="Times New Roman"/>
          <w:b/>
          <w:sz w:val="20"/>
          <w:szCs w:val="20"/>
          <w:lang w:eastAsia="bg-BG"/>
        </w:rPr>
        <w:t>с натрупване от началото на годината</w:t>
      </w:r>
      <w:r w:rsidRPr="00CA110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CA1104">
        <w:rPr>
          <w:rFonts w:ascii="Verdana" w:eastAsia="Μοντέρνα" w:hAnsi="Verdana" w:cs="Times New Roman"/>
          <w:b/>
          <w:sz w:val="20"/>
          <w:szCs w:val="20"/>
          <w:lang w:eastAsia="bg-BG"/>
        </w:rPr>
        <w:t xml:space="preserve">натрупаната инфлация от началото на годината. </w:t>
      </w:r>
      <w:r w:rsidRPr="00CA110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Средногодишните </w:t>
      </w:r>
      <w:r w:rsidRPr="00CA110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CA1104">
        <w:rPr>
          <w:rFonts w:ascii="Verdana" w:eastAsia="Μοντέρνα" w:hAnsi="Verdana" w:cs="Times New Roman"/>
          <w:b/>
          <w:sz w:val="20"/>
          <w:szCs w:val="20"/>
          <w:lang w:eastAsia="bg-BG"/>
        </w:rPr>
        <w:t>средногодишната инфлация.</w:t>
      </w:r>
    </w:p>
    <w:p w14:paraId="2F62EF2D" w14:textId="77777777" w:rsidR="002D0367" w:rsidRPr="00CA110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CA1104">
        <w:rPr>
          <w:rFonts w:ascii="Verdana" w:eastAsia="Μοντέρνα" w:hAnsi="Verdana" w:cs="Times New Roman"/>
          <w:b/>
          <w:sz w:val="20"/>
          <w:szCs w:val="20"/>
          <w:lang w:eastAsia="bg-BG"/>
        </w:rPr>
        <w:t xml:space="preserve">Статистическа област: </w:t>
      </w:r>
      <w:r w:rsidRPr="00CA1104">
        <w:rPr>
          <w:rFonts w:ascii="Verdana" w:eastAsia="Μοντέρνα" w:hAnsi="Verdana" w:cs="Times New Roman"/>
          <w:b/>
          <w:bCs/>
          <w:sz w:val="20"/>
          <w:szCs w:val="20"/>
          <w:lang w:eastAsia="bg-BG"/>
        </w:rPr>
        <w:t>Инфлация и индекси на потребителските цени:</w:t>
      </w:r>
    </w:p>
    <w:p w14:paraId="663CAC23" w14:textId="53BA053E" w:rsidR="002D0367" w:rsidRPr="00CA1104" w:rsidRDefault="005A4857"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CA110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CA1104" w:rsidRDefault="002D0367" w:rsidP="00CA73A8">
      <w:pPr>
        <w:keepNext/>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ИС ИНФОСТАТ: Потребителски цени:</w:t>
      </w:r>
    </w:p>
    <w:p w14:paraId="4B30822D" w14:textId="4C36D3C5" w:rsidR="002D0367" w:rsidRPr="00CA1104" w:rsidRDefault="005A4857"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CA110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Метаданни и методология:</w:t>
      </w:r>
    </w:p>
    <w:p w14:paraId="6F9CF7CA" w14:textId="72DD97CC" w:rsidR="002D0367" w:rsidRPr="00CA1104" w:rsidRDefault="005A4857"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CA110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Калкулатори на инфлацията:</w:t>
      </w:r>
    </w:p>
    <w:p w14:paraId="46DE39BE" w14:textId="0F0D565E" w:rsidR="00FD731D" w:rsidRPr="003F700D" w:rsidRDefault="005A4857" w:rsidP="009B75DB">
      <w:pPr>
        <w:tabs>
          <w:tab w:val="left" w:pos="3123"/>
        </w:tabs>
        <w:spacing w:line="360" w:lineRule="auto"/>
        <w:ind w:firstLine="567"/>
        <w:rPr>
          <w:rFonts w:ascii="Verdana" w:eastAsia="Μοντέρνα" w:hAnsi="Verdana" w:cs="Times New Roman"/>
          <w:b/>
          <w:sz w:val="20"/>
          <w:szCs w:val="20"/>
          <w:lang w:eastAsia="bg-BG"/>
        </w:rPr>
        <w:sectPr w:rsidR="00FD731D" w:rsidRPr="003F700D"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CA110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3F700D" w:rsidRDefault="002D0367" w:rsidP="009B75DB">
      <w:pPr>
        <w:tabs>
          <w:tab w:val="left" w:pos="975"/>
        </w:tabs>
        <w:spacing w:before="160"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lastRenderedPageBreak/>
        <w:t>П</w:t>
      </w:r>
      <w:r w:rsidR="00D41713" w:rsidRPr="003F700D">
        <w:rPr>
          <w:rFonts w:ascii="Verdana" w:eastAsia="Calibri" w:hAnsi="Verdana" w:cs="Times New Roman"/>
          <w:b/>
          <w:sz w:val="20"/>
          <w:szCs w:val="20"/>
        </w:rPr>
        <w:t>риложение</w:t>
      </w:r>
    </w:p>
    <w:p w14:paraId="558DCABC" w14:textId="77777777" w:rsidR="002D0367" w:rsidRPr="003F700D"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6"/>
        <w:gridCol w:w="1347"/>
        <w:gridCol w:w="1350"/>
        <w:gridCol w:w="1350"/>
        <w:gridCol w:w="1351"/>
      </w:tblGrid>
      <w:tr w:rsidR="00F463DA" w:rsidRPr="00F463DA" w14:paraId="2A4937F1" w14:textId="77777777" w:rsidTr="00F463DA">
        <w:trPr>
          <w:trHeight w:val="630"/>
          <w:jc w:val="center"/>
        </w:trPr>
        <w:tc>
          <w:tcPr>
            <w:tcW w:w="9260" w:type="dxa"/>
            <w:gridSpan w:val="6"/>
            <w:tcBorders>
              <w:top w:val="nil"/>
              <w:left w:val="nil"/>
              <w:bottom w:val="nil"/>
              <w:right w:val="nil"/>
            </w:tcBorders>
            <w:shd w:val="clear" w:color="auto" w:fill="auto"/>
            <w:vAlign w:val="center"/>
            <w:hideMark/>
          </w:tcPr>
          <w:p w14:paraId="2C469184" w14:textId="77777777" w:rsidR="00F463DA" w:rsidRPr="00F463DA" w:rsidRDefault="00F463DA" w:rsidP="00F463DA">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ноември 2024 година</w:t>
            </w:r>
          </w:p>
        </w:tc>
      </w:tr>
      <w:tr w:rsidR="00F463DA" w:rsidRPr="00F463DA" w14:paraId="48A4174B" w14:textId="77777777" w:rsidTr="00F463DA">
        <w:trPr>
          <w:trHeight w:val="240"/>
          <w:jc w:val="center"/>
        </w:trPr>
        <w:tc>
          <w:tcPr>
            <w:tcW w:w="266" w:type="dxa"/>
            <w:tcBorders>
              <w:top w:val="nil"/>
              <w:left w:val="nil"/>
              <w:bottom w:val="nil"/>
              <w:right w:val="nil"/>
            </w:tcBorders>
            <w:shd w:val="clear" w:color="auto" w:fill="auto"/>
            <w:noWrap/>
            <w:vAlign w:val="bottom"/>
            <w:hideMark/>
          </w:tcPr>
          <w:p w14:paraId="55F3DADC" w14:textId="77777777" w:rsidR="00F463DA" w:rsidRPr="00F463DA" w:rsidRDefault="00F463DA" w:rsidP="00F463DA">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6" w:type="dxa"/>
            <w:tcBorders>
              <w:top w:val="nil"/>
              <w:left w:val="nil"/>
              <w:bottom w:val="nil"/>
              <w:right w:val="nil"/>
            </w:tcBorders>
            <w:shd w:val="clear" w:color="auto" w:fill="auto"/>
            <w:noWrap/>
            <w:vAlign w:val="bottom"/>
            <w:hideMark/>
          </w:tcPr>
          <w:p w14:paraId="0720209D" w14:textId="77777777" w:rsidR="00F463DA" w:rsidRPr="00F463DA" w:rsidRDefault="00F463DA" w:rsidP="00F463DA">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768FCFB8" w14:textId="77777777" w:rsidR="00F463DA" w:rsidRPr="00F463DA" w:rsidRDefault="00F463DA" w:rsidP="00F463DA">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0620B7E3" w14:textId="77777777" w:rsidR="00F463DA" w:rsidRPr="00F463DA" w:rsidRDefault="00F463DA" w:rsidP="00F463DA">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303B44A0" w14:textId="77777777" w:rsidR="00F463DA" w:rsidRPr="00F463DA" w:rsidRDefault="00F463DA" w:rsidP="00F463DA">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6CC47AB3"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(Проценти)</w:t>
            </w:r>
          </w:p>
        </w:tc>
      </w:tr>
      <w:tr w:rsidR="00F463DA" w:rsidRPr="00F463DA" w14:paraId="78A1466F" w14:textId="77777777" w:rsidTr="00F463DA">
        <w:trPr>
          <w:trHeight w:val="270"/>
          <w:jc w:val="center"/>
        </w:trPr>
        <w:tc>
          <w:tcPr>
            <w:tcW w:w="38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1E723C" w14:textId="77777777" w:rsidR="00F463DA" w:rsidRPr="00F463DA" w:rsidRDefault="00F463DA" w:rsidP="00F463DA">
            <w:pPr>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Потребителски групи</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114767" w14:textId="77777777" w:rsidR="00F463DA" w:rsidRPr="00F463DA" w:rsidRDefault="00F463DA" w:rsidP="00F463DA">
            <w:pPr>
              <w:jc w:val="center"/>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 xml:space="preserve"> Тегла    </w:t>
            </w:r>
          </w:p>
        </w:tc>
        <w:tc>
          <w:tcPr>
            <w:tcW w:w="4051" w:type="dxa"/>
            <w:gridSpan w:val="3"/>
            <w:tcBorders>
              <w:top w:val="single" w:sz="4" w:space="0" w:color="auto"/>
              <w:left w:val="nil"/>
              <w:bottom w:val="single" w:sz="4" w:space="0" w:color="auto"/>
              <w:right w:val="single" w:sz="4" w:space="0" w:color="000000"/>
            </w:tcBorders>
            <w:shd w:val="clear" w:color="auto" w:fill="auto"/>
            <w:vAlign w:val="center"/>
            <w:hideMark/>
          </w:tcPr>
          <w:p w14:paraId="7AED31ED" w14:textId="77777777" w:rsidR="00F463DA" w:rsidRPr="00F463DA" w:rsidRDefault="00F463DA" w:rsidP="00F463DA">
            <w:pPr>
              <w:jc w:val="center"/>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XI.2024</w:t>
            </w:r>
          </w:p>
        </w:tc>
      </w:tr>
      <w:tr w:rsidR="00F463DA" w:rsidRPr="00F463DA" w14:paraId="7F500F8C" w14:textId="77777777" w:rsidTr="00F463DA">
        <w:trPr>
          <w:trHeight w:val="525"/>
          <w:jc w:val="center"/>
        </w:trPr>
        <w:tc>
          <w:tcPr>
            <w:tcW w:w="3862" w:type="dxa"/>
            <w:gridSpan w:val="2"/>
            <w:vMerge/>
            <w:tcBorders>
              <w:top w:val="single" w:sz="4" w:space="0" w:color="auto"/>
              <w:left w:val="single" w:sz="4" w:space="0" w:color="auto"/>
              <w:bottom w:val="single" w:sz="4" w:space="0" w:color="000000"/>
              <w:right w:val="single" w:sz="4" w:space="0" w:color="000000"/>
            </w:tcBorders>
            <w:vAlign w:val="center"/>
            <w:hideMark/>
          </w:tcPr>
          <w:p w14:paraId="5E17FB8C" w14:textId="77777777" w:rsidR="00F463DA" w:rsidRPr="00F463DA" w:rsidRDefault="00F463DA" w:rsidP="00F463DA">
            <w:pPr>
              <w:rPr>
                <w:rFonts w:ascii="Verdana" w:eastAsia="Times New Roman" w:hAnsi="Verdana" w:cs="Arial"/>
                <w:b/>
                <w:bCs/>
                <w:sz w:val="16"/>
                <w:szCs w:val="16"/>
                <w:lang w:eastAsia="bg-BG"/>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591A0100" w14:textId="77777777" w:rsidR="00F463DA" w:rsidRPr="00F463DA" w:rsidRDefault="00F463DA" w:rsidP="00F463DA">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hideMark/>
          </w:tcPr>
          <w:p w14:paraId="55A5405B" w14:textId="77777777" w:rsidR="00F463DA" w:rsidRPr="00F463DA" w:rsidRDefault="00F463DA" w:rsidP="00F463DA">
            <w:pPr>
              <w:jc w:val="right"/>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октомври 2024 = 100</w:t>
            </w:r>
          </w:p>
        </w:tc>
        <w:tc>
          <w:tcPr>
            <w:tcW w:w="1350" w:type="dxa"/>
            <w:tcBorders>
              <w:top w:val="nil"/>
              <w:left w:val="nil"/>
              <w:bottom w:val="single" w:sz="4" w:space="0" w:color="auto"/>
              <w:right w:val="single" w:sz="4" w:space="0" w:color="auto"/>
            </w:tcBorders>
            <w:shd w:val="clear" w:color="auto" w:fill="auto"/>
            <w:hideMark/>
          </w:tcPr>
          <w:p w14:paraId="3FA2B75A" w14:textId="77777777" w:rsidR="00F463DA" w:rsidRPr="00F463DA" w:rsidRDefault="00F463DA" w:rsidP="00F463DA">
            <w:pPr>
              <w:jc w:val="right"/>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декември 2023 = 100</w:t>
            </w:r>
          </w:p>
        </w:tc>
        <w:tc>
          <w:tcPr>
            <w:tcW w:w="1351" w:type="dxa"/>
            <w:tcBorders>
              <w:top w:val="nil"/>
              <w:left w:val="nil"/>
              <w:bottom w:val="single" w:sz="4" w:space="0" w:color="auto"/>
              <w:right w:val="single" w:sz="4" w:space="0" w:color="auto"/>
            </w:tcBorders>
            <w:shd w:val="clear" w:color="auto" w:fill="auto"/>
            <w:hideMark/>
          </w:tcPr>
          <w:p w14:paraId="6060DECC" w14:textId="77777777" w:rsidR="00F463DA" w:rsidRPr="00F463DA" w:rsidRDefault="00F463DA" w:rsidP="00F463DA">
            <w:pPr>
              <w:jc w:val="right"/>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ноември 2023 = 100</w:t>
            </w:r>
          </w:p>
        </w:tc>
      </w:tr>
      <w:tr w:rsidR="00F463DA" w:rsidRPr="00F463DA" w14:paraId="14628B9E" w14:textId="77777777" w:rsidTr="00F463DA">
        <w:trPr>
          <w:trHeight w:val="225"/>
          <w:jc w:val="center"/>
        </w:trPr>
        <w:tc>
          <w:tcPr>
            <w:tcW w:w="266" w:type="dxa"/>
            <w:tcBorders>
              <w:top w:val="nil"/>
              <w:left w:val="nil"/>
              <w:bottom w:val="nil"/>
              <w:right w:val="nil"/>
            </w:tcBorders>
            <w:shd w:val="clear" w:color="auto" w:fill="auto"/>
            <w:noWrap/>
            <w:vAlign w:val="bottom"/>
            <w:hideMark/>
          </w:tcPr>
          <w:p w14:paraId="3D716D17" w14:textId="77777777" w:rsidR="00F463DA" w:rsidRPr="00F463DA" w:rsidRDefault="00F463DA" w:rsidP="00F463DA">
            <w:pPr>
              <w:rPr>
                <w:rFonts w:ascii="Verdana" w:eastAsia="Times New Roman" w:hAnsi="Verdana" w:cs="Arial"/>
                <w:b/>
                <w:bCs/>
                <w:sz w:val="16"/>
                <w:szCs w:val="16"/>
                <w:lang w:eastAsia="bg-BG"/>
              </w:rPr>
            </w:pPr>
            <w:r w:rsidRPr="00F463DA">
              <w:rPr>
                <w:rFonts w:ascii="Verdana" w:eastAsia="Times New Roman" w:hAnsi="Verdana" w:cs="Arial"/>
                <w:b/>
                <w:bCs/>
                <w:sz w:val="16"/>
                <w:szCs w:val="16"/>
                <w:lang w:eastAsia="bg-BG"/>
              </w:rPr>
              <w:t>00</w:t>
            </w:r>
          </w:p>
        </w:tc>
        <w:tc>
          <w:tcPr>
            <w:tcW w:w="3596" w:type="dxa"/>
            <w:tcBorders>
              <w:top w:val="nil"/>
              <w:left w:val="nil"/>
              <w:bottom w:val="nil"/>
              <w:right w:val="nil"/>
            </w:tcBorders>
            <w:shd w:val="clear" w:color="auto" w:fill="auto"/>
            <w:noWrap/>
            <w:hideMark/>
          </w:tcPr>
          <w:p w14:paraId="4372CF51" w14:textId="77777777" w:rsidR="00F463DA" w:rsidRPr="00F463DA" w:rsidRDefault="00F463DA" w:rsidP="00F463DA">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7" w:type="dxa"/>
            <w:tcBorders>
              <w:top w:val="nil"/>
              <w:left w:val="nil"/>
              <w:bottom w:val="nil"/>
              <w:right w:val="nil"/>
            </w:tcBorders>
            <w:shd w:val="clear" w:color="auto" w:fill="auto"/>
            <w:noWrap/>
            <w:vAlign w:val="bottom"/>
            <w:hideMark/>
          </w:tcPr>
          <w:p w14:paraId="2688269A" w14:textId="77777777" w:rsidR="00F463DA" w:rsidRPr="00F463DA" w:rsidRDefault="00F463DA" w:rsidP="00F463D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50" w:type="dxa"/>
            <w:tcBorders>
              <w:top w:val="nil"/>
              <w:left w:val="nil"/>
              <w:bottom w:val="nil"/>
              <w:right w:val="nil"/>
            </w:tcBorders>
            <w:shd w:val="clear" w:color="auto" w:fill="auto"/>
            <w:noWrap/>
            <w:vAlign w:val="bottom"/>
            <w:hideMark/>
          </w:tcPr>
          <w:p w14:paraId="503DA30F" w14:textId="77777777" w:rsidR="00F463DA" w:rsidRPr="00F463DA" w:rsidRDefault="00F463DA" w:rsidP="00F463D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100.6</w:t>
            </w:r>
          </w:p>
        </w:tc>
        <w:tc>
          <w:tcPr>
            <w:tcW w:w="1350" w:type="dxa"/>
            <w:tcBorders>
              <w:top w:val="nil"/>
              <w:left w:val="nil"/>
              <w:bottom w:val="nil"/>
              <w:right w:val="nil"/>
            </w:tcBorders>
            <w:shd w:val="clear" w:color="auto" w:fill="auto"/>
            <w:noWrap/>
            <w:vAlign w:val="bottom"/>
            <w:hideMark/>
          </w:tcPr>
          <w:p w14:paraId="67A54A5E" w14:textId="77777777" w:rsidR="00F463DA" w:rsidRPr="00F463DA" w:rsidRDefault="00F463DA" w:rsidP="00F463D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101.8</w:t>
            </w:r>
          </w:p>
        </w:tc>
        <w:tc>
          <w:tcPr>
            <w:tcW w:w="1351" w:type="dxa"/>
            <w:tcBorders>
              <w:top w:val="nil"/>
              <w:left w:val="nil"/>
              <w:bottom w:val="nil"/>
              <w:right w:val="nil"/>
            </w:tcBorders>
            <w:shd w:val="clear" w:color="auto" w:fill="auto"/>
            <w:noWrap/>
            <w:vAlign w:val="bottom"/>
            <w:hideMark/>
          </w:tcPr>
          <w:p w14:paraId="4B22E2C5" w14:textId="77777777" w:rsidR="00F463DA" w:rsidRPr="00F463DA" w:rsidRDefault="00F463DA" w:rsidP="00F463DA">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102.1</w:t>
            </w:r>
          </w:p>
        </w:tc>
      </w:tr>
      <w:tr w:rsidR="00F463DA" w:rsidRPr="00F463DA" w14:paraId="055C5F41" w14:textId="77777777" w:rsidTr="00F463DA">
        <w:trPr>
          <w:trHeight w:val="420"/>
          <w:jc w:val="center"/>
        </w:trPr>
        <w:tc>
          <w:tcPr>
            <w:tcW w:w="266" w:type="dxa"/>
            <w:tcBorders>
              <w:top w:val="nil"/>
              <w:left w:val="nil"/>
              <w:bottom w:val="nil"/>
              <w:right w:val="nil"/>
            </w:tcBorders>
            <w:shd w:val="clear" w:color="auto" w:fill="auto"/>
            <w:noWrap/>
            <w:vAlign w:val="center"/>
            <w:hideMark/>
          </w:tcPr>
          <w:p w14:paraId="2392DD07"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01</w:t>
            </w:r>
          </w:p>
        </w:tc>
        <w:tc>
          <w:tcPr>
            <w:tcW w:w="3596" w:type="dxa"/>
            <w:tcBorders>
              <w:top w:val="nil"/>
              <w:left w:val="nil"/>
              <w:bottom w:val="nil"/>
              <w:right w:val="nil"/>
            </w:tcBorders>
            <w:shd w:val="clear" w:color="auto" w:fill="auto"/>
            <w:hideMark/>
          </w:tcPr>
          <w:p w14:paraId="54362AF6"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Хранителни продукти и безалкохолни напитки</w:t>
            </w:r>
          </w:p>
        </w:tc>
        <w:tc>
          <w:tcPr>
            <w:tcW w:w="1347" w:type="dxa"/>
            <w:tcBorders>
              <w:top w:val="nil"/>
              <w:left w:val="nil"/>
              <w:bottom w:val="nil"/>
              <w:right w:val="nil"/>
            </w:tcBorders>
            <w:shd w:val="clear" w:color="auto" w:fill="auto"/>
            <w:vAlign w:val="bottom"/>
            <w:hideMark/>
          </w:tcPr>
          <w:p w14:paraId="3D1AFBE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31.322</w:t>
            </w:r>
          </w:p>
        </w:tc>
        <w:tc>
          <w:tcPr>
            <w:tcW w:w="1350" w:type="dxa"/>
            <w:tcBorders>
              <w:top w:val="nil"/>
              <w:left w:val="nil"/>
              <w:bottom w:val="nil"/>
              <w:right w:val="nil"/>
            </w:tcBorders>
            <w:shd w:val="clear" w:color="auto" w:fill="auto"/>
            <w:vAlign w:val="bottom"/>
            <w:hideMark/>
          </w:tcPr>
          <w:p w14:paraId="4F3EB345"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101.4</w:t>
            </w:r>
          </w:p>
        </w:tc>
        <w:tc>
          <w:tcPr>
            <w:tcW w:w="1350" w:type="dxa"/>
            <w:tcBorders>
              <w:top w:val="nil"/>
              <w:left w:val="nil"/>
              <w:bottom w:val="nil"/>
              <w:right w:val="nil"/>
            </w:tcBorders>
            <w:shd w:val="clear" w:color="auto" w:fill="auto"/>
            <w:vAlign w:val="bottom"/>
            <w:hideMark/>
          </w:tcPr>
          <w:p w14:paraId="33703C8D"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103.5</w:t>
            </w:r>
          </w:p>
        </w:tc>
        <w:tc>
          <w:tcPr>
            <w:tcW w:w="1351" w:type="dxa"/>
            <w:tcBorders>
              <w:top w:val="nil"/>
              <w:left w:val="nil"/>
              <w:bottom w:val="nil"/>
              <w:right w:val="nil"/>
            </w:tcBorders>
            <w:shd w:val="clear" w:color="auto" w:fill="auto"/>
            <w:vAlign w:val="bottom"/>
            <w:hideMark/>
          </w:tcPr>
          <w:p w14:paraId="73CFC8EF"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104.1</w:t>
            </w:r>
          </w:p>
        </w:tc>
      </w:tr>
      <w:tr w:rsidR="00F463DA" w:rsidRPr="00F463DA" w14:paraId="1463A697" w14:textId="77777777" w:rsidTr="00F463DA">
        <w:trPr>
          <w:trHeight w:val="420"/>
          <w:jc w:val="center"/>
        </w:trPr>
        <w:tc>
          <w:tcPr>
            <w:tcW w:w="266" w:type="dxa"/>
            <w:tcBorders>
              <w:top w:val="nil"/>
              <w:left w:val="nil"/>
              <w:bottom w:val="nil"/>
              <w:right w:val="nil"/>
            </w:tcBorders>
            <w:shd w:val="clear" w:color="auto" w:fill="auto"/>
            <w:noWrap/>
            <w:vAlign w:val="center"/>
            <w:hideMark/>
          </w:tcPr>
          <w:p w14:paraId="43BEFFC7"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02</w:t>
            </w:r>
          </w:p>
        </w:tc>
        <w:tc>
          <w:tcPr>
            <w:tcW w:w="3596" w:type="dxa"/>
            <w:tcBorders>
              <w:top w:val="nil"/>
              <w:left w:val="nil"/>
              <w:bottom w:val="nil"/>
              <w:right w:val="nil"/>
            </w:tcBorders>
            <w:shd w:val="clear" w:color="auto" w:fill="auto"/>
            <w:vAlign w:val="center"/>
            <w:hideMark/>
          </w:tcPr>
          <w:p w14:paraId="116753DB"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Алкохолни напитки и тютюневи изделия</w:t>
            </w:r>
          </w:p>
        </w:tc>
        <w:tc>
          <w:tcPr>
            <w:tcW w:w="1347" w:type="dxa"/>
            <w:tcBorders>
              <w:top w:val="nil"/>
              <w:left w:val="nil"/>
              <w:bottom w:val="nil"/>
              <w:right w:val="nil"/>
            </w:tcBorders>
            <w:shd w:val="clear" w:color="auto" w:fill="auto"/>
            <w:vAlign w:val="bottom"/>
            <w:hideMark/>
          </w:tcPr>
          <w:p w14:paraId="4408B4E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4.717</w:t>
            </w:r>
          </w:p>
        </w:tc>
        <w:tc>
          <w:tcPr>
            <w:tcW w:w="1350" w:type="dxa"/>
            <w:tcBorders>
              <w:top w:val="nil"/>
              <w:left w:val="nil"/>
              <w:bottom w:val="nil"/>
              <w:right w:val="nil"/>
            </w:tcBorders>
            <w:shd w:val="clear" w:color="auto" w:fill="auto"/>
            <w:vAlign w:val="bottom"/>
            <w:hideMark/>
          </w:tcPr>
          <w:p w14:paraId="1D0FD7AF"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100.7</w:t>
            </w:r>
          </w:p>
        </w:tc>
        <w:tc>
          <w:tcPr>
            <w:tcW w:w="1350" w:type="dxa"/>
            <w:tcBorders>
              <w:top w:val="nil"/>
              <w:left w:val="nil"/>
              <w:bottom w:val="nil"/>
              <w:right w:val="nil"/>
            </w:tcBorders>
            <w:shd w:val="clear" w:color="auto" w:fill="auto"/>
            <w:vAlign w:val="bottom"/>
            <w:hideMark/>
          </w:tcPr>
          <w:p w14:paraId="03D2140B"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106.1</w:t>
            </w:r>
          </w:p>
        </w:tc>
        <w:tc>
          <w:tcPr>
            <w:tcW w:w="1351" w:type="dxa"/>
            <w:tcBorders>
              <w:top w:val="nil"/>
              <w:left w:val="nil"/>
              <w:bottom w:val="nil"/>
              <w:right w:val="nil"/>
            </w:tcBorders>
            <w:shd w:val="clear" w:color="auto" w:fill="auto"/>
            <w:vAlign w:val="bottom"/>
            <w:hideMark/>
          </w:tcPr>
          <w:p w14:paraId="2D5797B4"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106.4</w:t>
            </w:r>
          </w:p>
        </w:tc>
      </w:tr>
      <w:tr w:rsidR="00F463DA" w:rsidRPr="00F463DA" w14:paraId="7122C729"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4DFAAC4C"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03</w:t>
            </w:r>
          </w:p>
        </w:tc>
        <w:tc>
          <w:tcPr>
            <w:tcW w:w="3596" w:type="dxa"/>
            <w:tcBorders>
              <w:top w:val="nil"/>
              <w:left w:val="nil"/>
              <w:bottom w:val="nil"/>
              <w:right w:val="nil"/>
            </w:tcBorders>
            <w:shd w:val="clear" w:color="auto" w:fill="auto"/>
            <w:vAlign w:val="center"/>
            <w:hideMark/>
          </w:tcPr>
          <w:p w14:paraId="24B0B75A"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Облекло и обувки</w:t>
            </w:r>
          </w:p>
        </w:tc>
        <w:tc>
          <w:tcPr>
            <w:tcW w:w="1347" w:type="dxa"/>
            <w:tcBorders>
              <w:top w:val="nil"/>
              <w:left w:val="nil"/>
              <w:bottom w:val="nil"/>
              <w:right w:val="nil"/>
            </w:tcBorders>
            <w:shd w:val="clear" w:color="auto" w:fill="auto"/>
            <w:vAlign w:val="bottom"/>
            <w:hideMark/>
          </w:tcPr>
          <w:p w14:paraId="2A76C612"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4.216</w:t>
            </w:r>
          </w:p>
        </w:tc>
        <w:tc>
          <w:tcPr>
            <w:tcW w:w="1350" w:type="dxa"/>
            <w:tcBorders>
              <w:top w:val="nil"/>
              <w:left w:val="nil"/>
              <w:bottom w:val="nil"/>
              <w:right w:val="nil"/>
            </w:tcBorders>
            <w:shd w:val="clear" w:color="auto" w:fill="auto"/>
            <w:vAlign w:val="bottom"/>
            <w:hideMark/>
          </w:tcPr>
          <w:p w14:paraId="29997A3B"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98.7</w:t>
            </w:r>
          </w:p>
        </w:tc>
        <w:tc>
          <w:tcPr>
            <w:tcW w:w="1350" w:type="dxa"/>
            <w:tcBorders>
              <w:top w:val="nil"/>
              <w:left w:val="nil"/>
              <w:bottom w:val="nil"/>
              <w:right w:val="nil"/>
            </w:tcBorders>
            <w:shd w:val="clear" w:color="auto" w:fill="auto"/>
            <w:vAlign w:val="bottom"/>
            <w:hideMark/>
          </w:tcPr>
          <w:p w14:paraId="7FF2ED2A"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bottom"/>
            <w:hideMark/>
          </w:tcPr>
          <w:p w14:paraId="25816C41"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99.5</w:t>
            </w:r>
          </w:p>
        </w:tc>
      </w:tr>
      <w:tr w:rsidR="00F463DA" w:rsidRPr="00F463DA" w14:paraId="29CE106C" w14:textId="77777777" w:rsidTr="00F463DA">
        <w:trPr>
          <w:trHeight w:val="480"/>
          <w:jc w:val="center"/>
        </w:trPr>
        <w:tc>
          <w:tcPr>
            <w:tcW w:w="266" w:type="dxa"/>
            <w:tcBorders>
              <w:top w:val="nil"/>
              <w:left w:val="nil"/>
              <w:bottom w:val="nil"/>
              <w:right w:val="nil"/>
            </w:tcBorders>
            <w:shd w:val="clear" w:color="auto" w:fill="auto"/>
            <w:noWrap/>
            <w:hideMark/>
          </w:tcPr>
          <w:p w14:paraId="5E3F7005"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04</w:t>
            </w:r>
          </w:p>
        </w:tc>
        <w:tc>
          <w:tcPr>
            <w:tcW w:w="3596" w:type="dxa"/>
            <w:tcBorders>
              <w:top w:val="nil"/>
              <w:left w:val="nil"/>
              <w:bottom w:val="nil"/>
              <w:right w:val="nil"/>
            </w:tcBorders>
            <w:shd w:val="clear" w:color="auto" w:fill="auto"/>
            <w:vAlign w:val="bottom"/>
            <w:hideMark/>
          </w:tcPr>
          <w:p w14:paraId="42B96109"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Жилища, вода, електроенергия, газ и други горива</w:t>
            </w:r>
          </w:p>
        </w:tc>
        <w:tc>
          <w:tcPr>
            <w:tcW w:w="1347" w:type="dxa"/>
            <w:tcBorders>
              <w:top w:val="nil"/>
              <w:left w:val="nil"/>
              <w:bottom w:val="nil"/>
              <w:right w:val="nil"/>
            </w:tcBorders>
            <w:shd w:val="clear" w:color="auto" w:fill="auto"/>
            <w:vAlign w:val="bottom"/>
            <w:hideMark/>
          </w:tcPr>
          <w:p w14:paraId="5CCC5B5A"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15.009</w:t>
            </w:r>
          </w:p>
        </w:tc>
        <w:tc>
          <w:tcPr>
            <w:tcW w:w="1350" w:type="dxa"/>
            <w:tcBorders>
              <w:top w:val="nil"/>
              <w:left w:val="nil"/>
              <w:bottom w:val="nil"/>
              <w:right w:val="nil"/>
            </w:tcBorders>
            <w:shd w:val="clear" w:color="auto" w:fill="auto"/>
            <w:vAlign w:val="bottom"/>
            <w:hideMark/>
          </w:tcPr>
          <w:p w14:paraId="26D977AB"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99.8</w:t>
            </w:r>
          </w:p>
        </w:tc>
        <w:tc>
          <w:tcPr>
            <w:tcW w:w="1350" w:type="dxa"/>
            <w:tcBorders>
              <w:top w:val="nil"/>
              <w:left w:val="nil"/>
              <w:bottom w:val="nil"/>
              <w:right w:val="nil"/>
            </w:tcBorders>
            <w:shd w:val="clear" w:color="auto" w:fill="auto"/>
            <w:vAlign w:val="bottom"/>
            <w:hideMark/>
          </w:tcPr>
          <w:p w14:paraId="7FD0AB24"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102.4</w:t>
            </w:r>
          </w:p>
        </w:tc>
        <w:tc>
          <w:tcPr>
            <w:tcW w:w="1351" w:type="dxa"/>
            <w:tcBorders>
              <w:top w:val="nil"/>
              <w:left w:val="nil"/>
              <w:bottom w:val="nil"/>
              <w:right w:val="nil"/>
            </w:tcBorders>
            <w:shd w:val="clear" w:color="auto" w:fill="auto"/>
            <w:vAlign w:val="bottom"/>
            <w:hideMark/>
          </w:tcPr>
          <w:p w14:paraId="034283FC"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102.5</w:t>
            </w:r>
          </w:p>
        </w:tc>
      </w:tr>
      <w:tr w:rsidR="00F463DA" w:rsidRPr="00F463DA" w14:paraId="0BC307B8" w14:textId="77777777" w:rsidTr="00F463DA">
        <w:trPr>
          <w:trHeight w:val="675"/>
          <w:jc w:val="center"/>
        </w:trPr>
        <w:tc>
          <w:tcPr>
            <w:tcW w:w="266" w:type="dxa"/>
            <w:tcBorders>
              <w:top w:val="nil"/>
              <w:left w:val="nil"/>
              <w:bottom w:val="nil"/>
              <w:right w:val="nil"/>
            </w:tcBorders>
            <w:shd w:val="clear" w:color="auto" w:fill="auto"/>
            <w:noWrap/>
            <w:hideMark/>
          </w:tcPr>
          <w:p w14:paraId="6158C9B7"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05</w:t>
            </w:r>
          </w:p>
        </w:tc>
        <w:tc>
          <w:tcPr>
            <w:tcW w:w="3596" w:type="dxa"/>
            <w:tcBorders>
              <w:top w:val="nil"/>
              <w:left w:val="nil"/>
              <w:bottom w:val="nil"/>
              <w:right w:val="nil"/>
            </w:tcBorders>
            <w:shd w:val="clear" w:color="auto" w:fill="auto"/>
            <w:vAlign w:val="bottom"/>
            <w:hideMark/>
          </w:tcPr>
          <w:p w14:paraId="263F5117"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7" w:type="dxa"/>
            <w:tcBorders>
              <w:top w:val="nil"/>
              <w:left w:val="nil"/>
              <w:bottom w:val="nil"/>
              <w:right w:val="nil"/>
            </w:tcBorders>
            <w:shd w:val="clear" w:color="auto" w:fill="auto"/>
            <w:vAlign w:val="bottom"/>
            <w:hideMark/>
          </w:tcPr>
          <w:p w14:paraId="6616B08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5.753</w:t>
            </w:r>
          </w:p>
        </w:tc>
        <w:tc>
          <w:tcPr>
            <w:tcW w:w="1350" w:type="dxa"/>
            <w:tcBorders>
              <w:top w:val="nil"/>
              <w:left w:val="nil"/>
              <w:bottom w:val="nil"/>
              <w:right w:val="nil"/>
            </w:tcBorders>
            <w:shd w:val="clear" w:color="auto" w:fill="auto"/>
            <w:vAlign w:val="bottom"/>
            <w:hideMark/>
          </w:tcPr>
          <w:p w14:paraId="0F7E13D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99.6</w:t>
            </w:r>
          </w:p>
        </w:tc>
        <w:tc>
          <w:tcPr>
            <w:tcW w:w="1350" w:type="dxa"/>
            <w:tcBorders>
              <w:top w:val="nil"/>
              <w:left w:val="nil"/>
              <w:bottom w:val="nil"/>
              <w:right w:val="nil"/>
            </w:tcBorders>
            <w:shd w:val="clear" w:color="auto" w:fill="auto"/>
            <w:vAlign w:val="bottom"/>
            <w:hideMark/>
          </w:tcPr>
          <w:p w14:paraId="72CBE3D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98.6</w:t>
            </w:r>
          </w:p>
        </w:tc>
        <w:tc>
          <w:tcPr>
            <w:tcW w:w="1351" w:type="dxa"/>
            <w:tcBorders>
              <w:top w:val="nil"/>
              <w:left w:val="nil"/>
              <w:bottom w:val="nil"/>
              <w:right w:val="nil"/>
            </w:tcBorders>
            <w:shd w:val="clear" w:color="auto" w:fill="auto"/>
            <w:vAlign w:val="bottom"/>
            <w:hideMark/>
          </w:tcPr>
          <w:p w14:paraId="12EF920F"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98.6</w:t>
            </w:r>
          </w:p>
        </w:tc>
      </w:tr>
      <w:tr w:rsidR="00F463DA" w:rsidRPr="00F463DA" w14:paraId="214D54C7"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540BCF25"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06</w:t>
            </w:r>
          </w:p>
        </w:tc>
        <w:tc>
          <w:tcPr>
            <w:tcW w:w="3596" w:type="dxa"/>
            <w:tcBorders>
              <w:top w:val="nil"/>
              <w:left w:val="nil"/>
              <w:bottom w:val="nil"/>
              <w:right w:val="nil"/>
            </w:tcBorders>
            <w:shd w:val="clear" w:color="auto" w:fill="auto"/>
            <w:vAlign w:val="center"/>
            <w:hideMark/>
          </w:tcPr>
          <w:p w14:paraId="6416AC36"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Здравеопазване</w:t>
            </w:r>
          </w:p>
        </w:tc>
        <w:tc>
          <w:tcPr>
            <w:tcW w:w="1347" w:type="dxa"/>
            <w:tcBorders>
              <w:top w:val="nil"/>
              <w:left w:val="nil"/>
              <w:bottom w:val="nil"/>
              <w:right w:val="nil"/>
            </w:tcBorders>
            <w:shd w:val="clear" w:color="auto" w:fill="auto"/>
            <w:vAlign w:val="bottom"/>
            <w:hideMark/>
          </w:tcPr>
          <w:p w14:paraId="54D9716D"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7.748</w:t>
            </w:r>
          </w:p>
        </w:tc>
        <w:tc>
          <w:tcPr>
            <w:tcW w:w="1350" w:type="dxa"/>
            <w:tcBorders>
              <w:top w:val="nil"/>
              <w:left w:val="nil"/>
              <w:bottom w:val="nil"/>
              <w:right w:val="nil"/>
            </w:tcBorders>
            <w:shd w:val="clear" w:color="auto" w:fill="auto"/>
            <w:vAlign w:val="bottom"/>
            <w:hideMark/>
          </w:tcPr>
          <w:p w14:paraId="34E14C53"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100.2</w:t>
            </w:r>
          </w:p>
        </w:tc>
        <w:tc>
          <w:tcPr>
            <w:tcW w:w="1350" w:type="dxa"/>
            <w:tcBorders>
              <w:top w:val="nil"/>
              <w:left w:val="nil"/>
              <w:bottom w:val="nil"/>
              <w:right w:val="nil"/>
            </w:tcBorders>
            <w:shd w:val="clear" w:color="auto" w:fill="auto"/>
            <w:vAlign w:val="bottom"/>
            <w:hideMark/>
          </w:tcPr>
          <w:p w14:paraId="4239CAF1"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101.4</w:t>
            </w:r>
          </w:p>
        </w:tc>
        <w:tc>
          <w:tcPr>
            <w:tcW w:w="1351" w:type="dxa"/>
            <w:tcBorders>
              <w:top w:val="nil"/>
              <w:left w:val="nil"/>
              <w:bottom w:val="nil"/>
              <w:right w:val="nil"/>
            </w:tcBorders>
            <w:shd w:val="clear" w:color="auto" w:fill="auto"/>
            <w:vAlign w:val="bottom"/>
            <w:hideMark/>
          </w:tcPr>
          <w:p w14:paraId="3E2B61A2"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101.5</w:t>
            </w:r>
          </w:p>
        </w:tc>
      </w:tr>
      <w:tr w:rsidR="00F463DA" w:rsidRPr="00F463DA" w14:paraId="42693127"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2EBA105D"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07</w:t>
            </w:r>
          </w:p>
        </w:tc>
        <w:tc>
          <w:tcPr>
            <w:tcW w:w="3596" w:type="dxa"/>
            <w:tcBorders>
              <w:top w:val="nil"/>
              <w:left w:val="nil"/>
              <w:bottom w:val="nil"/>
              <w:right w:val="nil"/>
            </w:tcBorders>
            <w:shd w:val="clear" w:color="auto" w:fill="auto"/>
            <w:vAlign w:val="center"/>
            <w:hideMark/>
          </w:tcPr>
          <w:p w14:paraId="331290DC"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Транспорт</w:t>
            </w:r>
          </w:p>
        </w:tc>
        <w:tc>
          <w:tcPr>
            <w:tcW w:w="1347" w:type="dxa"/>
            <w:tcBorders>
              <w:top w:val="nil"/>
              <w:left w:val="nil"/>
              <w:bottom w:val="nil"/>
              <w:right w:val="nil"/>
            </w:tcBorders>
            <w:shd w:val="clear" w:color="auto" w:fill="auto"/>
            <w:vAlign w:val="bottom"/>
            <w:hideMark/>
          </w:tcPr>
          <w:p w14:paraId="6A4C0FED"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9.278</w:t>
            </w:r>
          </w:p>
        </w:tc>
        <w:tc>
          <w:tcPr>
            <w:tcW w:w="1350" w:type="dxa"/>
            <w:tcBorders>
              <w:top w:val="nil"/>
              <w:left w:val="nil"/>
              <w:bottom w:val="nil"/>
              <w:right w:val="nil"/>
            </w:tcBorders>
            <w:shd w:val="clear" w:color="auto" w:fill="auto"/>
            <w:vAlign w:val="bottom"/>
            <w:hideMark/>
          </w:tcPr>
          <w:p w14:paraId="030BE64C"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100.7</w:t>
            </w:r>
          </w:p>
        </w:tc>
        <w:tc>
          <w:tcPr>
            <w:tcW w:w="1350" w:type="dxa"/>
            <w:tcBorders>
              <w:top w:val="nil"/>
              <w:left w:val="nil"/>
              <w:bottom w:val="nil"/>
              <w:right w:val="nil"/>
            </w:tcBorders>
            <w:shd w:val="clear" w:color="auto" w:fill="auto"/>
            <w:vAlign w:val="bottom"/>
            <w:hideMark/>
          </w:tcPr>
          <w:p w14:paraId="7A8E940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98.1</w:t>
            </w:r>
          </w:p>
        </w:tc>
        <w:tc>
          <w:tcPr>
            <w:tcW w:w="1351" w:type="dxa"/>
            <w:tcBorders>
              <w:top w:val="nil"/>
              <w:left w:val="nil"/>
              <w:bottom w:val="nil"/>
              <w:right w:val="nil"/>
            </w:tcBorders>
            <w:shd w:val="clear" w:color="auto" w:fill="auto"/>
            <w:vAlign w:val="bottom"/>
            <w:hideMark/>
          </w:tcPr>
          <w:p w14:paraId="4AD0AC2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96.6</w:t>
            </w:r>
          </w:p>
        </w:tc>
      </w:tr>
      <w:tr w:rsidR="00F463DA" w:rsidRPr="00F463DA" w14:paraId="6555F057"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588F8EF7"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08</w:t>
            </w:r>
          </w:p>
        </w:tc>
        <w:tc>
          <w:tcPr>
            <w:tcW w:w="3596" w:type="dxa"/>
            <w:tcBorders>
              <w:top w:val="nil"/>
              <w:left w:val="nil"/>
              <w:bottom w:val="nil"/>
              <w:right w:val="nil"/>
            </w:tcBorders>
            <w:shd w:val="clear" w:color="auto" w:fill="auto"/>
            <w:vAlign w:val="center"/>
            <w:hideMark/>
          </w:tcPr>
          <w:p w14:paraId="166C85DB"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Съобщения</w:t>
            </w:r>
          </w:p>
        </w:tc>
        <w:tc>
          <w:tcPr>
            <w:tcW w:w="1347" w:type="dxa"/>
            <w:tcBorders>
              <w:top w:val="nil"/>
              <w:left w:val="nil"/>
              <w:bottom w:val="nil"/>
              <w:right w:val="nil"/>
            </w:tcBorders>
            <w:shd w:val="clear" w:color="auto" w:fill="auto"/>
            <w:vAlign w:val="bottom"/>
            <w:hideMark/>
          </w:tcPr>
          <w:p w14:paraId="5C57DA2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5.028</w:t>
            </w:r>
          </w:p>
        </w:tc>
        <w:tc>
          <w:tcPr>
            <w:tcW w:w="1350" w:type="dxa"/>
            <w:tcBorders>
              <w:top w:val="nil"/>
              <w:left w:val="nil"/>
              <w:bottom w:val="nil"/>
              <w:right w:val="nil"/>
            </w:tcBorders>
            <w:shd w:val="clear" w:color="auto" w:fill="auto"/>
            <w:vAlign w:val="bottom"/>
            <w:hideMark/>
          </w:tcPr>
          <w:p w14:paraId="315901D4"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100.4</w:t>
            </w:r>
          </w:p>
        </w:tc>
        <w:tc>
          <w:tcPr>
            <w:tcW w:w="1350" w:type="dxa"/>
            <w:tcBorders>
              <w:top w:val="nil"/>
              <w:left w:val="nil"/>
              <w:bottom w:val="nil"/>
              <w:right w:val="nil"/>
            </w:tcBorders>
            <w:shd w:val="clear" w:color="auto" w:fill="auto"/>
            <w:vAlign w:val="bottom"/>
            <w:hideMark/>
          </w:tcPr>
          <w:p w14:paraId="3EA7FEED"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96.5</w:t>
            </w:r>
          </w:p>
        </w:tc>
        <w:tc>
          <w:tcPr>
            <w:tcW w:w="1351" w:type="dxa"/>
            <w:tcBorders>
              <w:top w:val="nil"/>
              <w:left w:val="nil"/>
              <w:bottom w:val="nil"/>
              <w:right w:val="nil"/>
            </w:tcBorders>
            <w:shd w:val="clear" w:color="auto" w:fill="auto"/>
            <w:vAlign w:val="bottom"/>
            <w:hideMark/>
          </w:tcPr>
          <w:p w14:paraId="4DEBACED"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96.1</w:t>
            </w:r>
          </w:p>
        </w:tc>
      </w:tr>
      <w:tr w:rsidR="00F463DA" w:rsidRPr="00F463DA" w14:paraId="3B8B161A"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2CF21731"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09</w:t>
            </w:r>
          </w:p>
        </w:tc>
        <w:tc>
          <w:tcPr>
            <w:tcW w:w="3596" w:type="dxa"/>
            <w:tcBorders>
              <w:top w:val="nil"/>
              <w:left w:val="nil"/>
              <w:bottom w:val="nil"/>
              <w:right w:val="nil"/>
            </w:tcBorders>
            <w:shd w:val="clear" w:color="auto" w:fill="auto"/>
            <w:hideMark/>
          </w:tcPr>
          <w:p w14:paraId="5E70879E"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Развлечения и култура</w:t>
            </w:r>
          </w:p>
        </w:tc>
        <w:tc>
          <w:tcPr>
            <w:tcW w:w="1347" w:type="dxa"/>
            <w:tcBorders>
              <w:top w:val="nil"/>
              <w:left w:val="nil"/>
              <w:bottom w:val="nil"/>
              <w:right w:val="nil"/>
            </w:tcBorders>
            <w:shd w:val="clear" w:color="auto" w:fill="auto"/>
            <w:vAlign w:val="bottom"/>
            <w:hideMark/>
          </w:tcPr>
          <w:p w14:paraId="1E0FA9EB"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6.343</w:t>
            </w:r>
          </w:p>
        </w:tc>
        <w:tc>
          <w:tcPr>
            <w:tcW w:w="1350" w:type="dxa"/>
            <w:tcBorders>
              <w:top w:val="nil"/>
              <w:left w:val="nil"/>
              <w:bottom w:val="nil"/>
              <w:right w:val="nil"/>
            </w:tcBorders>
            <w:shd w:val="clear" w:color="auto" w:fill="auto"/>
            <w:vAlign w:val="bottom"/>
            <w:hideMark/>
          </w:tcPr>
          <w:p w14:paraId="59F656F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101.3</w:t>
            </w:r>
          </w:p>
        </w:tc>
        <w:tc>
          <w:tcPr>
            <w:tcW w:w="1350" w:type="dxa"/>
            <w:tcBorders>
              <w:top w:val="nil"/>
              <w:left w:val="nil"/>
              <w:bottom w:val="nil"/>
              <w:right w:val="nil"/>
            </w:tcBorders>
            <w:shd w:val="clear" w:color="auto" w:fill="auto"/>
            <w:vAlign w:val="bottom"/>
            <w:hideMark/>
          </w:tcPr>
          <w:p w14:paraId="5A731D3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97.9</w:t>
            </w:r>
          </w:p>
        </w:tc>
        <w:tc>
          <w:tcPr>
            <w:tcW w:w="1351" w:type="dxa"/>
            <w:tcBorders>
              <w:top w:val="nil"/>
              <w:left w:val="nil"/>
              <w:bottom w:val="nil"/>
              <w:right w:val="nil"/>
            </w:tcBorders>
            <w:shd w:val="clear" w:color="auto" w:fill="auto"/>
            <w:vAlign w:val="bottom"/>
            <w:hideMark/>
          </w:tcPr>
          <w:p w14:paraId="0D34BEDF"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100.3</w:t>
            </w:r>
          </w:p>
        </w:tc>
      </w:tr>
      <w:tr w:rsidR="00F463DA" w:rsidRPr="00F463DA" w14:paraId="245B0D6D"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61DBB9E9"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10</w:t>
            </w:r>
          </w:p>
        </w:tc>
        <w:tc>
          <w:tcPr>
            <w:tcW w:w="3596" w:type="dxa"/>
            <w:tcBorders>
              <w:top w:val="nil"/>
              <w:left w:val="nil"/>
              <w:bottom w:val="nil"/>
              <w:right w:val="nil"/>
            </w:tcBorders>
            <w:shd w:val="clear" w:color="auto" w:fill="auto"/>
            <w:vAlign w:val="center"/>
            <w:hideMark/>
          </w:tcPr>
          <w:p w14:paraId="45781103"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Образование</w:t>
            </w:r>
          </w:p>
        </w:tc>
        <w:tc>
          <w:tcPr>
            <w:tcW w:w="1347" w:type="dxa"/>
            <w:tcBorders>
              <w:top w:val="nil"/>
              <w:left w:val="nil"/>
              <w:bottom w:val="nil"/>
              <w:right w:val="nil"/>
            </w:tcBorders>
            <w:shd w:val="clear" w:color="auto" w:fill="auto"/>
            <w:vAlign w:val="bottom"/>
            <w:hideMark/>
          </w:tcPr>
          <w:p w14:paraId="2A31731D"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0.424</w:t>
            </w:r>
          </w:p>
        </w:tc>
        <w:tc>
          <w:tcPr>
            <w:tcW w:w="1350" w:type="dxa"/>
            <w:tcBorders>
              <w:top w:val="nil"/>
              <w:left w:val="nil"/>
              <w:bottom w:val="nil"/>
              <w:right w:val="nil"/>
            </w:tcBorders>
            <w:shd w:val="clear" w:color="auto" w:fill="auto"/>
            <w:vAlign w:val="bottom"/>
            <w:hideMark/>
          </w:tcPr>
          <w:p w14:paraId="4619DCE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100.3</w:t>
            </w:r>
          </w:p>
        </w:tc>
        <w:tc>
          <w:tcPr>
            <w:tcW w:w="1350" w:type="dxa"/>
            <w:tcBorders>
              <w:top w:val="nil"/>
              <w:left w:val="nil"/>
              <w:bottom w:val="nil"/>
              <w:right w:val="nil"/>
            </w:tcBorders>
            <w:shd w:val="clear" w:color="auto" w:fill="auto"/>
            <w:vAlign w:val="bottom"/>
            <w:hideMark/>
          </w:tcPr>
          <w:p w14:paraId="693C5AB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107.1</w:t>
            </w:r>
          </w:p>
        </w:tc>
        <w:tc>
          <w:tcPr>
            <w:tcW w:w="1351" w:type="dxa"/>
            <w:tcBorders>
              <w:top w:val="nil"/>
              <w:left w:val="nil"/>
              <w:bottom w:val="nil"/>
              <w:right w:val="nil"/>
            </w:tcBorders>
            <w:shd w:val="clear" w:color="auto" w:fill="auto"/>
            <w:vAlign w:val="bottom"/>
            <w:hideMark/>
          </w:tcPr>
          <w:p w14:paraId="4B700ACC"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107.1</w:t>
            </w:r>
          </w:p>
        </w:tc>
      </w:tr>
      <w:tr w:rsidR="00F463DA" w:rsidRPr="00F463DA" w14:paraId="45C894E1" w14:textId="77777777" w:rsidTr="00F463DA">
        <w:trPr>
          <w:trHeight w:val="225"/>
          <w:jc w:val="center"/>
        </w:trPr>
        <w:tc>
          <w:tcPr>
            <w:tcW w:w="266" w:type="dxa"/>
            <w:tcBorders>
              <w:top w:val="nil"/>
              <w:left w:val="nil"/>
              <w:bottom w:val="nil"/>
              <w:right w:val="nil"/>
            </w:tcBorders>
            <w:shd w:val="clear" w:color="auto" w:fill="auto"/>
            <w:noWrap/>
            <w:vAlign w:val="center"/>
            <w:hideMark/>
          </w:tcPr>
          <w:p w14:paraId="541ED5DB"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11</w:t>
            </w:r>
          </w:p>
        </w:tc>
        <w:tc>
          <w:tcPr>
            <w:tcW w:w="3596" w:type="dxa"/>
            <w:tcBorders>
              <w:top w:val="nil"/>
              <w:left w:val="nil"/>
              <w:bottom w:val="nil"/>
              <w:right w:val="nil"/>
            </w:tcBorders>
            <w:shd w:val="clear" w:color="auto" w:fill="auto"/>
            <w:vAlign w:val="center"/>
            <w:hideMark/>
          </w:tcPr>
          <w:p w14:paraId="3DFF026F"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Ресторанти и хотели</w:t>
            </w:r>
          </w:p>
        </w:tc>
        <w:tc>
          <w:tcPr>
            <w:tcW w:w="1347" w:type="dxa"/>
            <w:tcBorders>
              <w:top w:val="nil"/>
              <w:left w:val="nil"/>
              <w:bottom w:val="nil"/>
              <w:right w:val="nil"/>
            </w:tcBorders>
            <w:shd w:val="clear" w:color="auto" w:fill="auto"/>
            <w:vAlign w:val="bottom"/>
            <w:hideMark/>
          </w:tcPr>
          <w:p w14:paraId="7B0D27EC"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5.344</w:t>
            </w:r>
          </w:p>
        </w:tc>
        <w:tc>
          <w:tcPr>
            <w:tcW w:w="1350" w:type="dxa"/>
            <w:tcBorders>
              <w:top w:val="nil"/>
              <w:left w:val="nil"/>
              <w:bottom w:val="nil"/>
              <w:right w:val="nil"/>
            </w:tcBorders>
            <w:shd w:val="clear" w:color="auto" w:fill="auto"/>
            <w:vAlign w:val="bottom"/>
            <w:hideMark/>
          </w:tcPr>
          <w:p w14:paraId="42C1938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100.6</w:t>
            </w:r>
          </w:p>
        </w:tc>
        <w:tc>
          <w:tcPr>
            <w:tcW w:w="1350" w:type="dxa"/>
            <w:tcBorders>
              <w:top w:val="nil"/>
              <w:left w:val="nil"/>
              <w:bottom w:val="nil"/>
              <w:right w:val="nil"/>
            </w:tcBorders>
            <w:shd w:val="clear" w:color="auto" w:fill="auto"/>
            <w:vAlign w:val="bottom"/>
            <w:hideMark/>
          </w:tcPr>
          <w:p w14:paraId="17447EA1"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106.8</w:t>
            </w:r>
          </w:p>
        </w:tc>
        <w:tc>
          <w:tcPr>
            <w:tcW w:w="1351" w:type="dxa"/>
            <w:tcBorders>
              <w:top w:val="nil"/>
              <w:left w:val="nil"/>
              <w:bottom w:val="nil"/>
              <w:right w:val="nil"/>
            </w:tcBorders>
            <w:shd w:val="clear" w:color="auto" w:fill="auto"/>
            <w:vAlign w:val="bottom"/>
            <w:hideMark/>
          </w:tcPr>
          <w:p w14:paraId="39BA93E5"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107.5</w:t>
            </w:r>
          </w:p>
        </w:tc>
      </w:tr>
      <w:tr w:rsidR="00F463DA" w:rsidRPr="00F463DA" w14:paraId="68C84B23" w14:textId="77777777" w:rsidTr="00F463DA">
        <w:trPr>
          <w:trHeight w:val="225"/>
          <w:jc w:val="center"/>
        </w:trPr>
        <w:tc>
          <w:tcPr>
            <w:tcW w:w="266" w:type="dxa"/>
            <w:tcBorders>
              <w:top w:val="nil"/>
              <w:left w:val="nil"/>
              <w:bottom w:val="single" w:sz="4" w:space="0" w:color="auto"/>
              <w:right w:val="nil"/>
            </w:tcBorders>
            <w:shd w:val="clear" w:color="auto" w:fill="auto"/>
            <w:noWrap/>
            <w:vAlign w:val="center"/>
            <w:hideMark/>
          </w:tcPr>
          <w:p w14:paraId="3B0449AA"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12</w:t>
            </w:r>
          </w:p>
        </w:tc>
        <w:tc>
          <w:tcPr>
            <w:tcW w:w="3596" w:type="dxa"/>
            <w:tcBorders>
              <w:top w:val="nil"/>
              <w:left w:val="nil"/>
              <w:bottom w:val="single" w:sz="4" w:space="0" w:color="auto"/>
              <w:right w:val="nil"/>
            </w:tcBorders>
            <w:shd w:val="clear" w:color="auto" w:fill="auto"/>
            <w:vAlign w:val="center"/>
            <w:hideMark/>
          </w:tcPr>
          <w:p w14:paraId="2E8AD500" w14:textId="77777777" w:rsidR="00F463DA" w:rsidRPr="00F463DA" w:rsidRDefault="00F463DA" w:rsidP="00F463DA">
            <w:pPr>
              <w:rPr>
                <w:rFonts w:ascii="Verdana" w:eastAsia="Times New Roman" w:hAnsi="Verdana" w:cs="Arial"/>
                <w:sz w:val="16"/>
                <w:szCs w:val="16"/>
                <w:lang w:eastAsia="bg-BG"/>
              </w:rPr>
            </w:pPr>
            <w:r w:rsidRPr="00F463DA">
              <w:rPr>
                <w:rFonts w:ascii="Verdana" w:eastAsia="Times New Roman" w:hAnsi="Verdana" w:cs="Arial"/>
                <w:sz w:val="16"/>
                <w:szCs w:val="16"/>
                <w:lang w:eastAsia="bg-BG"/>
              </w:rPr>
              <w:t>Разнообразни стоки и услуги</w:t>
            </w:r>
          </w:p>
        </w:tc>
        <w:tc>
          <w:tcPr>
            <w:tcW w:w="1347" w:type="dxa"/>
            <w:tcBorders>
              <w:top w:val="nil"/>
              <w:left w:val="nil"/>
              <w:bottom w:val="single" w:sz="4" w:space="0" w:color="auto"/>
              <w:right w:val="nil"/>
            </w:tcBorders>
            <w:shd w:val="clear" w:color="auto" w:fill="auto"/>
            <w:vAlign w:val="bottom"/>
            <w:hideMark/>
          </w:tcPr>
          <w:p w14:paraId="1F1A3D77"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4.819</w:t>
            </w:r>
          </w:p>
        </w:tc>
        <w:tc>
          <w:tcPr>
            <w:tcW w:w="1350" w:type="dxa"/>
            <w:tcBorders>
              <w:top w:val="nil"/>
              <w:left w:val="nil"/>
              <w:bottom w:val="single" w:sz="4" w:space="0" w:color="auto"/>
              <w:right w:val="nil"/>
            </w:tcBorders>
            <w:shd w:val="clear" w:color="auto" w:fill="auto"/>
            <w:vAlign w:val="bottom"/>
            <w:hideMark/>
          </w:tcPr>
          <w:p w14:paraId="4CB4B740"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99.8</w:t>
            </w:r>
          </w:p>
        </w:tc>
        <w:tc>
          <w:tcPr>
            <w:tcW w:w="1350" w:type="dxa"/>
            <w:tcBorders>
              <w:top w:val="nil"/>
              <w:left w:val="nil"/>
              <w:bottom w:val="single" w:sz="4" w:space="0" w:color="auto"/>
              <w:right w:val="nil"/>
            </w:tcBorders>
            <w:shd w:val="clear" w:color="auto" w:fill="auto"/>
            <w:vAlign w:val="bottom"/>
            <w:hideMark/>
          </w:tcPr>
          <w:p w14:paraId="4BE6F4DB"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102.8</w:t>
            </w:r>
          </w:p>
        </w:tc>
        <w:tc>
          <w:tcPr>
            <w:tcW w:w="1351" w:type="dxa"/>
            <w:tcBorders>
              <w:top w:val="nil"/>
              <w:left w:val="nil"/>
              <w:bottom w:val="single" w:sz="4" w:space="0" w:color="auto"/>
              <w:right w:val="nil"/>
            </w:tcBorders>
            <w:shd w:val="clear" w:color="auto" w:fill="auto"/>
            <w:vAlign w:val="bottom"/>
            <w:hideMark/>
          </w:tcPr>
          <w:p w14:paraId="764C50E5" w14:textId="77777777" w:rsidR="00F463DA" w:rsidRPr="00F463DA" w:rsidRDefault="00F463DA" w:rsidP="00F463DA">
            <w:pPr>
              <w:jc w:val="right"/>
              <w:rPr>
                <w:rFonts w:ascii="Verdana" w:eastAsia="Times New Roman" w:hAnsi="Verdana" w:cs="Arial"/>
                <w:sz w:val="16"/>
                <w:szCs w:val="16"/>
                <w:lang w:eastAsia="bg-BG"/>
              </w:rPr>
            </w:pPr>
            <w:r w:rsidRPr="00F463DA">
              <w:rPr>
                <w:rFonts w:ascii="Verdana" w:eastAsia="Times New Roman" w:hAnsi="Verdana" w:cs="Arial"/>
                <w:sz w:val="16"/>
                <w:szCs w:val="16"/>
                <w:lang w:eastAsia="bg-BG"/>
              </w:rPr>
              <w:t>103.5</w:t>
            </w:r>
          </w:p>
        </w:tc>
      </w:tr>
      <w:tr w:rsidR="00F463DA" w:rsidRPr="00F463DA" w14:paraId="11B93320" w14:textId="77777777" w:rsidTr="00F463DA">
        <w:trPr>
          <w:trHeight w:val="225"/>
          <w:jc w:val="center"/>
        </w:trPr>
        <w:tc>
          <w:tcPr>
            <w:tcW w:w="3862" w:type="dxa"/>
            <w:gridSpan w:val="2"/>
            <w:tcBorders>
              <w:top w:val="nil"/>
              <w:left w:val="nil"/>
              <w:bottom w:val="nil"/>
              <w:right w:val="nil"/>
            </w:tcBorders>
            <w:shd w:val="clear" w:color="auto" w:fill="auto"/>
            <w:noWrap/>
            <w:hideMark/>
          </w:tcPr>
          <w:p w14:paraId="66F777EC" w14:textId="77777777" w:rsidR="00F463DA" w:rsidRPr="00F463DA" w:rsidRDefault="00F463DA" w:rsidP="00F463DA">
            <w:pPr>
              <w:jc w:val="right"/>
              <w:rPr>
                <w:rFonts w:ascii="Verdana" w:eastAsia="Times New Roman" w:hAnsi="Verdana" w:cs="Arial"/>
                <w:sz w:val="16"/>
                <w:szCs w:val="16"/>
                <w:lang w:eastAsia="bg-BG"/>
              </w:rPr>
            </w:pPr>
          </w:p>
        </w:tc>
        <w:tc>
          <w:tcPr>
            <w:tcW w:w="1347" w:type="dxa"/>
            <w:tcBorders>
              <w:top w:val="nil"/>
              <w:left w:val="nil"/>
              <w:bottom w:val="nil"/>
              <w:right w:val="nil"/>
            </w:tcBorders>
            <w:shd w:val="clear" w:color="auto" w:fill="auto"/>
            <w:noWrap/>
            <w:vAlign w:val="bottom"/>
            <w:hideMark/>
          </w:tcPr>
          <w:p w14:paraId="3EC07C64" w14:textId="77777777" w:rsidR="00F463DA" w:rsidRPr="00F463DA" w:rsidRDefault="00F463DA" w:rsidP="00F463DA">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7970D221" w14:textId="77777777" w:rsidR="00F463DA" w:rsidRPr="00F463DA" w:rsidRDefault="00F463DA" w:rsidP="00F463DA">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783A38F7" w14:textId="77777777" w:rsidR="00F463DA" w:rsidRPr="00F463DA" w:rsidRDefault="00F463DA" w:rsidP="00F463DA">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6CA85B08" w14:textId="77777777" w:rsidR="00F463DA" w:rsidRPr="00F463DA" w:rsidRDefault="00F463DA" w:rsidP="00F463DA">
            <w:pPr>
              <w:rPr>
                <w:rFonts w:eastAsia="Times New Roman" w:cs="Times New Roman"/>
                <w:sz w:val="20"/>
                <w:szCs w:val="20"/>
                <w:lang w:eastAsia="bg-BG"/>
              </w:rPr>
            </w:pPr>
          </w:p>
        </w:tc>
      </w:tr>
      <w:tr w:rsidR="00F463DA" w:rsidRPr="00F463DA" w14:paraId="355D60FF" w14:textId="77777777" w:rsidTr="00F463DA">
        <w:trPr>
          <w:trHeight w:val="225"/>
          <w:jc w:val="center"/>
        </w:trPr>
        <w:tc>
          <w:tcPr>
            <w:tcW w:w="3862" w:type="dxa"/>
            <w:gridSpan w:val="2"/>
            <w:tcBorders>
              <w:top w:val="nil"/>
              <w:left w:val="nil"/>
              <w:bottom w:val="nil"/>
              <w:right w:val="nil"/>
            </w:tcBorders>
            <w:shd w:val="clear" w:color="auto" w:fill="auto"/>
            <w:noWrap/>
            <w:hideMark/>
          </w:tcPr>
          <w:p w14:paraId="08EB17CA" w14:textId="77777777" w:rsidR="00F463DA" w:rsidRPr="00F463DA" w:rsidRDefault="00F463DA" w:rsidP="00F463D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7" w:type="dxa"/>
            <w:tcBorders>
              <w:top w:val="nil"/>
              <w:left w:val="nil"/>
              <w:bottom w:val="nil"/>
              <w:right w:val="nil"/>
            </w:tcBorders>
            <w:shd w:val="clear" w:color="auto" w:fill="auto"/>
            <w:noWrap/>
            <w:vAlign w:val="bottom"/>
            <w:hideMark/>
          </w:tcPr>
          <w:p w14:paraId="3DFC4699"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50" w:type="dxa"/>
            <w:tcBorders>
              <w:top w:val="nil"/>
              <w:left w:val="nil"/>
              <w:bottom w:val="nil"/>
              <w:right w:val="nil"/>
            </w:tcBorders>
            <w:shd w:val="clear" w:color="auto" w:fill="auto"/>
            <w:noWrap/>
            <w:vAlign w:val="bottom"/>
            <w:hideMark/>
          </w:tcPr>
          <w:p w14:paraId="122D277D"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101.3</w:t>
            </w:r>
          </w:p>
        </w:tc>
        <w:tc>
          <w:tcPr>
            <w:tcW w:w="1350" w:type="dxa"/>
            <w:tcBorders>
              <w:top w:val="nil"/>
              <w:left w:val="nil"/>
              <w:bottom w:val="nil"/>
              <w:right w:val="nil"/>
            </w:tcBorders>
            <w:shd w:val="clear" w:color="auto" w:fill="auto"/>
            <w:noWrap/>
            <w:vAlign w:val="bottom"/>
            <w:hideMark/>
          </w:tcPr>
          <w:p w14:paraId="695099F5"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103.4</w:t>
            </w:r>
          </w:p>
        </w:tc>
        <w:tc>
          <w:tcPr>
            <w:tcW w:w="1351" w:type="dxa"/>
            <w:tcBorders>
              <w:top w:val="nil"/>
              <w:left w:val="nil"/>
              <w:bottom w:val="nil"/>
              <w:right w:val="nil"/>
            </w:tcBorders>
            <w:shd w:val="clear" w:color="auto" w:fill="auto"/>
            <w:noWrap/>
            <w:vAlign w:val="bottom"/>
            <w:hideMark/>
          </w:tcPr>
          <w:p w14:paraId="542F4B02"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104.0</w:t>
            </w:r>
          </w:p>
        </w:tc>
      </w:tr>
      <w:tr w:rsidR="00F463DA" w:rsidRPr="00F463DA" w14:paraId="40DAF9FC" w14:textId="77777777" w:rsidTr="00F463DA">
        <w:trPr>
          <w:trHeight w:val="225"/>
          <w:jc w:val="center"/>
        </w:trPr>
        <w:tc>
          <w:tcPr>
            <w:tcW w:w="3862" w:type="dxa"/>
            <w:gridSpan w:val="2"/>
            <w:tcBorders>
              <w:top w:val="nil"/>
              <w:left w:val="nil"/>
              <w:bottom w:val="nil"/>
              <w:right w:val="nil"/>
            </w:tcBorders>
            <w:shd w:val="clear" w:color="auto" w:fill="auto"/>
            <w:noWrap/>
            <w:hideMark/>
          </w:tcPr>
          <w:p w14:paraId="5A5EE53C" w14:textId="77777777" w:rsidR="00F463DA" w:rsidRPr="00F463DA" w:rsidRDefault="00F463DA" w:rsidP="00F463D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7" w:type="dxa"/>
            <w:tcBorders>
              <w:top w:val="nil"/>
              <w:left w:val="nil"/>
              <w:bottom w:val="nil"/>
              <w:right w:val="nil"/>
            </w:tcBorders>
            <w:shd w:val="clear" w:color="auto" w:fill="auto"/>
            <w:noWrap/>
            <w:vAlign w:val="bottom"/>
            <w:hideMark/>
          </w:tcPr>
          <w:p w14:paraId="058D1D65"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50" w:type="dxa"/>
            <w:tcBorders>
              <w:top w:val="nil"/>
              <w:left w:val="nil"/>
              <w:bottom w:val="nil"/>
              <w:right w:val="nil"/>
            </w:tcBorders>
            <w:shd w:val="clear" w:color="auto" w:fill="auto"/>
            <w:noWrap/>
            <w:vAlign w:val="bottom"/>
            <w:hideMark/>
          </w:tcPr>
          <w:p w14:paraId="11AD6311"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99.9</w:t>
            </w:r>
          </w:p>
        </w:tc>
        <w:tc>
          <w:tcPr>
            <w:tcW w:w="1350" w:type="dxa"/>
            <w:tcBorders>
              <w:top w:val="nil"/>
              <w:left w:val="nil"/>
              <w:bottom w:val="nil"/>
              <w:right w:val="nil"/>
            </w:tcBorders>
            <w:shd w:val="clear" w:color="auto" w:fill="auto"/>
            <w:noWrap/>
            <w:vAlign w:val="bottom"/>
            <w:hideMark/>
          </w:tcPr>
          <w:p w14:paraId="43BE3F91"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98.9</w:t>
            </w:r>
          </w:p>
        </w:tc>
        <w:tc>
          <w:tcPr>
            <w:tcW w:w="1351" w:type="dxa"/>
            <w:tcBorders>
              <w:top w:val="nil"/>
              <w:left w:val="nil"/>
              <w:bottom w:val="nil"/>
              <w:right w:val="nil"/>
            </w:tcBorders>
            <w:shd w:val="clear" w:color="auto" w:fill="auto"/>
            <w:noWrap/>
            <w:vAlign w:val="bottom"/>
            <w:hideMark/>
          </w:tcPr>
          <w:p w14:paraId="749986F2"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98.4</w:t>
            </w:r>
          </w:p>
        </w:tc>
      </w:tr>
      <w:tr w:rsidR="00F463DA" w:rsidRPr="00F463DA" w14:paraId="1305DD65" w14:textId="77777777" w:rsidTr="00F463DA">
        <w:trPr>
          <w:trHeight w:val="225"/>
          <w:jc w:val="center"/>
        </w:trPr>
        <w:tc>
          <w:tcPr>
            <w:tcW w:w="3862" w:type="dxa"/>
            <w:gridSpan w:val="2"/>
            <w:tcBorders>
              <w:top w:val="nil"/>
              <w:left w:val="nil"/>
              <w:bottom w:val="nil"/>
              <w:right w:val="nil"/>
            </w:tcBorders>
            <w:shd w:val="clear" w:color="auto" w:fill="auto"/>
            <w:noWrap/>
            <w:hideMark/>
          </w:tcPr>
          <w:p w14:paraId="2BB50CFE" w14:textId="77777777" w:rsidR="00F463DA" w:rsidRPr="00F463DA" w:rsidRDefault="00F463DA" w:rsidP="00F463D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7" w:type="dxa"/>
            <w:tcBorders>
              <w:top w:val="nil"/>
              <w:left w:val="nil"/>
              <w:bottom w:val="nil"/>
              <w:right w:val="nil"/>
            </w:tcBorders>
            <w:shd w:val="clear" w:color="auto" w:fill="auto"/>
            <w:noWrap/>
            <w:vAlign w:val="bottom"/>
            <w:hideMark/>
          </w:tcPr>
          <w:p w14:paraId="5BC03AF2"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50" w:type="dxa"/>
            <w:tcBorders>
              <w:top w:val="nil"/>
              <w:left w:val="nil"/>
              <w:bottom w:val="nil"/>
              <w:right w:val="nil"/>
            </w:tcBorders>
            <w:shd w:val="clear" w:color="auto" w:fill="auto"/>
            <w:noWrap/>
            <w:vAlign w:val="bottom"/>
            <w:hideMark/>
          </w:tcPr>
          <w:p w14:paraId="78A24B79"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100.7</w:t>
            </w:r>
          </w:p>
        </w:tc>
        <w:tc>
          <w:tcPr>
            <w:tcW w:w="1350" w:type="dxa"/>
            <w:tcBorders>
              <w:top w:val="nil"/>
              <w:left w:val="nil"/>
              <w:bottom w:val="nil"/>
              <w:right w:val="nil"/>
            </w:tcBorders>
            <w:shd w:val="clear" w:color="auto" w:fill="auto"/>
            <w:noWrap/>
            <w:vAlign w:val="bottom"/>
            <w:hideMark/>
          </w:tcPr>
          <w:p w14:paraId="053660F0"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106.5</w:t>
            </w:r>
          </w:p>
        </w:tc>
        <w:tc>
          <w:tcPr>
            <w:tcW w:w="1351" w:type="dxa"/>
            <w:tcBorders>
              <w:top w:val="nil"/>
              <w:left w:val="nil"/>
              <w:bottom w:val="nil"/>
              <w:right w:val="nil"/>
            </w:tcBorders>
            <w:shd w:val="clear" w:color="auto" w:fill="auto"/>
            <w:noWrap/>
            <w:vAlign w:val="bottom"/>
            <w:hideMark/>
          </w:tcPr>
          <w:p w14:paraId="123193F5"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106.8</w:t>
            </w:r>
          </w:p>
        </w:tc>
      </w:tr>
      <w:tr w:rsidR="00F463DA" w:rsidRPr="00F463DA" w14:paraId="0C62C5D2" w14:textId="77777777" w:rsidTr="00F463DA">
        <w:trPr>
          <w:trHeight w:val="225"/>
          <w:jc w:val="center"/>
        </w:trPr>
        <w:tc>
          <w:tcPr>
            <w:tcW w:w="3862" w:type="dxa"/>
            <w:gridSpan w:val="2"/>
            <w:tcBorders>
              <w:top w:val="nil"/>
              <w:left w:val="nil"/>
              <w:bottom w:val="single" w:sz="4" w:space="0" w:color="auto"/>
              <w:right w:val="nil"/>
            </w:tcBorders>
            <w:shd w:val="clear" w:color="auto" w:fill="auto"/>
            <w:noWrap/>
            <w:hideMark/>
          </w:tcPr>
          <w:p w14:paraId="630B38CA" w14:textId="77777777" w:rsidR="00F463DA" w:rsidRPr="00F463DA" w:rsidRDefault="00F463DA" w:rsidP="00F463DA">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7" w:type="dxa"/>
            <w:tcBorders>
              <w:top w:val="nil"/>
              <w:left w:val="nil"/>
              <w:bottom w:val="single" w:sz="4" w:space="0" w:color="auto"/>
              <w:right w:val="nil"/>
            </w:tcBorders>
            <w:shd w:val="clear" w:color="auto" w:fill="auto"/>
            <w:noWrap/>
            <w:vAlign w:val="bottom"/>
            <w:hideMark/>
          </w:tcPr>
          <w:p w14:paraId="408E9A10"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50" w:type="dxa"/>
            <w:tcBorders>
              <w:top w:val="nil"/>
              <w:left w:val="nil"/>
              <w:bottom w:val="single" w:sz="4" w:space="0" w:color="auto"/>
              <w:right w:val="nil"/>
            </w:tcBorders>
            <w:shd w:val="clear" w:color="auto" w:fill="auto"/>
            <w:noWrap/>
            <w:vAlign w:val="bottom"/>
            <w:hideMark/>
          </w:tcPr>
          <w:p w14:paraId="39B93B3E"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0" w:type="dxa"/>
            <w:tcBorders>
              <w:top w:val="nil"/>
              <w:left w:val="nil"/>
              <w:bottom w:val="single" w:sz="4" w:space="0" w:color="auto"/>
              <w:right w:val="nil"/>
            </w:tcBorders>
            <w:shd w:val="clear" w:color="auto" w:fill="auto"/>
            <w:noWrap/>
            <w:vAlign w:val="bottom"/>
            <w:hideMark/>
          </w:tcPr>
          <w:p w14:paraId="122294CA"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102.9</w:t>
            </w:r>
          </w:p>
        </w:tc>
        <w:tc>
          <w:tcPr>
            <w:tcW w:w="1351" w:type="dxa"/>
            <w:tcBorders>
              <w:top w:val="nil"/>
              <w:left w:val="nil"/>
              <w:bottom w:val="single" w:sz="4" w:space="0" w:color="auto"/>
              <w:right w:val="nil"/>
            </w:tcBorders>
            <w:shd w:val="clear" w:color="auto" w:fill="auto"/>
            <w:noWrap/>
            <w:vAlign w:val="bottom"/>
            <w:hideMark/>
          </w:tcPr>
          <w:p w14:paraId="53B2C600" w14:textId="77777777" w:rsidR="00F463DA" w:rsidRPr="00F463DA" w:rsidRDefault="00F463DA" w:rsidP="00F463DA">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463DA">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103.7</w:t>
            </w:r>
          </w:p>
        </w:tc>
      </w:tr>
    </w:tbl>
    <w:p w14:paraId="57CEE22A" w14:textId="77777777" w:rsidR="002D0367" w:rsidRPr="003F700D" w:rsidRDefault="002D0367" w:rsidP="00E21163">
      <w:pPr>
        <w:tabs>
          <w:tab w:val="left" w:pos="3123"/>
        </w:tabs>
        <w:spacing w:line="360" w:lineRule="auto"/>
        <w:ind w:firstLine="567"/>
        <w:jc w:val="center"/>
        <w:rPr>
          <w:rFonts w:ascii="Verdana" w:eastAsia="Μοντέρνα" w:hAnsi="Verdana" w:cs="Times New Roman"/>
          <w:sz w:val="20"/>
          <w:szCs w:val="20"/>
          <w:lang w:eastAsia="bg-BG"/>
        </w:rPr>
      </w:pPr>
    </w:p>
    <w:p w14:paraId="36C741CC" w14:textId="77777777" w:rsidR="004760D3" w:rsidRPr="003F700D"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Pr="003F700D" w:rsidRDefault="00B6138F">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35B34664" w14:textId="7166B378"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2</w:t>
      </w:r>
    </w:p>
    <w:tbl>
      <w:tblPr>
        <w:tblW w:w="10180" w:type="dxa"/>
        <w:jc w:val="center"/>
        <w:tblCellMar>
          <w:left w:w="70" w:type="dxa"/>
          <w:right w:w="70" w:type="dxa"/>
        </w:tblCellMar>
        <w:tblLook w:val="04A0" w:firstRow="1" w:lastRow="0" w:firstColumn="1" w:lastColumn="0" w:noHBand="0" w:noVBand="1"/>
      </w:tblPr>
      <w:tblGrid>
        <w:gridCol w:w="368"/>
        <w:gridCol w:w="3176"/>
        <w:gridCol w:w="1350"/>
        <w:gridCol w:w="1346"/>
        <w:gridCol w:w="1350"/>
        <w:gridCol w:w="1351"/>
        <w:gridCol w:w="1349"/>
      </w:tblGrid>
      <w:tr w:rsidR="00FC5771" w:rsidRPr="00FC5771" w14:paraId="34AA45E6" w14:textId="77777777" w:rsidTr="00FC5771">
        <w:trPr>
          <w:trHeight w:val="600"/>
          <w:jc w:val="center"/>
        </w:trPr>
        <w:tc>
          <w:tcPr>
            <w:tcW w:w="10180" w:type="dxa"/>
            <w:gridSpan w:val="7"/>
            <w:tcBorders>
              <w:top w:val="nil"/>
              <w:left w:val="nil"/>
              <w:bottom w:val="nil"/>
              <w:right w:val="nil"/>
            </w:tcBorders>
            <w:shd w:val="clear" w:color="auto" w:fill="auto"/>
            <w:vAlign w:val="center"/>
            <w:hideMark/>
          </w:tcPr>
          <w:p w14:paraId="3EAE02B2" w14:textId="77777777" w:rsidR="00FC5771" w:rsidRPr="00FC5771" w:rsidRDefault="00FC5771" w:rsidP="00FC5771">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ноември 2024 година</w:t>
            </w:r>
          </w:p>
        </w:tc>
      </w:tr>
      <w:tr w:rsidR="00FC5771" w:rsidRPr="00FC5771" w14:paraId="395AC798" w14:textId="77777777" w:rsidTr="00FC5771">
        <w:trPr>
          <w:trHeight w:val="210"/>
          <w:jc w:val="center"/>
        </w:trPr>
        <w:tc>
          <w:tcPr>
            <w:tcW w:w="258" w:type="dxa"/>
            <w:tcBorders>
              <w:top w:val="nil"/>
              <w:left w:val="nil"/>
              <w:bottom w:val="nil"/>
              <w:right w:val="nil"/>
            </w:tcBorders>
            <w:shd w:val="clear" w:color="auto" w:fill="auto"/>
            <w:noWrap/>
            <w:vAlign w:val="bottom"/>
            <w:hideMark/>
          </w:tcPr>
          <w:p w14:paraId="03485D3A" w14:textId="77777777" w:rsidR="00FC5771" w:rsidRPr="00FC5771" w:rsidRDefault="00FC5771" w:rsidP="00FC5771">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76" w:type="dxa"/>
            <w:tcBorders>
              <w:top w:val="nil"/>
              <w:left w:val="nil"/>
              <w:bottom w:val="nil"/>
              <w:right w:val="nil"/>
            </w:tcBorders>
            <w:shd w:val="clear" w:color="auto" w:fill="auto"/>
            <w:noWrap/>
            <w:vAlign w:val="bottom"/>
            <w:hideMark/>
          </w:tcPr>
          <w:p w14:paraId="0A2D374A" w14:textId="77777777" w:rsidR="00FC5771" w:rsidRPr="00FC5771" w:rsidRDefault="00FC5771" w:rsidP="00FC5771">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03AED4BA" w14:textId="77777777" w:rsidR="00FC5771" w:rsidRPr="00FC5771" w:rsidRDefault="00FC5771" w:rsidP="00FC5771">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65238893" w14:textId="77777777" w:rsidR="00FC5771" w:rsidRPr="00FC5771" w:rsidRDefault="00FC5771" w:rsidP="00FC5771">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1F3B5602" w14:textId="77777777" w:rsidR="00FC5771" w:rsidRPr="00FC5771" w:rsidRDefault="00FC5771" w:rsidP="00FC5771">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425F5F2C" w14:textId="77777777" w:rsidR="00FC5771" w:rsidRPr="00FC5771" w:rsidRDefault="00FC5771" w:rsidP="00FC5771">
            <w:pPr>
              <w:rPr>
                <w:rFonts w:eastAsia="Times New Roman" w:cs="Times New Roman"/>
                <w:sz w:val="20"/>
                <w:szCs w:val="20"/>
                <w:lang w:eastAsia="bg-BG"/>
              </w:rPr>
            </w:pPr>
          </w:p>
        </w:tc>
        <w:tc>
          <w:tcPr>
            <w:tcW w:w="1349" w:type="dxa"/>
            <w:tcBorders>
              <w:top w:val="nil"/>
              <w:left w:val="nil"/>
              <w:bottom w:val="nil"/>
              <w:right w:val="nil"/>
            </w:tcBorders>
            <w:shd w:val="clear" w:color="auto" w:fill="auto"/>
            <w:noWrap/>
            <w:vAlign w:val="bottom"/>
            <w:hideMark/>
          </w:tcPr>
          <w:p w14:paraId="5FD2E9A8" w14:textId="77777777" w:rsidR="00FC5771" w:rsidRPr="00FC5771" w:rsidRDefault="00FC5771" w:rsidP="00FC5771">
            <w:pPr>
              <w:jc w:val="right"/>
              <w:rPr>
                <w:rFonts w:eastAsia="Times New Roman" w:cs="Times New Roman"/>
                <w:sz w:val="20"/>
                <w:szCs w:val="20"/>
                <w:lang w:eastAsia="bg-BG"/>
              </w:rPr>
            </w:pPr>
          </w:p>
        </w:tc>
      </w:tr>
      <w:tr w:rsidR="00FC5771" w:rsidRPr="00FC5771" w14:paraId="56589F49" w14:textId="77777777" w:rsidTr="00FC5771">
        <w:trPr>
          <w:trHeight w:val="270"/>
          <w:jc w:val="center"/>
        </w:trPr>
        <w:tc>
          <w:tcPr>
            <w:tcW w:w="34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A7EBD5" w14:textId="77777777" w:rsidR="00FC5771" w:rsidRPr="00FC5771" w:rsidRDefault="00FC5771" w:rsidP="00FC5771">
            <w:pPr>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Потребителски групи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F2D82" w14:textId="77777777" w:rsidR="00FC5771" w:rsidRPr="00FC5771" w:rsidRDefault="00FC5771" w:rsidP="00FC5771">
            <w:pPr>
              <w:jc w:val="center"/>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 xml:space="preserve">Тегла   </w:t>
            </w:r>
          </w:p>
        </w:tc>
        <w:tc>
          <w:tcPr>
            <w:tcW w:w="5396" w:type="dxa"/>
            <w:gridSpan w:val="4"/>
            <w:tcBorders>
              <w:top w:val="single" w:sz="4" w:space="0" w:color="auto"/>
              <w:left w:val="nil"/>
              <w:bottom w:val="single" w:sz="4" w:space="0" w:color="auto"/>
              <w:right w:val="single" w:sz="4" w:space="0" w:color="auto"/>
            </w:tcBorders>
            <w:shd w:val="clear" w:color="auto" w:fill="auto"/>
            <w:vAlign w:val="center"/>
            <w:hideMark/>
          </w:tcPr>
          <w:p w14:paraId="2C51B9FB" w14:textId="77777777" w:rsidR="00FC5771" w:rsidRPr="00FC5771" w:rsidRDefault="00FC5771" w:rsidP="00FC5771">
            <w:pPr>
              <w:jc w:val="center"/>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XI.2024</w:t>
            </w:r>
          </w:p>
        </w:tc>
      </w:tr>
      <w:tr w:rsidR="00FC5771" w:rsidRPr="00FC5771" w14:paraId="6CE34EF8" w14:textId="77777777" w:rsidTr="00FC5771">
        <w:trPr>
          <w:trHeight w:val="585"/>
          <w:jc w:val="center"/>
        </w:trPr>
        <w:tc>
          <w:tcPr>
            <w:tcW w:w="3434" w:type="dxa"/>
            <w:gridSpan w:val="2"/>
            <w:vMerge/>
            <w:tcBorders>
              <w:top w:val="single" w:sz="4" w:space="0" w:color="auto"/>
              <w:left w:val="single" w:sz="4" w:space="0" w:color="auto"/>
              <w:bottom w:val="single" w:sz="4" w:space="0" w:color="000000"/>
              <w:right w:val="single" w:sz="4" w:space="0" w:color="000000"/>
            </w:tcBorders>
            <w:vAlign w:val="center"/>
            <w:hideMark/>
          </w:tcPr>
          <w:p w14:paraId="20E389D7" w14:textId="77777777" w:rsidR="00FC5771" w:rsidRPr="00FC5771" w:rsidRDefault="00FC5771" w:rsidP="00FC5771">
            <w:pPr>
              <w:rPr>
                <w:rFonts w:ascii="Verdana" w:eastAsia="Times New Roman" w:hAnsi="Verdana" w:cs="Arial"/>
                <w:b/>
                <w:bCs/>
                <w:sz w:val="16"/>
                <w:szCs w:val="16"/>
                <w:lang w:eastAsia="bg-BG"/>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542BBA2C" w14:textId="77777777" w:rsidR="00FC5771" w:rsidRPr="00FC5771" w:rsidRDefault="00FC5771" w:rsidP="00FC5771">
            <w:pPr>
              <w:rPr>
                <w:rFonts w:ascii="Verdana" w:eastAsia="Times New Roman" w:hAnsi="Verdana" w:cs="Arial"/>
                <w:b/>
                <w:bCs/>
                <w:sz w:val="16"/>
                <w:szCs w:val="16"/>
                <w:lang w:eastAsia="bg-BG"/>
              </w:rPr>
            </w:pPr>
          </w:p>
        </w:tc>
        <w:tc>
          <w:tcPr>
            <w:tcW w:w="1346" w:type="dxa"/>
            <w:tcBorders>
              <w:top w:val="nil"/>
              <w:left w:val="nil"/>
              <w:bottom w:val="single" w:sz="4" w:space="0" w:color="auto"/>
              <w:right w:val="single" w:sz="4" w:space="0" w:color="auto"/>
            </w:tcBorders>
            <w:shd w:val="clear" w:color="auto" w:fill="auto"/>
            <w:hideMark/>
          </w:tcPr>
          <w:p w14:paraId="2C920540" w14:textId="77777777" w:rsidR="00FC5771" w:rsidRPr="00FC5771" w:rsidRDefault="00FC5771" w:rsidP="00FC5771">
            <w:pPr>
              <w:jc w:val="right"/>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2015 = 100</w:t>
            </w:r>
          </w:p>
        </w:tc>
        <w:tc>
          <w:tcPr>
            <w:tcW w:w="1350" w:type="dxa"/>
            <w:tcBorders>
              <w:top w:val="nil"/>
              <w:left w:val="nil"/>
              <w:bottom w:val="single" w:sz="4" w:space="0" w:color="auto"/>
              <w:right w:val="single" w:sz="4" w:space="0" w:color="auto"/>
            </w:tcBorders>
            <w:shd w:val="clear" w:color="auto" w:fill="auto"/>
            <w:hideMark/>
          </w:tcPr>
          <w:p w14:paraId="78E024DD" w14:textId="77777777" w:rsidR="00FC5771" w:rsidRPr="00FC5771" w:rsidRDefault="00FC5771" w:rsidP="00FC5771">
            <w:pPr>
              <w:jc w:val="right"/>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октомври 2024 = 100</w:t>
            </w:r>
          </w:p>
        </w:tc>
        <w:tc>
          <w:tcPr>
            <w:tcW w:w="1351" w:type="dxa"/>
            <w:tcBorders>
              <w:top w:val="nil"/>
              <w:left w:val="nil"/>
              <w:bottom w:val="single" w:sz="4" w:space="0" w:color="auto"/>
              <w:right w:val="single" w:sz="4" w:space="0" w:color="auto"/>
            </w:tcBorders>
            <w:shd w:val="clear" w:color="auto" w:fill="auto"/>
            <w:hideMark/>
          </w:tcPr>
          <w:p w14:paraId="49F33077" w14:textId="77777777" w:rsidR="00FC5771" w:rsidRPr="00FC5771" w:rsidRDefault="00FC5771" w:rsidP="00FC5771">
            <w:pPr>
              <w:jc w:val="right"/>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декември 2023 = 100</w:t>
            </w:r>
          </w:p>
        </w:tc>
        <w:tc>
          <w:tcPr>
            <w:tcW w:w="1349" w:type="dxa"/>
            <w:tcBorders>
              <w:top w:val="nil"/>
              <w:left w:val="nil"/>
              <w:bottom w:val="single" w:sz="4" w:space="0" w:color="auto"/>
              <w:right w:val="single" w:sz="4" w:space="0" w:color="auto"/>
            </w:tcBorders>
            <w:shd w:val="clear" w:color="auto" w:fill="auto"/>
            <w:hideMark/>
          </w:tcPr>
          <w:p w14:paraId="11971A94" w14:textId="77777777" w:rsidR="00FC5771" w:rsidRPr="00FC5771" w:rsidRDefault="00FC5771" w:rsidP="00FC5771">
            <w:pPr>
              <w:jc w:val="right"/>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ноември 2023 = 100</w:t>
            </w:r>
          </w:p>
        </w:tc>
      </w:tr>
      <w:tr w:rsidR="00FC5771" w:rsidRPr="00FC5771" w14:paraId="479FAC2C" w14:textId="77777777" w:rsidTr="00FC5771">
        <w:trPr>
          <w:trHeight w:val="255"/>
          <w:jc w:val="center"/>
        </w:trPr>
        <w:tc>
          <w:tcPr>
            <w:tcW w:w="3434" w:type="dxa"/>
            <w:gridSpan w:val="2"/>
            <w:vMerge/>
            <w:tcBorders>
              <w:top w:val="single" w:sz="4" w:space="0" w:color="auto"/>
              <w:left w:val="single" w:sz="4" w:space="0" w:color="auto"/>
              <w:bottom w:val="single" w:sz="4" w:space="0" w:color="000000"/>
              <w:right w:val="single" w:sz="4" w:space="0" w:color="000000"/>
            </w:tcBorders>
            <w:vAlign w:val="center"/>
            <w:hideMark/>
          </w:tcPr>
          <w:p w14:paraId="67596A91" w14:textId="77777777" w:rsidR="00FC5771" w:rsidRPr="00FC5771" w:rsidRDefault="00FC5771" w:rsidP="00FC5771">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vAlign w:val="center"/>
            <w:hideMark/>
          </w:tcPr>
          <w:p w14:paraId="6C5A1ADC" w14:textId="77777777" w:rsidR="00FC5771" w:rsidRPr="00FC5771" w:rsidRDefault="00FC5771" w:rsidP="00FC5771">
            <w:pPr>
              <w:jc w:val="center"/>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 xml:space="preserve">‰   </w:t>
            </w:r>
          </w:p>
        </w:tc>
        <w:tc>
          <w:tcPr>
            <w:tcW w:w="5396" w:type="dxa"/>
            <w:gridSpan w:val="4"/>
            <w:tcBorders>
              <w:top w:val="single" w:sz="4" w:space="0" w:color="auto"/>
              <w:left w:val="nil"/>
              <w:bottom w:val="single" w:sz="4" w:space="0" w:color="auto"/>
              <w:right w:val="single" w:sz="4" w:space="0" w:color="000000"/>
            </w:tcBorders>
            <w:shd w:val="clear" w:color="auto" w:fill="auto"/>
            <w:hideMark/>
          </w:tcPr>
          <w:p w14:paraId="57C5501F" w14:textId="77777777" w:rsidR="00FC5771" w:rsidRPr="00FC5771" w:rsidRDefault="00FC5771" w:rsidP="00FC5771">
            <w:pPr>
              <w:jc w:val="center"/>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w:t>
            </w:r>
          </w:p>
        </w:tc>
      </w:tr>
      <w:tr w:rsidR="00FC5771" w:rsidRPr="00FC5771" w14:paraId="6CFADD34" w14:textId="77777777" w:rsidTr="00FC5771">
        <w:trPr>
          <w:trHeight w:val="225"/>
          <w:jc w:val="center"/>
        </w:trPr>
        <w:tc>
          <w:tcPr>
            <w:tcW w:w="258" w:type="dxa"/>
            <w:tcBorders>
              <w:top w:val="nil"/>
              <w:left w:val="nil"/>
              <w:bottom w:val="nil"/>
              <w:right w:val="nil"/>
            </w:tcBorders>
            <w:shd w:val="clear" w:color="auto" w:fill="auto"/>
            <w:noWrap/>
            <w:hideMark/>
          </w:tcPr>
          <w:p w14:paraId="539CF7F0" w14:textId="77777777" w:rsidR="00FC5771" w:rsidRPr="00FC5771" w:rsidRDefault="00FC5771" w:rsidP="00FC5771">
            <w:pPr>
              <w:rPr>
                <w:rFonts w:ascii="Verdana" w:eastAsia="Times New Roman" w:hAnsi="Verdana" w:cs="Arial"/>
                <w:b/>
                <w:bCs/>
                <w:sz w:val="16"/>
                <w:szCs w:val="16"/>
                <w:lang w:eastAsia="bg-BG"/>
              </w:rPr>
            </w:pPr>
            <w:r w:rsidRPr="00FC5771">
              <w:rPr>
                <w:rFonts w:ascii="Verdana" w:eastAsia="Times New Roman" w:hAnsi="Verdana" w:cs="Arial"/>
                <w:b/>
                <w:bCs/>
                <w:sz w:val="16"/>
                <w:szCs w:val="16"/>
                <w:lang w:eastAsia="bg-BG"/>
              </w:rPr>
              <w:t>00</w:t>
            </w:r>
          </w:p>
        </w:tc>
        <w:tc>
          <w:tcPr>
            <w:tcW w:w="3176" w:type="dxa"/>
            <w:tcBorders>
              <w:top w:val="nil"/>
              <w:left w:val="nil"/>
              <w:bottom w:val="nil"/>
              <w:right w:val="nil"/>
            </w:tcBorders>
            <w:shd w:val="clear" w:color="auto" w:fill="auto"/>
            <w:noWrap/>
            <w:hideMark/>
          </w:tcPr>
          <w:p w14:paraId="47E097DD" w14:textId="77777777" w:rsidR="00FC5771" w:rsidRPr="00FC5771" w:rsidRDefault="00FC5771" w:rsidP="00FC5771">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0" w:type="dxa"/>
            <w:tcBorders>
              <w:top w:val="nil"/>
              <w:left w:val="nil"/>
              <w:bottom w:val="nil"/>
              <w:right w:val="nil"/>
            </w:tcBorders>
            <w:shd w:val="clear" w:color="auto" w:fill="auto"/>
            <w:noWrap/>
            <w:vAlign w:val="bottom"/>
            <w:hideMark/>
          </w:tcPr>
          <w:p w14:paraId="0E2EE5C9" w14:textId="77777777" w:rsidR="00FC5771" w:rsidRPr="00FC5771" w:rsidRDefault="00FC5771" w:rsidP="00FC577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6" w:type="dxa"/>
            <w:tcBorders>
              <w:top w:val="nil"/>
              <w:left w:val="nil"/>
              <w:bottom w:val="nil"/>
              <w:right w:val="nil"/>
            </w:tcBorders>
            <w:shd w:val="clear" w:color="auto" w:fill="auto"/>
            <w:noWrap/>
            <w:vAlign w:val="bottom"/>
            <w:hideMark/>
          </w:tcPr>
          <w:p w14:paraId="38320418" w14:textId="77777777" w:rsidR="00FC5771" w:rsidRPr="00FC5771" w:rsidRDefault="00FC5771" w:rsidP="00FC577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138.53</w:t>
            </w:r>
          </w:p>
        </w:tc>
        <w:tc>
          <w:tcPr>
            <w:tcW w:w="1350" w:type="dxa"/>
            <w:tcBorders>
              <w:top w:val="nil"/>
              <w:left w:val="nil"/>
              <w:bottom w:val="nil"/>
              <w:right w:val="nil"/>
            </w:tcBorders>
            <w:shd w:val="clear" w:color="auto" w:fill="auto"/>
            <w:noWrap/>
            <w:vAlign w:val="bottom"/>
            <w:hideMark/>
          </w:tcPr>
          <w:p w14:paraId="71D3EFC5" w14:textId="77777777" w:rsidR="00FC5771" w:rsidRPr="00FC5771" w:rsidRDefault="00FC5771" w:rsidP="00FC577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100.3</w:t>
            </w:r>
          </w:p>
        </w:tc>
        <w:tc>
          <w:tcPr>
            <w:tcW w:w="1351" w:type="dxa"/>
            <w:tcBorders>
              <w:top w:val="nil"/>
              <w:left w:val="nil"/>
              <w:bottom w:val="nil"/>
              <w:right w:val="nil"/>
            </w:tcBorders>
            <w:shd w:val="clear" w:color="auto" w:fill="auto"/>
            <w:noWrap/>
            <w:vAlign w:val="bottom"/>
            <w:hideMark/>
          </w:tcPr>
          <w:p w14:paraId="6AA25DB6" w14:textId="77777777" w:rsidR="00FC5771" w:rsidRPr="00FC5771" w:rsidRDefault="00FC5771" w:rsidP="00FC577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101.7</w:t>
            </w:r>
          </w:p>
        </w:tc>
        <w:tc>
          <w:tcPr>
            <w:tcW w:w="1349" w:type="dxa"/>
            <w:tcBorders>
              <w:top w:val="nil"/>
              <w:left w:val="nil"/>
              <w:bottom w:val="nil"/>
              <w:right w:val="nil"/>
            </w:tcBorders>
            <w:shd w:val="clear" w:color="auto" w:fill="auto"/>
            <w:noWrap/>
            <w:vAlign w:val="bottom"/>
            <w:hideMark/>
          </w:tcPr>
          <w:p w14:paraId="71F206C6" w14:textId="77777777" w:rsidR="00FC5771" w:rsidRPr="00FC5771" w:rsidRDefault="00FC5771" w:rsidP="00FC577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C577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102.0</w:t>
            </w:r>
          </w:p>
        </w:tc>
      </w:tr>
      <w:tr w:rsidR="00FC5771" w:rsidRPr="00FC5771" w14:paraId="3E087494" w14:textId="77777777" w:rsidTr="00FC5771">
        <w:trPr>
          <w:trHeight w:val="420"/>
          <w:jc w:val="center"/>
        </w:trPr>
        <w:tc>
          <w:tcPr>
            <w:tcW w:w="258" w:type="dxa"/>
            <w:tcBorders>
              <w:top w:val="nil"/>
              <w:left w:val="nil"/>
              <w:bottom w:val="nil"/>
              <w:right w:val="nil"/>
            </w:tcBorders>
            <w:shd w:val="clear" w:color="auto" w:fill="auto"/>
            <w:noWrap/>
            <w:hideMark/>
          </w:tcPr>
          <w:p w14:paraId="6F04F6B8"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01</w:t>
            </w:r>
          </w:p>
        </w:tc>
        <w:tc>
          <w:tcPr>
            <w:tcW w:w="3176" w:type="dxa"/>
            <w:tcBorders>
              <w:top w:val="nil"/>
              <w:left w:val="nil"/>
              <w:bottom w:val="nil"/>
              <w:right w:val="nil"/>
            </w:tcBorders>
            <w:shd w:val="clear" w:color="auto" w:fill="auto"/>
            <w:vAlign w:val="center"/>
            <w:hideMark/>
          </w:tcPr>
          <w:p w14:paraId="2C79E12A"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Хранителни продукти и безалкохолни напитки</w:t>
            </w:r>
          </w:p>
        </w:tc>
        <w:tc>
          <w:tcPr>
            <w:tcW w:w="1350" w:type="dxa"/>
            <w:tcBorders>
              <w:top w:val="nil"/>
              <w:left w:val="nil"/>
              <w:bottom w:val="nil"/>
              <w:right w:val="nil"/>
            </w:tcBorders>
            <w:shd w:val="clear" w:color="auto" w:fill="auto"/>
            <w:vAlign w:val="bottom"/>
            <w:hideMark/>
          </w:tcPr>
          <w:p w14:paraId="5ABFC686"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233.022</w:t>
            </w:r>
          </w:p>
        </w:tc>
        <w:tc>
          <w:tcPr>
            <w:tcW w:w="1346" w:type="dxa"/>
            <w:tcBorders>
              <w:top w:val="nil"/>
              <w:left w:val="nil"/>
              <w:bottom w:val="nil"/>
              <w:right w:val="nil"/>
            </w:tcBorders>
            <w:shd w:val="clear" w:color="auto" w:fill="auto"/>
            <w:vAlign w:val="bottom"/>
            <w:hideMark/>
          </w:tcPr>
          <w:p w14:paraId="0A2FDA59"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173.29</w:t>
            </w:r>
          </w:p>
        </w:tc>
        <w:tc>
          <w:tcPr>
            <w:tcW w:w="1350" w:type="dxa"/>
            <w:tcBorders>
              <w:top w:val="nil"/>
              <w:left w:val="nil"/>
              <w:bottom w:val="nil"/>
              <w:right w:val="nil"/>
            </w:tcBorders>
            <w:shd w:val="clear" w:color="auto" w:fill="auto"/>
            <w:vAlign w:val="bottom"/>
            <w:hideMark/>
          </w:tcPr>
          <w:p w14:paraId="68D84FBD"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101.1</w:t>
            </w:r>
          </w:p>
        </w:tc>
        <w:tc>
          <w:tcPr>
            <w:tcW w:w="1351" w:type="dxa"/>
            <w:tcBorders>
              <w:top w:val="nil"/>
              <w:left w:val="nil"/>
              <w:bottom w:val="nil"/>
              <w:right w:val="nil"/>
            </w:tcBorders>
            <w:shd w:val="clear" w:color="auto" w:fill="auto"/>
            <w:vAlign w:val="bottom"/>
            <w:hideMark/>
          </w:tcPr>
          <w:p w14:paraId="4D77E378"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103.6</w:t>
            </w:r>
          </w:p>
        </w:tc>
        <w:tc>
          <w:tcPr>
            <w:tcW w:w="1349" w:type="dxa"/>
            <w:tcBorders>
              <w:top w:val="nil"/>
              <w:left w:val="nil"/>
              <w:bottom w:val="nil"/>
              <w:right w:val="nil"/>
            </w:tcBorders>
            <w:shd w:val="clear" w:color="auto" w:fill="auto"/>
            <w:vAlign w:val="bottom"/>
            <w:hideMark/>
          </w:tcPr>
          <w:p w14:paraId="0B5E5C52"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104.3</w:t>
            </w:r>
          </w:p>
        </w:tc>
      </w:tr>
      <w:tr w:rsidR="00FC5771" w:rsidRPr="00FC5771" w14:paraId="3D95E3AA" w14:textId="77777777" w:rsidTr="00FC5771">
        <w:trPr>
          <w:trHeight w:val="420"/>
          <w:jc w:val="center"/>
        </w:trPr>
        <w:tc>
          <w:tcPr>
            <w:tcW w:w="258" w:type="dxa"/>
            <w:tcBorders>
              <w:top w:val="nil"/>
              <w:left w:val="nil"/>
              <w:bottom w:val="nil"/>
              <w:right w:val="nil"/>
            </w:tcBorders>
            <w:shd w:val="clear" w:color="auto" w:fill="auto"/>
            <w:noWrap/>
            <w:hideMark/>
          </w:tcPr>
          <w:p w14:paraId="656D33D8"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02</w:t>
            </w:r>
          </w:p>
        </w:tc>
        <w:tc>
          <w:tcPr>
            <w:tcW w:w="3176" w:type="dxa"/>
            <w:tcBorders>
              <w:top w:val="nil"/>
              <w:left w:val="nil"/>
              <w:bottom w:val="nil"/>
              <w:right w:val="nil"/>
            </w:tcBorders>
            <w:shd w:val="clear" w:color="auto" w:fill="auto"/>
            <w:vAlign w:val="center"/>
            <w:hideMark/>
          </w:tcPr>
          <w:p w14:paraId="296ADCC2"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Алкохолни напитки и тютюневи изделия</w:t>
            </w:r>
          </w:p>
        </w:tc>
        <w:tc>
          <w:tcPr>
            <w:tcW w:w="1350" w:type="dxa"/>
            <w:tcBorders>
              <w:top w:val="nil"/>
              <w:left w:val="nil"/>
              <w:bottom w:val="nil"/>
              <w:right w:val="nil"/>
            </w:tcBorders>
            <w:shd w:val="clear" w:color="auto" w:fill="auto"/>
            <w:vAlign w:val="bottom"/>
            <w:hideMark/>
          </w:tcPr>
          <w:p w14:paraId="03A3B88D"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54.937</w:t>
            </w:r>
          </w:p>
        </w:tc>
        <w:tc>
          <w:tcPr>
            <w:tcW w:w="1346" w:type="dxa"/>
            <w:tcBorders>
              <w:top w:val="nil"/>
              <w:left w:val="nil"/>
              <w:bottom w:val="nil"/>
              <w:right w:val="nil"/>
            </w:tcBorders>
            <w:shd w:val="clear" w:color="auto" w:fill="auto"/>
            <w:vAlign w:val="bottom"/>
            <w:hideMark/>
          </w:tcPr>
          <w:p w14:paraId="3AEBA3EF"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132.08</w:t>
            </w:r>
          </w:p>
        </w:tc>
        <w:tc>
          <w:tcPr>
            <w:tcW w:w="1350" w:type="dxa"/>
            <w:tcBorders>
              <w:top w:val="nil"/>
              <w:left w:val="nil"/>
              <w:bottom w:val="nil"/>
              <w:right w:val="nil"/>
            </w:tcBorders>
            <w:shd w:val="clear" w:color="auto" w:fill="auto"/>
            <w:vAlign w:val="bottom"/>
            <w:hideMark/>
          </w:tcPr>
          <w:p w14:paraId="7CFCCFD4"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100.7</w:t>
            </w:r>
          </w:p>
        </w:tc>
        <w:tc>
          <w:tcPr>
            <w:tcW w:w="1351" w:type="dxa"/>
            <w:tcBorders>
              <w:top w:val="nil"/>
              <w:left w:val="nil"/>
              <w:bottom w:val="nil"/>
              <w:right w:val="nil"/>
            </w:tcBorders>
            <w:shd w:val="clear" w:color="auto" w:fill="auto"/>
            <w:vAlign w:val="bottom"/>
            <w:hideMark/>
          </w:tcPr>
          <w:p w14:paraId="09BDE736"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105.6</w:t>
            </w:r>
          </w:p>
        </w:tc>
        <w:tc>
          <w:tcPr>
            <w:tcW w:w="1349" w:type="dxa"/>
            <w:tcBorders>
              <w:top w:val="nil"/>
              <w:left w:val="nil"/>
              <w:bottom w:val="nil"/>
              <w:right w:val="nil"/>
            </w:tcBorders>
            <w:shd w:val="clear" w:color="auto" w:fill="auto"/>
            <w:vAlign w:val="bottom"/>
            <w:hideMark/>
          </w:tcPr>
          <w:p w14:paraId="555BCB5F"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106.0</w:t>
            </w:r>
          </w:p>
        </w:tc>
      </w:tr>
      <w:tr w:rsidR="00FC5771" w:rsidRPr="00FC5771" w14:paraId="54E35569"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3A4BB6AB"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03</w:t>
            </w:r>
          </w:p>
        </w:tc>
        <w:tc>
          <w:tcPr>
            <w:tcW w:w="3176" w:type="dxa"/>
            <w:tcBorders>
              <w:top w:val="nil"/>
              <w:left w:val="nil"/>
              <w:bottom w:val="nil"/>
              <w:right w:val="nil"/>
            </w:tcBorders>
            <w:shd w:val="clear" w:color="auto" w:fill="auto"/>
            <w:vAlign w:val="center"/>
            <w:hideMark/>
          </w:tcPr>
          <w:p w14:paraId="05AB83A9"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Облекло и обувки</w:t>
            </w:r>
          </w:p>
        </w:tc>
        <w:tc>
          <w:tcPr>
            <w:tcW w:w="1350" w:type="dxa"/>
            <w:tcBorders>
              <w:top w:val="nil"/>
              <w:left w:val="nil"/>
              <w:bottom w:val="nil"/>
              <w:right w:val="nil"/>
            </w:tcBorders>
            <w:shd w:val="clear" w:color="auto" w:fill="auto"/>
            <w:vAlign w:val="center"/>
            <w:hideMark/>
          </w:tcPr>
          <w:p w14:paraId="1FE68D17"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40.058</w:t>
            </w:r>
          </w:p>
        </w:tc>
        <w:tc>
          <w:tcPr>
            <w:tcW w:w="1346" w:type="dxa"/>
            <w:tcBorders>
              <w:top w:val="nil"/>
              <w:left w:val="nil"/>
              <w:bottom w:val="nil"/>
              <w:right w:val="nil"/>
            </w:tcBorders>
            <w:shd w:val="clear" w:color="auto" w:fill="auto"/>
            <w:vAlign w:val="center"/>
            <w:hideMark/>
          </w:tcPr>
          <w:p w14:paraId="6ABF62A6"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110.51</w:t>
            </w:r>
          </w:p>
        </w:tc>
        <w:tc>
          <w:tcPr>
            <w:tcW w:w="1350" w:type="dxa"/>
            <w:tcBorders>
              <w:top w:val="nil"/>
              <w:left w:val="nil"/>
              <w:bottom w:val="nil"/>
              <w:right w:val="nil"/>
            </w:tcBorders>
            <w:shd w:val="clear" w:color="auto" w:fill="auto"/>
            <w:vAlign w:val="center"/>
            <w:hideMark/>
          </w:tcPr>
          <w:p w14:paraId="4B387C74"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98.7</w:t>
            </w:r>
          </w:p>
        </w:tc>
        <w:tc>
          <w:tcPr>
            <w:tcW w:w="1351" w:type="dxa"/>
            <w:tcBorders>
              <w:top w:val="nil"/>
              <w:left w:val="nil"/>
              <w:bottom w:val="nil"/>
              <w:right w:val="nil"/>
            </w:tcBorders>
            <w:shd w:val="clear" w:color="auto" w:fill="auto"/>
            <w:vAlign w:val="center"/>
            <w:hideMark/>
          </w:tcPr>
          <w:p w14:paraId="510B5B89"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100.1</w:t>
            </w:r>
          </w:p>
        </w:tc>
        <w:tc>
          <w:tcPr>
            <w:tcW w:w="1349" w:type="dxa"/>
            <w:tcBorders>
              <w:top w:val="nil"/>
              <w:left w:val="nil"/>
              <w:bottom w:val="nil"/>
              <w:right w:val="nil"/>
            </w:tcBorders>
            <w:shd w:val="clear" w:color="auto" w:fill="auto"/>
            <w:vAlign w:val="center"/>
            <w:hideMark/>
          </w:tcPr>
          <w:p w14:paraId="3BC3781A"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99.6</w:t>
            </w:r>
          </w:p>
        </w:tc>
      </w:tr>
      <w:tr w:rsidR="00FC5771" w:rsidRPr="00FC5771" w14:paraId="70F8D063" w14:textId="77777777" w:rsidTr="00FC5771">
        <w:trPr>
          <w:trHeight w:val="450"/>
          <w:jc w:val="center"/>
        </w:trPr>
        <w:tc>
          <w:tcPr>
            <w:tcW w:w="258" w:type="dxa"/>
            <w:tcBorders>
              <w:top w:val="nil"/>
              <w:left w:val="nil"/>
              <w:bottom w:val="nil"/>
              <w:right w:val="nil"/>
            </w:tcBorders>
            <w:shd w:val="clear" w:color="auto" w:fill="auto"/>
            <w:noWrap/>
            <w:hideMark/>
          </w:tcPr>
          <w:p w14:paraId="3050806D"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04</w:t>
            </w:r>
          </w:p>
        </w:tc>
        <w:tc>
          <w:tcPr>
            <w:tcW w:w="3176" w:type="dxa"/>
            <w:tcBorders>
              <w:top w:val="nil"/>
              <w:left w:val="nil"/>
              <w:bottom w:val="nil"/>
              <w:right w:val="nil"/>
            </w:tcBorders>
            <w:shd w:val="clear" w:color="auto" w:fill="auto"/>
            <w:vAlign w:val="center"/>
            <w:hideMark/>
          </w:tcPr>
          <w:p w14:paraId="1B5BA2ED"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Жилища, вода, електроенергия, газ и други горива</w:t>
            </w:r>
          </w:p>
        </w:tc>
        <w:tc>
          <w:tcPr>
            <w:tcW w:w="1350" w:type="dxa"/>
            <w:tcBorders>
              <w:top w:val="nil"/>
              <w:left w:val="nil"/>
              <w:bottom w:val="nil"/>
              <w:right w:val="nil"/>
            </w:tcBorders>
            <w:shd w:val="clear" w:color="auto" w:fill="auto"/>
            <w:vAlign w:val="bottom"/>
            <w:hideMark/>
          </w:tcPr>
          <w:p w14:paraId="258622F5"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119.313</w:t>
            </w:r>
          </w:p>
        </w:tc>
        <w:tc>
          <w:tcPr>
            <w:tcW w:w="1346" w:type="dxa"/>
            <w:tcBorders>
              <w:top w:val="nil"/>
              <w:left w:val="nil"/>
              <w:bottom w:val="nil"/>
              <w:right w:val="nil"/>
            </w:tcBorders>
            <w:shd w:val="clear" w:color="auto" w:fill="auto"/>
            <w:vAlign w:val="bottom"/>
            <w:hideMark/>
          </w:tcPr>
          <w:p w14:paraId="25F7E813"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151.08</w:t>
            </w:r>
          </w:p>
        </w:tc>
        <w:tc>
          <w:tcPr>
            <w:tcW w:w="1350" w:type="dxa"/>
            <w:tcBorders>
              <w:top w:val="nil"/>
              <w:left w:val="nil"/>
              <w:bottom w:val="nil"/>
              <w:right w:val="nil"/>
            </w:tcBorders>
            <w:shd w:val="clear" w:color="auto" w:fill="auto"/>
            <w:vAlign w:val="bottom"/>
            <w:hideMark/>
          </w:tcPr>
          <w:p w14:paraId="328ED6ED"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99.8</w:t>
            </w:r>
          </w:p>
        </w:tc>
        <w:tc>
          <w:tcPr>
            <w:tcW w:w="1351" w:type="dxa"/>
            <w:tcBorders>
              <w:top w:val="nil"/>
              <w:left w:val="nil"/>
              <w:bottom w:val="nil"/>
              <w:right w:val="nil"/>
            </w:tcBorders>
            <w:shd w:val="clear" w:color="auto" w:fill="auto"/>
            <w:vAlign w:val="bottom"/>
            <w:hideMark/>
          </w:tcPr>
          <w:p w14:paraId="2CD81A84"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102.0</w:t>
            </w:r>
          </w:p>
        </w:tc>
        <w:tc>
          <w:tcPr>
            <w:tcW w:w="1349" w:type="dxa"/>
            <w:tcBorders>
              <w:top w:val="nil"/>
              <w:left w:val="nil"/>
              <w:bottom w:val="nil"/>
              <w:right w:val="nil"/>
            </w:tcBorders>
            <w:shd w:val="clear" w:color="auto" w:fill="auto"/>
            <w:vAlign w:val="bottom"/>
            <w:hideMark/>
          </w:tcPr>
          <w:p w14:paraId="797DFA50"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102.2</w:t>
            </w:r>
          </w:p>
        </w:tc>
      </w:tr>
      <w:tr w:rsidR="00FC5771" w:rsidRPr="00FC5771" w14:paraId="18BF5743" w14:textId="77777777" w:rsidTr="00FC5771">
        <w:trPr>
          <w:trHeight w:val="720"/>
          <w:jc w:val="center"/>
        </w:trPr>
        <w:tc>
          <w:tcPr>
            <w:tcW w:w="258" w:type="dxa"/>
            <w:tcBorders>
              <w:top w:val="nil"/>
              <w:left w:val="nil"/>
              <w:bottom w:val="nil"/>
              <w:right w:val="nil"/>
            </w:tcBorders>
            <w:shd w:val="clear" w:color="auto" w:fill="auto"/>
            <w:noWrap/>
            <w:hideMark/>
          </w:tcPr>
          <w:p w14:paraId="145F5397"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05</w:t>
            </w:r>
          </w:p>
        </w:tc>
        <w:tc>
          <w:tcPr>
            <w:tcW w:w="3176" w:type="dxa"/>
            <w:tcBorders>
              <w:top w:val="nil"/>
              <w:left w:val="nil"/>
              <w:bottom w:val="nil"/>
              <w:right w:val="nil"/>
            </w:tcBorders>
            <w:shd w:val="clear" w:color="auto" w:fill="auto"/>
            <w:vAlign w:val="center"/>
            <w:hideMark/>
          </w:tcPr>
          <w:p w14:paraId="28167171"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0" w:type="dxa"/>
            <w:tcBorders>
              <w:top w:val="nil"/>
              <w:left w:val="nil"/>
              <w:bottom w:val="nil"/>
              <w:right w:val="nil"/>
            </w:tcBorders>
            <w:shd w:val="clear" w:color="auto" w:fill="auto"/>
            <w:vAlign w:val="bottom"/>
            <w:hideMark/>
          </w:tcPr>
          <w:p w14:paraId="000ACEA0"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69.103</w:t>
            </w:r>
          </w:p>
        </w:tc>
        <w:tc>
          <w:tcPr>
            <w:tcW w:w="1346" w:type="dxa"/>
            <w:tcBorders>
              <w:top w:val="nil"/>
              <w:left w:val="nil"/>
              <w:bottom w:val="nil"/>
              <w:right w:val="nil"/>
            </w:tcBorders>
            <w:shd w:val="clear" w:color="auto" w:fill="auto"/>
            <w:vAlign w:val="bottom"/>
            <w:hideMark/>
          </w:tcPr>
          <w:p w14:paraId="39A58A0C"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124.98</w:t>
            </w:r>
          </w:p>
        </w:tc>
        <w:tc>
          <w:tcPr>
            <w:tcW w:w="1350" w:type="dxa"/>
            <w:tcBorders>
              <w:top w:val="nil"/>
              <w:left w:val="nil"/>
              <w:bottom w:val="nil"/>
              <w:right w:val="nil"/>
            </w:tcBorders>
            <w:shd w:val="clear" w:color="auto" w:fill="auto"/>
            <w:vAlign w:val="bottom"/>
            <w:hideMark/>
          </w:tcPr>
          <w:p w14:paraId="1EADB180"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99.7</w:t>
            </w:r>
          </w:p>
        </w:tc>
        <w:tc>
          <w:tcPr>
            <w:tcW w:w="1351" w:type="dxa"/>
            <w:tcBorders>
              <w:top w:val="nil"/>
              <w:left w:val="nil"/>
              <w:bottom w:val="nil"/>
              <w:right w:val="nil"/>
            </w:tcBorders>
            <w:shd w:val="clear" w:color="auto" w:fill="auto"/>
            <w:vAlign w:val="bottom"/>
            <w:hideMark/>
          </w:tcPr>
          <w:p w14:paraId="087F3307"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99.3</w:t>
            </w:r>
          </w:p>
        </w:tc>
        <w:tc>
          <w:tcPr>
            <w:tcW w:w="1349" w:type="dxa"/>
            <w:tcBorders>
              <w:top w:val="nil"/>
              <w:left w:val="nil"/>
              <w:bottom w:val="nil"/>
              <w:right w:val="nil"/>
            </w:tcBorders>
            <w:shd w:val="clear" w:color="auto" w:fill="auto"/>
            <w:vAlign w:val="bottom"/>
            <w:hideMark/>
          </w:tcPr>
          <w:p w14:paraId="12D53783"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99.3</w:t>
            </w:r>
          </w:p>
        </w:tc>
      </w:tr>
      <w:tr w:rsidR="00FC5771" w:rsidRPr="00FC5771" w14:paraId="40B0BDFC"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7F83616E"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06</w:t>
            </w:r>
          </w:p>
        </w:tc>
        <w:tc>
          <w:tcPr>
            <w:tcW w:w="3176" w:type="dxa"/>
            <w:tcBorders>
              <w:top w:val="nil"/>
              <w:left w:val="nil"/>
              <w:bottom w:val="nil"/>
              <w:right w:val="nil"/>
            </w:tcBorders>
            <w:shd w:val="clear" w:color="auto" w:fill="auto"/>
            <w:vAlign w:val="center"/>
            <w:hideMark/>
          </w:tcPr>
          <w:p w14:paraId="6E3DACB9"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Здравеопазване</w:t>
            </w:r>
          </w:p>
        </w:tc>
        <w:tc>
          <w:tcPr>
            <w:tcW w:w="1350" w:type="dxa"/>
            <w:tcBorders>
              <w:top w:val="nil"/>
              <w:left w:val="nil"/>
              <w:bottom w:val="nil"/>
              <w:right w:val="nil"/>
            </w:tcBorders>
            <w:shd w:val="clear" w:color="auto" w:fill="auto"/>
            <w:vAlign w:val="center"/>
            <w:hideMark/>
          </w:tcPr>
          <w:p w14:paraId="4F182779"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74.193</w:t>
            </w:r>
          </w:p>
        </w:tc>
        <w:tc>
          <w:tcPr>
            <w:tcW w:w="1346" w:type="dxa"/>
            <w:tcBorders>
              <w:top w:val="nil"/>
              <w:left w:val="nil"/>
              <w:bottom w:val="nil"/>
              <w:right w:val="nil"/>
            </w:tcBorders>
            <w:shd w:val="clear" w:color="auto" w:fill="auto"/>
            <w:vAlign w:val="center"/>
            <w:hideMark/>
          </w:tcPr>
          <w:p w14:paraId="6CAF26F2"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125.62</w:t>
            </w:r>
          </w:p>
        </w:tc>
        <w:tc>
          <w:tcPr>
            <w:tcW w:w="1350" w:type="dxa"/>
            <w:tcBorders>
              <w:top w:val="nil"/>
              <w:left w:val="nil"/>
              <w:bottom w:val="nil"/>
              <w:right w:val="nil"/>
            </w:tcBorders>
            <w:shd w:val="clear" w:color="auto" w:fill="auto"/>
            <w:vAlign w:val="center"/>
            <w:hideMark/>
          </w:tcPr>
          <w:p w14:paraId="1675F187"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center"/>
            <w:hideMark/>
          </w:tcPr>
          <w:p w14:paraId="45BF72D4"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101.3</w:t>
            </w:r>
          </w:p>
        </w:tc>
        <w:tc>
          <w:tcPr>
            <w:tcW w:w="1349" w:type="dxa"/>
            <w:tcBorders>
              <w:top w:val="nil"/>
              <w:left w:val="nil"/>
              <w:bottom w:val="nil"/>
              <w:right w:val="nil"/>
            </w:tcBorders>
            <w:shd w:val="clear" w:color="auto" w:fill="auto"/>
            <w:vAlign w:val="center"/>
            <w:hideMark/>
          </w:tcPr>
          <w:p w14:paraId="5CA4FDFD"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101.4</w:t>
            </w:r>
          </w:p>
        </w:tc>
      </w:tr>
      <w:tr w:rsidR="00FC5771" w:rsidRPr="00FC5771" w14:paraId="52B298C4"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577535AD"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07</w:t>
            </w:r>
          </w:p>
        </w:tc>
        <w:tc>
          <w:tcPr>
            <w:tcW w:w="3176" w:type="dxa"/>
            <w:tcBorders>
              <w:top w:val="nil"/>
              <w:left w:val="nil"/>
              <w:bottom w:val="nil"/>
              <w:right w:val="nil"/>
            </w:tcBorders>
            <w:shd w:val="clear" w:color="auto" w:fill="auto"/>
            <w:vAlign w:val="center"/>
            <w:hideMark/>
          </w:tcPr>
          <w:p w14:paraId="4699127A"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Транспорт</w:t>
            </w:r>
          </w:p>
        </w:tc>
        <w:tc>
          <w:tcPr>
            <w:tcW w:w="1350" w:type="dxa"/>
            <w:tcBorders>
              <w:top w:val="nil"/>
              <w:left w:val="nil"/>
              <w:bottom w:val="nil"/>
              <w:right w:val="nil"/>
            </w:tcBorders>
            <w:shd w:val="clear" w:color="auto" w:fill="auto"/>
            <w:vAlign w:val="center"/>
            <w:hideMark/>
          </w:tcPr>
          <w:p w14:paraId="7966A9FC"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139.919</w:t>
            </w:r>
          </w:p>
        </w:tc>
        <w:tc>
          <w:tcPr>
            <w:tcW w:w="1346" w:type="dxa"/>
            <w:tcBorders>
              <w:top w:val="nil"/>
              <w:left w:val="nil"/>
              <w:bottom w:val="nil"/>
              <w:right w:val="nil"/>
            </w:tcBorders>
            <w:shd w:val="clear" w:color="auto" w:fill="auto"/>
            <w:vAlign w:val="center"/>
            <w:hideMark/>
          </w:tcPr>
          <w:p w14:paraId="72941650"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118.23</w:t>
            </w:r>
          </w:p>
        </w:tc>
        <w:tc>
          <w:tcPr>
            <w:tcW w:w="1350" w:type="dxa"/>
            <w:tcBorders>
              <w:top w:val="nil"/>
              <w:left w:val="nil"/>
              <w:bottom w:val="nil"/>
              <w:right w:val="nil"/>
            </w:tcBorders>
            <w:shd w:val="clear" w:color="auto" w:fill="auto"/>
            <w:vAlign w:val="center"/>
            <w:hideMark/>
          </w:tcPr>
          <w:p w14:paraId="3628FF50"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center"/>
            <w:hideMark/>
          </w:tcPr>
          <w:p w14:paraId="5DD76A77"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98.1</w:t>
            </w:r>
          </w:p>
        </w:tc>
        <w:tc>
          <w:tcPr>
            <w:tcW w:w="1349" w:type="dxa"/>
            <w:tcBorders>
              <w:top w:val="nil"/>
              <w:left w:val="nil"/>
              <w:bottom w:val="nil"/>
              <w:right w:val="nil"/>
            </w:tcBorders>
            <w:shd w:val="clear" w:color="auto" w:fill="auto"/>
            <w:vAlign w:val="center"/>
            <w:hideMark/>
          </w:tcPr>
          <w:p w14:paraId="2C1C3F3C"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97.2</w:t>
            </w:r>
          </w:p>
        </w:tc>
      </w:tr>
      <w:tr w:rsidR="00FC5771" w:rsidRPr="00FC5771" w14:paraId="5990F051"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289B8B58"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08</w:t>
            </w:r>
          </w:p>
        </w:tc>
        <w:tc>
          <w:tcPr>
            <w:tcW w:w="3176" w:type="dxa"/>
            <w:tcBorders>
              <w:top w:val="nil"/>
              <w:left w:val="nil"/>
              <w:bottom w:val="nil"/>
              <w:right w:val="nil"/>
            </w:tcBorders>
            <w:shd w:val="clear" w:color="auto" w:fill="auto"/>
            <w:vAlign w:val="center"/>
            <w:hideMark/>
          </w:tcPr>
          <w:p w14:paraId="723D7746"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Съобщения</w:t>
            </w:r>
          </w:p>
        </w:tc>
        <w:tc>
          <w:tcPr>
            <w:tcW w:w="1350" w:type="dxa"/>
            <w:tcBorders>
              <w:top w:val="nil"/>
              <w:left w:val="nil"/>
              <w:bottom w:val="nil"/>
              <w:right w:val="nil"/>
            </w:tcBorders>
            <w:shd w:val="clear" w:color="auto" w:fill="auto"/>
            <w:vAlign w:val="center"/>
            <w:hideMark/>
          </w:tcPr>
          <w:p w14:paraId="3B159D22"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49.875</w:t>
            </w:r>
          </w:p>
        </w:tc>
        <w:tc>
          <w:tcPr>
            <w:tcW w:w="1346" w:type="dxa"/>
            <w:tcBorders>
              <w:top w:val="nil"/>
              <w:left w:val="nil"/>
              <w:bottom w:val="nil"/>
              <w:right w:val="nil"/>
            </w:tcBorders>
            <w:shd w:val="clear" w:color="auto" w:fill="auto"/>
            <w:vAlign w:val="center"/>
            <w:hideMark/>
          </w:tcPr>
          <w:p w14:paraId="4739FFFC"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90.66</w:t>
            </w:r>
          </w:p>
        </w:tc>
        <w:tc>
          <w:tcPr>
            <w:tcW w:w="1350" w:type="dxa"/>
            <w:tcBorders>
              <w:top w:val="nil"/>
              <w:left w:val="nil"/>
              <w:bottom w:val="nil"/>
              <w:right w:val="nil"/>
            </w:tcBorders>
            <w:shd w:val="clear" w:color="auto" w:fill="auto"/>
            <w:vAlign w:val="center"/>
            <w:hideMark/>
          </w:tcPr>
          <w:p w14:paraId="171E5033"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center"/>
            <w:hideMark/>
          </w:tcPr>
          <w:p w14:paraId="00F76C5A"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96.5</w:t>
            </w:r>
          </w:p>
        </w:tc>
        <w:tc>
          <w:tcPr>
            <w:tcW w:w="1349" w:type="dxa"/>
            <w:tcBorders>
              <w:top w:val="nil"/>
              <w:left w:val="nil"/>
              <w:bottom w:val="nil"/>
              <w:right w:val="nil"/>
            </w:tcBorders>
            <w:shd w:val="clear" w:color="auto" w:fill="auto"/>
            <w:vAlign w:val="center"/>
            <w:hideMark/>
          </w:tcPr>
          <w:p w14:paraId="2F047889"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96.1</w:t>
            </w:r>
          </w:p>
        </w:tc>
      </w:tr>
      <w:tr w:rsidR="00FC5771" w:rsidRPr="00FC5771" w14:paraId="0176F8EE"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286042E2"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09</w:t>
            </w:r>
          </w:p>
        </w:tc>
        <w:tc>
          <w:tcPr>
            <w:tcW w:w="3176" w:type="dxa"/>
            <w:tcBorders>
              <w:top w:val="nil"/>
              <w:left w:val="nil"/>
              <w:bottom w:val="nil"/>
              <w:right w:val="nil"/>
            </w:tcBorders>
            <w:shd w:val="clear" w:color="auto" w:fill="auto"/>
            <w:vAlign w:val="center"/>
            <w:hideMark/>
          </w:tcPr>
          <w:p w14:paraId="0FF2A608"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Развлечения и култура</w:t>
            </w:r>
          </w:p>
        </w:tc>
        <w:tc>
          <w:tcPr>
            <w:tcW w:w="1350" w:type="dxa"/>
            <w:tcBorders>
              <w:top w:val="nil"/>
              <w:left w:val="nil"/>
              <w:bottom w:val="nil"/>
              <w:right w:val="nil"/>
            </w:tcBorders>
            <w:shd w:val="clear" w:color="auto" w:fill="auto"/>
            <w:vAlign w:val="center"/>
            <w:hideMark/>
          </w:tcPr>
          <w:p w14:paraId="6AD830C8"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64.537</w:t>
            </w:r>
          </w:p>
        </w:tc>
        <w:tc>
          <w:tcPr>
            <w:tcW w:w="1346" w:type="dxa"/>
            <w:tcBorders>
              <w:top w:val="nil"/>
              <w:left w:val="nil"/>
              <w:bottom w:val="nil"/>
              <w:right w:val="nil"/>
            </w:tcBorders>
            <w:shd w:val="clear" w:color="auto" w:fill="auto"/>
            <w:vAlign w:val="center"/>
            <w:hideMark/>
          </w:tcPr>
          <w:p w14:paraId="02D46B7C"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120.23</w:t>
            </w:r>
          </w:p>
        </w:tc>
        <w:tc>
          <w:tcPr>
            <w:tcW w:w="1350" w:type="dxa"/>
            <w:tcBorders>
              <w:top w:val="nil"/>
              <w:left w:val="nil"/>
              <w:bottom w:val="nil"/>
              <w:right w:val="nil"/>
            </w:tcBorders>
            <w:shd w:val="clear" w:color="auto" w:fill="auto"/>
            <w:vAlign w:val="center"/>
            <w:hideMark/>
          </w:tcPr>
          <w:p w14:paraId="2A2C2D38"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center"/>
            <w:hideMark/>
          </w:tcPr>
          <w:p w14:paraId="7BCF8786"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98.1</w:t>
            </w:r>
          </w:p>
        </w:tc>
        <w:tc>
          <w:tcPr>
            <w:tcW w:w="1349" w:type="dxa"/>
            <w:tcBorders>
              <w:top w:val="nil"/>
              <w:left w:val="nil"/>
              <w:bottom w:val="nil"/>
              <w:right w:val="nil"/>
            </w:tcBorders>
            <w:shd w:val="clear" w:color="auto" w:fill="auto"/>
            <w:vAlign w:val="center"/>
            <w:hideMark/>
          </w:tcPr>
          <w:p w14:paraId="638F09C7"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98.9</w:t>
            </w:r>
          </w:p>
        </w:tc>
      </w:tr>
      <w:tr w:rsidR="00FC5771" w:rsidRPr="00FC5771" w14:paraId="52FA7277"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4C386993"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10</w:t>
            </w:r>
          </w:p>
        </w:tc>
        <w:tc>
          <w:tcPr>
            <w:tcW w:w="3176" w:type="dxa"/>
            <w:tcBorders>
              <w:top w:val="nil"/>
              <w:left w:val="nil"/>
              <w:bottom w:val="nil"/>
              <w:right w:val="nil"/>
            </w:tcBorders>
            <w:shd w:val="clear" w:color="auto" w:fill="auto"/>
            <w:vAlign w:val="center"/>
            <w:hideMark/>
          </w:tcPr>
          <w:p w14:paraId="2B36FF33"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Образование</w:t>
            </w:r>
          </w:p>
        </w:tc>
        <w:tc>
          <w:tcPr>
            <w:tcW w:w="1350" w:type="dxa"/>
            <w:tcBorders>
              <w:top w:val="nil"/>
              <w:left w:val="nil"/>
              <w:bottom w:val="nil"/>
              <w:right w:val="nil"/>
            </w:tcBorders>
            <w:shd w:val="clear" w:color="auto" w:fill="auto"/>
            <w:vAlign w:val="center"/>
            <w:hideMark/>
          </w:tcPr>
          <w:p w14:paraId="77E921D0"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16.929</w:t>
            </w:r>
          </w:p>
        </w:tc>
        <w:tc>
          <w:tcPr>
            <w:tcW w:w="1346" w:type="dxa"/>
            <w:tcBorders>
              <w:top w:val="nil"/>
              <w:left w:val="nil"/>
              <w:bottom w:val="nil"/>
              <w:right w:val="nil"/>
            </w:tcBorders>
            <w:shd w:val="clear" w:color="auto" w:fill="auto"/>
            <w:vAlign w:val="center"/>
            <w:hideMark/>
          </w:tcPr>
          <w:p w14:paraId="45C3240B"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160.15</w:t>
            </w:r>
          </w:p>
        </w:tc>
        <w:tc>
          <w:tcPr>
            <w:tcW w:w="1350" w:type="dxa"/>
            <w:tcBorders>
              <w:top w:val="nil"/>
              <w:left w:val="nil"/>
              <w:bottom w:val="nil"/>
              <w:right w:val="nil"/>
            </w:tcBorders>
            <w:shd w:val="clear" w:color="auto" w:fill="auto"/>
            <w:vAlign w:val="center"/>
            <w:hideMark/>
          </w:tcPr>
          <w:p w14:paraId="6A4AA105"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center"/>
            <w:hideMark/>
          </w:tcPr>
          <w:p w14:paraId="4C1033A7"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106.8</w:t>
            </w:r>
          </w:p>
        </w:tc>
        <w:tc>
          <w:tcPr>
            <w:tcW w:w="1349" w:type="dxa"/>
            <w:tcBorders>
              <w:top w:val="nil"/>
              <w:left w:val="nil"/>
              <w:bottom w:val="nil"/>
              <w:right w:val="nil"/>
            </w:tcBorders>
            <w:shd w:val="clear" w:color="auto" w:fill="auto"/>
            <w:vAlign w:val="center"/>
            <w:hideMark/>
          </w:tcPr>
          <w:p w14:paraId="249A6AA8"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106.8</w:t>
            </w:r>
          </w:p>
        </w:tc>
      </w:tr>
      <w:tr w:rsidR="00FC5771" w:rsidRPr="00FC5771" w14:paraId="33EA20EF" w14:textId="77777777" w:rsidTr="00FC5771">
        <w:trPr>
          <w:trHeight w:val="225"/>
          <w:jc w:val="center"/>
        </w:trPr>
        <w:tc>
          <w:tcPr>
            <w:tcW w:w="258" w:type="dxa"/>
            <w:tcBorders>
              <w:top w:val="nil"/>
              <w:left w:val="nil"/>
              <w:bottom w:val="nil"/>
              <w:right w:val="nil"/>
            </w:tcBorders>
            <w:shd w:val="clear" w:color="auto" w:fill="auto"/>
            <w:noWrap/>
            <w:vAlign w:val="center"/>
            <w:hideMark/>
          </w:tcPr>
          <w:p w14:paraId="6D062B59"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11</w:t>
            </w:r>
          </w:p>
        </w:tc>
        <w:tc>
          <w:tcPr>
            <w:tcW w:w="3176" w:type="dxa"/>
            <w:tcBorders>
              <w:top w:val="nil"/>
              <w:left w:val="nil"/>
              <w:bottom w:val="nil"/>
              <w:right w:val="nil"/>
            </w:tcBorders>
            <w:shd w:val="clear" w:color="auto" w:fill="auto"/>
            <w:vAlign w:val="center"/>
            <w:hideMark/>
          </w:tcPr>
          <w:p w14:paraId="20B9F9A8"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Ресторанти и хотели</w:t>
            </w:r>
          </w:p>
        </w:tc>
        <w:tc>
          <w:tcPr>
            <w:tcW w:w="1350" w:type="dxa"/>
            <w:tcBorders>
              <w:top w:val="nil"/>
              <w:left w:val="nil"/>
              <w:bottom w:val="nil"/>
              <w:right w:val="nil"/>
            </w:tcBorders>
            <w:shd w:val="clear" w:color="auto" w:fill="auto"/>
            <w:vAlign w:val="center"/>
            <w:hideMark/>
          </w:tcPr>
          <w:p w14:paraId="19AB737B"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80.188</w:t>
            </w:r>
          </w:p>
        </w:tc>
        <w:tc>
          <w:tcPr>
            <w:tcW w:w="1346" w:type="dxa"/>
            <w:tcBorders>
              <w:top w:val="nil"/>
              <w:left w:val="nil"/>
              <w:bottom w:val="nil"/>
              <w:right w:val="nil"/>
            </w:tcBorders>
            <w:shd w:val="clear" w:color="auto" w:fill="auto"/>
            <w:vAlign w:val="center"/>
            <w:hideMark/>
          </w:tcPr>
          <w:p w14:paraId="6179FA2B"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171.36</w:t>
            </w:r>
          </w:p>
        </w:tc>
        <w:tc>
          <w:tcPr>
            <w:tcW w:w="1350" w:type="dxa"/>
            <w:tcBorders>
              <w:top w:val="nil"/>
              <w:left w:val="nil"/>
              <w:bottom w:val="nil"/>
              <w:right w:val="nil"/>
            </w:tcBorders>
            <w:shd w:val="clear" w:color="auto" w:fill="auto"/>
            <w:vAlign w:val="center"/>
            <w:hideMark/>
          </w:tcPr>
          <w:p w14:paraId="1F7F1E36"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center"/>
            <w:hideMark/>
          </w:tcPr>
          <w:p w14:paraId="6AB6C83E"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107.1</w:t>
            </w:r>
          </w:p>
        </w:tc>
        <w:tc>
          <w:tcPr>
            <w:tcW w:w="1349" w:type="dxa"/>
            <w:tcBorders>
              <w:top w:val="nil"/>
              <w:left w:val="nil"/>
              <w:bottom w:val="nil"/>
              <w:right w:val="nil"/>
            </w:tcBorders>
            <w:shd w:val="clear" w:color="auto" w:fill="auto"/>
            <w:vAlign w:val="center"/>
            <w:hideMark/>
          </w:tcPr>
          <w:p w14:paraId="012CEF6F"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108.9</w:t>
            </w:r>
          </w:p>
        </w:tc>
      </w:tr>
      <w:tr w:rsidR="00FC5771" w:rsidRPr="00FC5771" w14:paraId="53A71AB4" w14:textId="77777777" w:rsidTr="00FC5771">
        <w:trPr>
          <w:trHeight w:val="225"/>
          <w:jc w:val="center"/>
        </w:trPr>
        <w:tc>
          <w:tcPr>
            <w:tcW w:w="258" w:type="dxa"/>
            <w:tcBorders>
              <w:top w:val="nil"/>
              <w:left w:val="nil"/>
              <w:bottom w:val="single" w:sz="4" w:space="0" w:color="auto"/>
              <w:right w:val="nil"/>
            </w:tcBorders>
            <w:shd w:val="clear" w:color="auto" w:fill="auto"/>
            <w:noWrap/>
            <w:vAlign w:val="center"/>
            <w:hideMark/>
          </w:tcPr>
          <w:p w14:paraId="37FE3FBA"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12</w:t>
            </w:r>
          </w:p>
        </w:tc>
        <w:tc>
          <w:tcPr>
            <w:tcW w:w="3176" w:type="dxa"/>
            <w:tcBorders>
              <w:top w:val="nil"/>
              <w:left w:val="nil"/>
              <w:bottom w:val="single" w:sz="4" w:space="0" w:color="auto"/>
              <w:right w:val="nil"/>
            </w:tcBorders>
            <w:shd w:val="clear" w:color="auto" w:fill="auto"/>
            <w:vAlign w:val="center"/>
            <w:hideMark/>
          </w:tcPr>
          <w:p w14:paraId="2FDF8BD0" w14:textId="77777777" w:rsidR="00FC5771" w:rsidRPr="00FC5771" w:rsidRDefault="00FC5771" w:rsidP="00FC5771">
            <w:pPr>
              <w:rPr>
                <w:rFonts w:ascii="Verdana" w:eastAsia="Times New Roman" w:hAnsi="Verdana" w:cs="Arial"/>
                <w:sz w:val="16"/>
                <w:szCs w:val="16"/>
                <w:lang w:eastAsia="bg-BG"/>
              </w:rPr>
            </w:pPr>
            <w:r w:rsidRPr="00FC5771">
              <w:rPr>
                <w:rFonts w:ascii="Verdana" w:eastAsia="Times New Roman" w:hAnsi="Verdana" w:cs="Arial"/>
                <w:sz w:val="16"/>
                <w:szCs w:val="16"/>
                <w:lang w:eastAsia="bg-BG"/>
              </w:rPr>
              <w:t>Разнообразни стоки и услуги</w:t>
            </w:r>
          </w:p>
        </w:tc>
        <w:tc>
          <w:tcPr>
            <w:tcW w:w="1350" w:type="dxa"/>
            <w:tcBorders>
              <w:top w:val="nil"/>
              <w:left w:val="nil"/>
              <w:bottom w:val="single" w:sz="4" w:space="0" w:color="auto"/>
              <w:right w:val="nil"/>
            </w:tcBorders>
            <w:shd w:val="clear" w:color="auto" w:fill="auto"/>
            <w:vAlign w:val="center"/>
            <w:hideMark/>
          </w:tcPr>
          <w:p w14:paraId="2E03866D"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57.926</w:t>
            </w:r>
          </w:p>
        </w:tc>
        <w:tc>
          <w:tcPr>
            <w:tcW w:w="1346" w:type="dxa"/>
            <w:tcBorders>
              <w:top w:val="nil"/>
              <w:left w:val="nil"/>
              <w:bottom w:val="single" w:sz="4" w:space="0" w:color="auto"/>
              <w:right w:val="nil"/>
            </w:tcBorders>
            <w:shd w:val="clear" w:color="auto" w:fill="auto"/>
            <w:vAlign w:val="center"/>
            <w:hideMark/>
          </w:tcPr>
          <w:p w14:paraId="5848D199"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143.80</w:t>
            </w:r>
          </w:p>
        </w:tc>
        <w:tc>
          <w:tcPr>
            <w:tcW w:w="1350" w:type="dxa"/>
            <w:tcBorders>
              <w:top w:val="nil"/>
              <w:left w:val="nil"/>
              <w:bottom w:val="single" w:sz="4" w:space="0" w:color="auto"/>
              <w:right w:val="nil"/>
            </w:tcBorders>
            <w:shd w:val="clear" w:color="auto" w:fill="auto"/>
            <w:vAlign w:val="center"/>
            <w:hideMark/>
          </w:tcPr>
          <w:p w14:paraId="7C9DB7CA"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100.0</w:t>
            </w:r>
          </w:p>
        </w:tc>
        <w:tc>
          <w:tcPr>
            <w:tcW w:w="1351" w:type="dxa"/>
            <w:tcBorders>
              <w:top w:val="nil"/>
              <w:left w:val="nil"/>
              <w:bottom w:val="single" w:sz="4" w:space="0" w:color="auto"/>
              <w:right w:val="nil"/>
            </w:tcBorders>
            <w:shd w:val="clear" w:color="auto" w:fill="auto"/>
            <w:vAlign w:val="center"/>
            <w:hideMark/>
          </w:tcPr>
          <w:p w14:paraId="49A0BF16"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103.4</w:t>
            </w:r>
          </w:p>
        </w:tc>
        <w:tc>
          <w:tcPr>
            <w:tcW w:w="1349" w:type="dxa"/>
            <w:tcBorders>
              <w:top w:val="nil"/>
              <w:left w:val="nil"/>
              <w:bottom w:val="single" w:sz="4" w:space="0" w:color="auto"/>
              <w:right w:val="nil"/>
            </w:tcBorders>
            <w:shd w:val="clear" w:color="auto" w:fill="auto"/>
            <w:vAlign w:val="center"/>
            <w:hideMark/>
          </w:tcPr>
          <w:p w14:paraId="36CF8ED4" w14:textId="77777777" w:rsidR="00FC5771" w:rsidRPr="00FC5771" w:rsidRDefault="00FC5771" w:rsidP="00FC5771">
            <w:pPr>
              <w:jc w:val="right"/>
              <w:rPr>
                <w:rFonts w:ascii="Verdana" w:eastAsia="Times New Roman" w:hAnsi="Verdana" w:cs="Arial"/>
                <w:sz w:val="16"/>
                <w:szCs w:val="16"/>
                <w:lang w:eastAsia="bg-BG"/>
              </w:rPr>
            </w:pPr>
            <w:r w:rsidRPr="00FC5771">
              <w:rPr>
                <w:rFonts w:ascii="Verdana" w:eastAsia="Times New Roman" w:hAnsi="Verdana" w:cs="Arial"/>
                <w:sz w:val="16"/>
                <w:szCs w:val="16"/>
                <w:lang w:eastAsia="bg-BG"/>
              </w:rPr>
              <w:t>104.0</w:t>
            </w:r>
          </w:p>
        </w:tc>
      </w:tr>
    </w:tbl>
    <w:p w14:paraId="07BB97F2" w14:textId="77777777" w:rsidR="0020048B" w:rsidRPr="003F700D" w:rsidRDefault="0020048B" w:rsidP="00E21163">
      <w:pPr>
        <w:tabs>
          <w:tab w:val="left" w:pos="3123"/>
        </w:tabs>
        <w:spacing w:before="160" w:after="160" w:line="360" w:lineRule="auto"/>
        <w:jc w:val="center"/>
        <w:rPr>
          <w:rFonts w:ascii="Verdana" w:eastAsia="Μοντέρνα" w:hAnsi="Verdana" w:cs="Times New Roman"/>
          <w:b/>
          <w:sz w:val="20"/>
          <w:szCs w:val="20"/>
          <w:lang w:eastAsia="bg-BG"/>
        </w:rPr>
      </w:pPr>
    </w:p>
    <w:p w14:paraId="6723954C" w14:textId="050C4B89" w:rsidR="002D0367" w:rsidRPr="003F700D" w:rsidRDefault="00304900" w:rsidP="009E1C99">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 </w:t>
      </w:r>
      <w:r w:rsidR="00B6138F" w:rsidRPr="003F700D">
        <w:rPr>
          <w:rFonts w:ascii="Verdana" w:eastAsia="Μοντέρνα" w:hAnsi="Verdana" w:cs="Times New Roman"/>
          <w:sz w:val="20"/>
          <w:szCs w:val="20"/>
          <w:lang w:eastAsia="bg-BG"/>
        </w:rPr>
        <w:br w:type="page"/>
      </w:r>
    </w:p>
    <w:p w14:paraId="5B2372E7" w14:textId="77777777"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5D50AF" w:rsidRPr="005D50AF" w14:paraId="4DDA6BDD" w14:textId="77777777" w:rsidTr="005D50AF">
        <w:trPr>
          <w:trHeight w:val="1620"/>
          <w:jc w:val="center"/>
        </w:trPr>
        <w:tc>
          <w:tcPr>
            <w:tcW w:w="6000" w:type="dxa"/>
            <w:gridSpan w:val="3"/>
            <w:tcBorders>
              <w:top w:val="nil"/>
              <w:left w:val="nil"/>
              <w:bottom w:val="nil"/>
              <w:right w:val="nil"/>
            </w:tcBorders>
            <w:shd w:val="clear" w:color="auto" w:fill="auto"/>
            <w:vAlign w:val="center"/>
            <w:hideMark/>
          </w:tcPr>
          <w:p w14:paraId="73F30A2E" w14:textId="77777777" w:rsidR="005D50AF" w:rsidRPr="005D50AF" w:rsidRDefault="005D50AF" w:rsidP="005D50AF">
            <w:pPr>
              <w:jc w:val="center"/>
              <w:rPr>
                <w:rFonts w:ascii="Verdana" w:eastAsia="Times New Roman" w:hAnsi="Verdana" w:cs="Arial"/>
                <w:b/>
                <w:bCs/>
                <w:sz w:val="20"/>
                <w:szCs w:val="20"/>
                <w:lang w:eastAsia="bg-BG"/>
              </w:rPr>
            </w:pPr>
            <w:r w:rsidRPr="005D50AF">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ноември 2024 година</w:t>
            </w:r>
          </w:p>
        </w:tc>
      </w:tr>
      <w:tr w:rsidR="005D50AF" w:rsidRPr="005D50AF" w14:paraId="0553A9D1" w14:textId="77777777" w:rsidTr="005D50AF">
        <w:trPr>
          <w:trHeight w:val="270"/>
          <w:jc w:val="center"/>
        </w:trPr>
        <w:tc>
          <w:tcPr>
            <w:tcW w:w="6000" w:type="dxa"/>
            <w:gridSpan w:val="3"/>
            <w:tcBorders>
              <w:top w:val="nil"/>
              <w:left w:val="nil"/>
              <w:bottom w:val="nil"/>
              <w:right w:val="nil"/>
            </w:tcBorders>
            <w:shd w:val="clear" w:color="auto" w:fill="auto"/>
            <w:noWrap/>
            <w:vAlign w:val="bottom"/>
            <w:hideMark/>
          </w:tcPr>
          <w:p w14:paraId="4F68DF84"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(Проценти)</w:t>
            </w:r>
          </w:p>
        </w:tc>
      </w:tr>
      <w:tr w:rsidR="005D50AF" w:rsidRPr="005D50AF" w14:paraId="63E3E326" w14:textId="77777777" w:rsidTr="005D50AF">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68C0" w14:textId="77777777" w:rsidR="005D50AF" w:rsidRPr="005D50AF" w:rsidRDefault="005D50AF" w:rsidP="005D50AF">
            <w:pPr>
              <w:rPr>
                <w:rFonts w:ascii="Verdana" w:eastAsia="Times New Roman" w:hAnsi="Verdana" w:cs="Arial"/>
                <w:b/>
                <w:bCs/>
                <w:sz w:val="16"/>
                <w:szCs w:val="16"/>
                <w:lang w:eastAsia="bg-BG"/>
              </w:rPr>
            </w:pPr>
            <w:r w:rsidRPr="005D50AF">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0D85F0" w14:textId="77777777" w:rsidR="005D50AF" w:rsidRPr="005D50AF" w:rsidRDefault="005D50AF" w:rsidP="005D50AF">
            <w:pPr>
              <w:jc w:val="center"/>
              <w:rPr>
                <w:rFonts w:ascii="Verdana" w:eastAsia="Times New Roman" w:hAnsi="Verdana" w:cs="Arial"/>
                <w:b/>
                <w:bCs/>
                <w:sz w:val="16"/>
                <w:szCs w:val="16"/>
                <w:lang w:eastAsia="bg-BG"/>
              </w:rPr>
            </w:pPr>
            <w:r w:rsidRPr="005D50AF">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D80926" w14:textId="77777777" w:rsidR="005D50AF" w:rsidRPr="005D50AF" w:rsidRDefault="005D50AF" w:rsidP="005D50AF">
            <w:pPr>
              <w:jc w:val="center"/>
              <w:rPr>
                <w:rFonts w:ascii="Verdana" w:eastAsia="Times New Roman" w:hAnsi="Verdana" w:cs="Arial"/>
                <w:b/>
                <w:bCs/>
                <w:sz w:val="16"/>
                <w:szCs w:val="16"/>
                <w:lang w:eastAsia="bg-BG"/>
              </w:rPr>
            </w:pPr>
            <w:r w:rsidRPr="005D50AF">
              <w:rPr>
                <w:rFonts w:ascii="Verdana" w:eastAsia="Times New Roman" w:hAnsi="Verdana" w:cs="Arial"/>
                <w:b/>
                <w:bCs/>
                <w:sz w:val="16"/>
                <w:szCs w:val="16"/>
                <w:lang w:eastAsia="bg-BG"/>
              </w:rPr>
              <w:t>XI.2024</w:t>
            </w:r>
          </w:p>
        </w:tc>
      </w:tr>
      <w:tr w:rsidR="005D50AF" w:rsidRPr="005D50AF" w14:paraId="212C74F4" w14:textId="77777777" w:rsidTr="005D50AF">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388E1BD2" w14:textId="77777777" w:rsidR="005D50AF" w:rsidRPr="005D50AF" w:rsidRDefault="005D50AF" w:rsidP="005D50AF">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3ECE1A29" w14:textId="77777777" w:rsidR="005D50AF" w:rsidRPr="005D50AF" w:rsidRDefault="005D50AF" w:rsidP="005D50AF">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03CE6CB1" w14:textId="77777777" w:rsidR="005D50AF" w:rsidRPr="005D50AF" w:rsidRDefault="005D50AF" w:rsidP="005D50AF">
            <w:pPr>
              <w:jc w:val="right"/>
              <w:rPr>
                <w:rFonts w:ascii="Verdana" w:eastAsia="Times New Roman" w:hAnsi="Verdana" w:cs="Arial"/>
                <w:b/>
                <w:bCs/>
                <w:sz w:val="16"/>
                <w:szCs w:val="16"/>
                <w:lang w:eastAsia="bg-BG"/>
              </w:rPr>
            </w:pPr>
            <w:r w:rsidRPr="005D50AF">
              <w:rPr>
                <w:rFonts w:ascii="Verdana" w:eastAsia="Times New Roman" w:hAnsi="Verdana" w:cs="Arial"/>
                <w:b/>
                <w:bCs/>
                <w:sz w:val="16"/>
                <w:szCs w:val="16"/>
                <w:lang w:eastAsia="bg-BG"/>
              </w:rPr>
              <w:t>октомври 2024 = 100</w:t>
            </w:r>
          </w:p>
        </w:tc>
      </w:tr>
      <w:tr w:rsidR="005D50AF" w:rsidRPr="005D50AF" w14:paraId="147A461B" w14:textId="77777777" w:rsidTr="005D50AF">
        <w:trPr>
          <w:trHeight w:val="225"/>
          <w:jc w:val="center"/>
        </w:trPr>
        <w:tc>
          <w:tcPr>
            <w:tcW w:w="3320" w:type="dxa"/>
            <w:tcBorders>
              <w:top w:val="nil"/>
              <w:left w:val="nil"/>
              <w:bottom w:val="nil"/>
              <w:right w:val="nil"/>
            </w:tcBorders>
            <w:shd w:val="clear" w:color="auto" w:fill="auto"/>
            <w:noWrap/>
            <w:vAlign w:val="bottom"/>
            <w:hideMark/>
          </w:tcPr>
          <w:p w14:paraId="418F8663" w14:textId="77777777" w:rsidR="005D50AF" w:rsidRPr="005D50AF" w:rsidRDefault="005D50AF" w:rsidP="005D50AF">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5D50A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3A236453" w14:textId="77777777" w:rsidR="005D50AF" w:rsidRPr="005D50AF" w:rsidRDefault="005D50AF" w:rsidP="005D50AF">
            <w:pPr>
              <w:jc w:val="right"/>
              <w:rPr>
                <w:rFonts w:ascii="Verdana" w:eastAsia="Times New Roman" w:hAnsi="Verdana" w:cs="Arial"/>
                <w:b/>
                <w:bCs/>
                <w:sz w:val="16"/>
                <w:szCs w:val="16"/>
                <w:lang w:eastAsia="bg-BG"/>
              </w:rPr>
            </w:pPr>
            <w:r w:rsidRPr="005D50AF">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7ACC8E41" w14:textId="77777777" w:rsidR="005D50AF" w:rsidRPr="005D50AF" w:rsidRDefault="005D50AF" w:rsidP="005D50AF">
            <w:pPr>
              <w:jc w:val="right"/>
              <w:rPr>
                <w:rFonts w:ascii="Verdana" w:eastAsia="Times New Roman" w:hAnsi="Verdana" w:cs="Arial"/>
                <w:b/>
                <w:bCs/>
                <w:sz w:val="16"/>
                <w:szCs w:val="16"/>
                <w:lang w:eastAsia="bg-BG"/>
              </w:rPr>
            </w:pPr>
            <w:r w:rsidRPr="005D50AF">
              <w:rPr>
                <w:rFonts w:ascii="Verdana" w:eastAsia="Times New Roman" w:hAnsi="Verdana" w:cs="Arial"/>
                <w:b/>
                <w:bCs/>
                <w:sz w:val="16"/>
                <w:szCs w:val="16"/>
                <w:lang w:eastAsia="bg-BG"/>
              </w:rPr>
              <w:t>100.9</w:t>
            </w:r>
          </w:p>
        </w:tc>
      </w:tr>
      <w:tr w:rsidR="005D50AF" w:rsidRPr="005D50AF" w14:paraId="4D91DECD" w14:textId="77777777" w:rsidTr="005D50AF">
        <w:trPr>
          <w:trHeight w:val="420"/>
          <w:jc w:val="center"/>
        </w:trPr>
        <w:tc>
          <w:tcPr>
            <w:tcW w:w="3320" w:type="dxa"/>
            <w:tcBorders>
              <w:top w:val="nil"/>
              <w:left w:val="nil"/>
              <w:bottom w:val="nil"/>
              <w:right w:val="nil"/>
            </w:tcBorders>
            <w:shd w:val="clear" w:color="auto" w:fill="auto"/>
            <w:hideMark/>
          </w:tcPr>
          <w:p w14:paraId="31E04244"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035AF6FC"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53C1D193"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102.1</w:t>
            </w:r>
          </w:p>
        </w:tc>
      </w:tr>
      <w:tr w:rsidR="005D50AF" w:rsidRPr="005D50AF" w14:paraId="0DF84D9C" w14:textId="77777777" w:rsidTr="005D50AF">
        <w:trPr>
          <w:trHeight w:val="225"/>
          <w:jc w:val="center"/>
        </w:trPr>
        <w:tc>
          <w:tcPr>
            <w:tcW w:w="3320" w:type="dxa"/>
            <w:tcBorders>
              <w:top w:val="nil"/>
              <w:left w:val="nil"/>
              <w:bottom w:val="nil"/>
              <w:right w:val="nil"/>
            </w:tcBorders>
            <w:shd w:val="clear" w:color="auto" w:fill="auto"/>
            <w:vAlign w:val="center"/>
            <w:hideMark/>
          </w:tcPr>
          <w:p w14:paraId="701D359D"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2B9EAB64"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0121EFC7"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99.1</w:t>
            </w:r>
          </w:p>
        </w:tc>
      </w:tr>
      <w:tr w:rsidR="005D50AF" w:rsidRPr="005D50AF" w14:paraId="2A872EC5" w14:textId="77777777" w:rsidTr="005D50AF">
        <w:trPr>
          <w:trHeight w:val="420"/>
          <w:jc w:val="center"/>
        </w:trPr>
        <w:tc>
          <w:tcPr>
            <w:tcW w:w="3320" w:type="dxa"/>
            <w:tcBorders>
              <w:top w:val="nil"/>
              <w:left w:val="nil"/>
              <w:bottom w:val="nil"/>
              <w:right w:val="nil"/>
            </w:tcBorders>
            <w:shd w:val="clear" w:color="auto" w:fill="auto"/>
            <w:hideMark/>
          </w:tcPr>
          <w:p w14:paraId="09C60283"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0C5B1A59"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1E0E6D63"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99.8</w:t>
            </w:r>
          </w:p>
        </w:tc>
      </w:tr>
      <w:tr w:rsidR="005D50AF" w:rsidRPr="005D50AF" w14:paraId="187D4831" w14:textId="77777777" w:rsidTr="005D50AF">
        <w:trPr>
          <w:trHeight w:val="630"/>
          <w:jc w:val="center"/>
        </w:trPr>
        <w:tc>
          <w:tcPr>
            <w:tcW w:w="3320" w:type="dxa"/>
            <w:tcBorders>
              <w:top w:val="nil"/>
              <w:left w:val="nil"/>
              <w:bottom w:val="nil"/>
              <w:right w:val="nil"/>
            </w:tcBorders>
            <w:shd w:val="clear" w:color="auto" w:fill="auto"/>
            <w:hideMark/>
          </w:tcPr>
          <w:p w14:paraId="1F19F573"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41EA0F9C"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4B65B929"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99.1</w:t>
            </w:r>
          </w:p>
        </w:tc>
      </w:tr>
      <w:tr w:rsidR="005D50AF" w:rsidRPr="005D50AF" w14:paraId="0561DAEC" w14:textId="77777777" w:rsidTr="005D50AF">
        <w:trPr>
          <w:trHeight w:val="225"/>
          <w:jc w:val="center"/>
        </w:trPr>
        <w:tc>
          <w:tcPr>
            <w:tcW w:w="3320" w:type="dxa"/>
            <w:tcBorders>
              <w:top w:val="nil"/>
              <w:left w:val="nil"/>
              <w:bottom w:val="nil"/>
              <w:right w:val="nil"/>
            </w:tcBorders>
            <w:shd w:val="clear" w:color="auto" w:fill="auto"/>
            <w:vAlign w:val="center"/>
            <w:hideMark/>
          </w:tcPr>
          <w:p w14:paraId="194741AA"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5DAEE3A2"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195FA5A1"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100.1</w:t>
            </w:r>
          </w:p>
        </w:tc>
      </w:tr>
      <w:tr w:rsidR="005D50AF" w:rsidRPr="005D50AF" w14:paraId="33DBFC78" w14:textId="77777777" w:rsidTr="005D50AF">
        <w:trPr>
          <w:trHeight w:val="225"/>
          <w:jc w:val="center"/>
        </w:trPr>
        <w:tc>
          <w:tcPr>
            <w:tcW w:w="3320" w:type="dxa"/>
            <w:tcBorders>
              <w:top w:val="nil"/>
              <w:left w:val="nil"/>
              <w:bottom w:val="nil"/>
              <w:right w:val="nil"/>
            </w:tcBorders>
            <w:shd w:val="clear" w:color="auto" w:fill="auto"/>
            <w:vAlign w:val="center"/>
            <w:hideMark/>
          </w:tcPr>
          <w:p w14:paraId="16184383"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3BE2BFC6"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04E3D7D7"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100.1</w:t>
            </w:r>
          </w:p>
        </w:tc>
      </w:tr>
      <w:tr w:rsidR="005D50AF" w:rsidRPr="005D50AF" w14:paraId="13EA0E88" w14:textId="77777777" w:rsidTr="005D50AF">
        <w:trPr>
          <w:trHeight w:val="225"/>
          <w:jc w:val="center"/>
        </w:trPr>
        <w:tc>
          <w:tcPr>
            <w:tcW w:w="3320" w:type="dxa"/>
            <w:tcBorders>
              <w:top w:val="nil"/>
              <w:left w:val="nil"/>
              <w:bottom w:val="nil"/>
              <w:right w:val="nil"/>
            </w:tcBorders>
            <w:shd w:val="clear" w:color="auto" w:fill="auto"/>
            <w:vAlign w:val="center"/>
            <w:hideMark/>
          </w:tcPr>
          <w:p w14:paraId="19714543"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297AE1A0"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6A2E7922"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100.0</w:t>
            </w:r>
          </w:p>
        </w:tc>
      </w:tr>
      <w:tr w:rsidR="005D50AF" w:rsidRPr="005D50AF" w14:paraId="2CC8716D" w14:textId="77777777" w:rsidTr="005D50AF">
        <w:trPr>
          <w:trHeight w:val="225"/>
          <w:jc w:val="center"/>
        </w:trPr>
        <w:tc>
          <w:tcPr>
            <w:tcW w:w="3320" w:type="dxa"/>
            <w:tcBorders>
              <w:top w:val="nil"/>
              <w:left w:val="nil"/>
              <w:bottom w:val="nil"/>
              <w:right w:val="nil"/>
            </w:tcBorders>
            <w:shd w:val="clear" w:color="auto" w:fill="auto"/>
            <w:hideMark/>
          </w:tcPr>
          <w:p w14:paraId="153C3094"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412067F2"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13408203"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100.0</w:t>
            </w:r>
          </w:p>
        </w:tc>
      </w:tr>
      <w:tr w:rsidR="005D50AF" w:rsidRPr="005D50AF" w14:paraId="14C2C61B" w14:textId="77777777" w:rsidTr="005D50AF">
        <w:trPr>
          <w:trHeight w:val="225"/>
          <w:jc w:val="center"/>
        </w:trPr>
        <w:tc>
          <w:tcPr>
            <w:tcW w:w="3320" w:type="dxa"/>
            <w:tcBorders>
              <w:top w:val="nil"/>
              <w:left w:val="nil"/>
              <w:bottom w:val="single" w:sz="4" w:space="0" w:color="auto"/>
              <w:right w:val="nil"/>
            </w:tcBorders>
            <w:shd w:val="clear" w:color="auto" w:fill="auto"/>
            <w:vAlign w:val="center"/>
            <w:hideMark/>
          </w:tcPr>
          <w:p w14:paraId="20B42F40"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3B857D1F"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0B1DE40F"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99.3</w:t>
            </w:r>
          </w:p>
        </w:tc>
      </w:tr>
      <w:tr w:rsidR="005D50AF" w:rsidRPr="005D50AF" w14:paraId="3498D021" w14:textId="77777777" w:rsidTr="005D50AF">
        <w:trPr>
          <w:trHeight w:val="225"/>
          <w:jc w:val="center"/>
        </w:trPr>
        <w:tc>
          <w:tcPr>
            <w:tcW w:w="3320" w:type="dxa"/>
            <w:tcBorders>
              <w:top w:val="nil"/>
              <w:left w:val="nil"/>
              <w:bottom w:val="nil"/>
              <w:right w:val="nil"/>
            </w:tcBorders>
            <w:shd w:val="clear" w:color="auto" w:fill="auto"/>
            <w:noWrap/>
            <w:hideMark/>
          </w:tcPr>
          <w:p w14:paraId="0F36A532" w14:textId="77777777" w:rsidR="005D50AF" w:rsidRPr="005D50AF" w:rsidRDefault="005D50AF" w:rsidP="005D50AF">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3E6C2929" w14:textId="77777777" w:rsidR="005D50AF" w:rsidRPr="005D50AF" w:rsidRDefault="005D50AF" w:rsidP="005D50AF">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5673D3FF" w14:textId="77777777" w:rsidR="005D50AF" w:rsidRPr="005D50AF" w:rsidRDefault="005D50AF" w:rsidP="005D50AF">
            <w:pPr>
              <w:jc w:val="right"/>
              <w:rPr>
                <w:rFonts w:eastAsia="Times New Roman" w:cs="Times New Roman"/>
                <w:sz w:val="20"/>
                <w:szCs w:val="20"/>
                <w:lang w:eastAsia="bg-BG"/>
              </w:rPr>
            </w:pPr>
          </w:p>
        </w:tc>
      </w:tr>
      <w:tr w:rsidR="005D50AF" w:rsidRPr="005D50AF" w14:paraId="23C8F7B3" w14:textId="77777777" w:rsidTr="005D50AF">
        <w:trPr>
          <w:trHeight w:val="225"/>
          <w:jc w:val="center"/>
        </w:trPr>
        <w:tc>
          <w:tcPr>
            <w:tcW w:w="3320" w:type="dxa"/>
            <w:tcBorders>
              <w:top w:val="nil"/>
              <w:left w:val="nil"/>
              <w:bottom w:val="nil"/>
              <w:right w:val="nil"/>
            </w:tcBorders>
            <w:shd w:val="clear" w:color="auto" w:fill="auto"/>
            <w:noWrap/>
            <w:hideMark/>
          </w:tcPr>
          <w:p w14:paraId="65754A71"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5FB5C3B1"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5B2133B1"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102.1</w:t>
            </w:r>
          </w:p>
        </w:tc>
      </w:tr>
      <w:tr w:rsidR="005D50AF" w:rsidRPr="005D50AF" w14:paraId="3BB82B61" w14:textId="77777777" w:rsidTr="005D50AF">
        <w:trPr>
          <w:trHeight w:val="225"/>
          <w:jc w:val="center"/>
        </w:trPr>
        <w:tc>
          <w:tcPr>
            <w:tcW w:w="3320" w:type="dxa"/>
            <w:tcBorders>
              <w:top w:val="nil"/>
              <w:left w:val="nil"/>
              <w:bottom w:val="nil"/>
              <w:right w:val="nil"/>
            </w:tcBorders>
            <w:shd w:val="clear" w:color="auto" w:fill="auto"/>
            <w:noWrap/>
            <w:hideMark/>
          </w:tcPr>
          <w:p w14:paraId="6FD3652B"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1BDD05FB"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093B1C45"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99.6</w:t>
            </w:r>
          </w:p>
        </w:tc>
      </w:tr>
      <w:tr w:rsidR="005D50AF" w:rsidRPr="005D50AF" w14:paraId="42ED6946" w14:textId="77777777" w:rsidTr="005D50AF">
        <w:trPr>
          <w:trHeight w:val="225"/>
          <w:jc w:val="center"/>
        </w:trPr>
        <w:tc>
          <w:tcPr>
            <w:tcW w:w="3320" w:type="dxa"/>
            <w:tcBorders>
              <w:top w:val="nil"/>
              <w:left w:val="nil"/>
              <w:bottom w:val="single" w:sz="4" w:space="0" w:color="auto"/>
              <w:right w:val="nil"/>
            </w:tcBorders>
            <w:shd w:val="clear" w:color="auto" w:fill="auto"/>
            <w:noWrap/>
            <w:hideMark/>
          </w:tcPr>
          <w:p w14:paraId="2364F771" w14:textId="77777777" w:rsidR="005D50AF" w:rsidRPr="005D50AF" w:rsidRDefault="005D50AF" w:rsidP="005D50AF">
            <w:pPr>
              <w:rPr>
                <w:rFonts w:ascii="Verdana" w:eastAsia="Times New Roman" w:hAnsi="Verdana" w:cs="Arial"/>
                <w:sz w:val="16"/>
                <w:szCs w:val="16"/>
                <w:lang w:eastAsia="bg-BG"/>
              </w:rPr>
            </w:pPr>
            <w:r w:rsidRPr="005D50AF">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73755D4D"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7889361A" w14:textId="77777777" w:rsidR="005D50AF" w:rsidRPr="005D50AF" w:rsidRDefault="005D50AF" w:rsidP="005D50AF">
            <w:pPr>
              <w:jc w:val="right"/>
              <w:rPr>
                <w:rFonts w:ascii="Verdana" w:eastAsia="Times New Roman" w:hAnsi="Verdana" w:cs="Arial"/>
                <w:sz w:val="16"/>
                <w:szCs w:val="16"/>
                <w:lang w:eastAsia="bg-BG"/>
              </w:rPr>
            </w:pPr>
            <w:r w:rsidRPr="005D50AF">
              <w:rPr>
                <w:rFonts w:ascii="Verdana" w:eastAsia="Times New Roman" w:hAnsi="Verdana" w:cs="Arial"/>
                <w:sz w:val="16"/>
                <w:szCs w:val="16"/>
                <w:lang w:eastAsia="bg-BG"/>
              </w:rPr>
              <w:t>99.9</w:t>
            </w:r>
          </w:p>
        </w:tc>
      </w:tr>
    </w:tbl>
    <w:p w14:paraId="234867FA" w14:textId="77777777" w:rsidR="00E20873" w:rsidRPr="003F700D" w:rsidRDefault="00E20873" w:rsidP="00E21163">
      <w:pPr>
        <w:spacing w:line="360" w:lineRule="auto"/>
        <w:ind w:firstLine="567"/>
        <w:jc w:val="center"/>
        <w:rPr>
          <w:rFonts w:ascii="Verdana" w:eastAsia="Μοντέρνα" w:hAnsi="Verdana" w:cs="Times New Roman"/>
          <w:sz w:val="20"/>
          <w:szCs w:val="20"/>
          <w:lang w:eastAsia="bg-BG"/>
        </w:rPr>
      </w:pPr>
    </w:p>
    <w:p w14:paraId="466B2B06"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3F700D"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3F700D" w:rsidRDefault="004760D3" w:rsidP="004760D3">
      <w:pPr>
        <w:rPr>
          <w:rFonts w:eastAsia="Μοντέρνα" w:cs="Times New Roman"/>
          <w:szCs w:val="20"/>
          <w:lang w:eastAsia="bg-BG"/>
        </w:rPr>
      </w:pPr>
    </w:p>
    <w:p w14:paraId="14D34295" w14:textId="77777777" w:rsidR="004760D3" w:rsidRPr="003F700D" w:rsidRDefault="004760D3" w:rsidP="004760D3">
      <w:pPr>
        <w:rPr>
          <w:rFonts w:eastAsia="Μοντέρνα" w:cs="Times New Roman"/>
          <w:szCs w:val="20"/>
          <w:lang w:eastAsia="bg-BG"/>
        </w:rPr>
      </w:pPr>
    </w:p>
    <w:p w14:paraId="07ADFB50" w14:textId="77777777" w:rsidR="004760D3" w:rsidRPr="003F700D" w:rsidRDefault="004760D3" w:rsidP="004760D3">
      <w:pPr>
        <w:rPr>
          <w:rFonts w:eastAsia="Μοντέρνα" w:cs="Times New Roman"/>
          <w:szCs w:val="20"/>
          <w:lang w:eastAsia="bg-BG"/>
        </w:rPr>
      </w:pPr>
    </w:p>
    <w:p w14:paraId="388EF3D8" w14:textId="77777777" w:rsidR="004760D3" w:rsidRPr="003F700D" w:rsidRDefault="004760D3" w:rsidP="004760D3">
      <w:pPr>
        <w:rPr>
          <w:rFonts w:eastAsia="Μοντέρνα" w:cs="Times New Roman"/>
          <w:szCs w:val="20"/>
          <w:lang w:eastAsia="bg-BG"/>
        </w:rPr>
      </w:pPr>
    </w:p>
    <w:p w14:paraId="5F2D7FC1" w14:textId="77777777" w:rsidR="004760D3" w:rsidRPr="003F700D" w:rsidRDefault="004760D3" w:rsidP="004760D3">
      <w:pPr>
        <w:rPr>
          <w:rFonts w:eastAsia="Μοντέρνα" w:cs="Times New Roman"/>
          <w:szCs w:val="20"/>
          <w:lang w:eastAsia="bg-BG"/>
        </w:rPr>
      </w:pPr>
    </w:p>
    <w:p w14:paraId="6F8B0A98" w14:textId="77777777" w:rsidR="004760D3" w:rsidRPr="003F700D" w:rsidRDefault="004760D3" w:rsidP="004760D3">
      <w:pPr>
        <w:rPr>
          <w:rFonts w:eastAsia="Μοντέρνα" w:cs="Times New Roman"/>
          <w:szCs w:val="20"/>
          <w:lang w:eastAsia="bg-BG"/>
        </w:rPr>
      </w:pPr>
    </w:p>
    <w:p w14:paraId="4422503F" w14:textId="77777777" w:rsidR="004760D3" w:rsidRPr="003F700D" w:rsidRDefault="004760D3" w:rsidP="004760D3">
      <w:pPr>
        <w:rPr>
          <w:rFonts w:eastAsia="Μοντέρνα" w:cs="Times New Roman"/>
          <w:szCs w:val="20"/>
          <w:lang w:eastAsia="bg-BG"/>
        </w:rPr>
      </w:pPr>
    </w:p>
    <w:p w14:paraId="736D516F" w14:textId="77777777" w:rsidR="004760D3" w:rsidRPr="003F700D" w:rsidRDefault="004760D3" w:rsidP="004760D3">
      <w:pPr>
        <w:rPr>
          <w:rFonts w:eastAsia="Μοντέρνα" w:cs="Times New Roman"/>
          <w:szCs w:val="20"/>
          <w:lang w:eastAsia="bg-BG"/>
        </w:rPr>
      </w:pPr>
    </w:p>
    <w:p w14:paraId="43D9F347" w14:textId="77777777" w:rsidR="00171C36" w:rsidRPr="003F700D" w:rsidRDefault="00171C36" w:rsidP="00336556">
      <w:pPr>
        <w:spacing w:line="360" w:lineRule="auto"/>
        <w:ind w:firstLine="567"/>
        <w:jc w:val="both"/>
      </w:pPr>
    </w:p>
    <w:p w14:paraId="1B56D0A0" w14:textId="77777777" w:rsidR="00171C36" w:rsidRPr="003F700D" w:rsidRDefault="00171C36" w:rsidP="00336556">
      <w:pPr>
        <w:spacing w:line="360" w:lineRule="auto"/>
        <w:ind w:firstLine="567"/>
        <w:jc w:val="both"/>
      </w:pPr>
    </w:p>
    <w:p w14:paraId="6C8E37D4" w14:textId="77777777" w:rsidR="00171C36" w:rsidRPr="003F700D" w:rsidRDefault="00171C36" w:rsidP="004760D3">
      <w:pPr>
        <w:spacing w:line="360" w:lineRule="auto"/>
        <w:jc w:val="both"/>
      </w:pPr>
    </w:p>
    <w:sectPr w:rsidR="00171C36" w:rsidRPr="003F700D"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D996E" w14:textId="77777777" w:rsidR="005A4857" w:rsidRDefault="005A4857" w:rsidP="00214ACA">
      <w:r>
        <w:separator/>
      </w:r>
    </w:p>
  </w:endnote>
  <w:endnote w:type="continuationSeparator" w:id="0">
    <w:p w14:paraId="0565AF53" w14:textId="77777777" w:rsidR="005A4857" w:rsidRDefault="005A4857"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0FD4CE46" w:rsidR="009C21A2" w:rsidRPr="00A7142A" w:rsidRDefault="009C21A2"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17EF032D" w:rsidR="009C21A2" w:rsidRPr="00DD11CB" w:rsidRDefault="009C21A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1898">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17EF032D" w:rsidR="009C21A2" w:rsidRPr="00DD11CB" w:rsidRDefault="009C21A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1898">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sidR="005A4456">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9C21A2" w:rsidRDefault="009C21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4FF037E5"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1898">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4FF037E5"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1898">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9C21A2" w:rsidRPr="00171C36" w:rsidRDefault="009C21A2"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677B2C2D"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1898">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677B2C2D"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1898">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Pr="00171C36">
      <w:rPr>
        <w:rFonts w:ascii="Viol" w:hAnsi="Viol"/>
        <w:color w:val="31312F"/>
      </w:rPr>
      <w:t xml:space="preserve"> </w:t>
    </w:r>
  </w:p>
  <w:p w14:paraId="41601FA7" w14:textId="71FA0016" w:rsidR="009C21A2" w:rsidRDefault="009C21A2"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sidR="005A4456">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539E" w14:textId="77777777" w:rsidR="005A4857" w:rsidRDefault="005A4857" w:rsidP="00214ACA">
      <w:r>
        <w:separator/>
      </w:r>
    </w:p>
  </w:footnote>
  <w:footnote w:type="continuationSeparator" w:id="0">
    <w:p w14:paraId="0A40DBE4" w14:textId="77777777" w:rsidR="005A4857" w:rsidRDefault="005A4857" w:rsidP="00214ACA">
      <w:r>
        <w:continuationSeparator/>
      </w:r>
    </w:p>
  </w:footnote>
  <w:footnote w:id="1">
    <w:p w14:paraId="33B782B2" w14:textId="5FC244C3" w:rsidR="009C21A2" w:rsidRPr="00CA73A8" w:rsidRDefault="009C21A2" w:rsidP="00CA73A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221DC2FA" w14:textId="3AD4E04E" w:rsidR="009C21A2" w:rsidRPr="003219C4" w:rsidRDefault="009C21A2" w:rsidP="00CA73A8">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3">
    <w:p w14:paraId="6B544D07" w14:textId="77777777" w:rsidR="00AD4F16" w:rsidRPr="003219C4" w:rsidRDefault="00AD4F16" w:rsidP="00AD4F16">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4">
    <w:p w14:paraId="72A2958C" w14:textId="470E3A8C" w:rsidR="009C21A2" w:rsidRPr="00CA1104" w:rsidRDefault="009C21A2" w:rsidP="00A96C6E">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sidR="0017409E">
        <w:rPr>
          <w:rFonts w:ascii="Verdana" w:hAnsi="Verdana"/>
          <w:sz w:val="16"/>
          <w:szCs w:val="16"/>
          <w:lang w:val="bg-BG"/>
        </w:rPr>
        <w:t xml:space="preserve"> г.</w:t>
      </w:r>
      <w:r w:rsidRPr="00CA1104">
        <w:rPr>
          <w:rFonts w:ascii="Verdana" w:hAnsi="Verdana"/>
          <w:sz w:val="16"/>
          <w:szCs w:val="16"/>
          <w:lang w:val="bg-BG"/>
        </w:rPr>
        <w:t xml:space="preserve">: </w:t>
      </w:r>
    </w:p>
    <w:p w14:paraId="62501CF6" w14:textId="77777777" w:rsidR="009C21A2" w:rsidRPr="009F2280" w:rsidRDefault="005A4857" w:rsidP="00B6138F">
      <w:pPr>
        <w:pStyle w:val="FootnoteText"/>
        <w:jc w:val="both"/>
        <w:rPr>
          <w:rFonts w:ascii="Verdana" w:hAnsi="Verdana"/>
          <w:sz w:val="16"/>
          <w:szCs w:val="16"/>
          <w:lang w:val="en-US"/>
        </w:rPr>
      </w:pPr>
      <w:hyperlink r:id="rId1" w:history="1">
        <w:r w:rsidR="009C21A2"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9C21A2"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9C21A2" w:rsidRPr="00B77149" w:rsidRDefault="009C21A2"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48B46BCF">
              <wp:simplePos x="0" y="0"/>
              <wp:positionH relativeFrom="margin">
                <wp:posOffset>-229870</wp:posOffset>
              </wp:positionH>
              <wp:positionV relativeFrom="paragraph">
                <wp:posOffset>-497840</wp:posOffset>
              </wp:positionV>
              <wp:extent cx="5819775" cy="4445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44500"/>
                      </a:xfrm>
                      <a:prstGeom prst="rect">
                        <a:avLst/>
                      </a:prstGeom>
                      <a:solidFill>
                        <a:srgbClr val="FFFFFF"/>
                      </a:solidFill>
                      <a:ln w="9525">
                        <a:noFill/>
                        <a:miter lim="800000"/>
                        <a:headEnd/>
                        <a:tailEnd/>
                      </a:ln>
                    </wps:spPr>
                    <wps:txbx>
                      <w:txbxContent>
                        <w:p w14:paraId="16B23BFF" w14:textId="77777777" w:rsidR="009C21A2" w:rsidRDefault="009C21A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1E39441F" w:rsidR="009C21A2" w:rsidRPr="00101DE0" w:rsidRDefault="00C5737B"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НОЕМВРИ</w:t>
                          </w:r>
                          <w:r w:rsidR="009C21A2"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1pt;margin-top:-39.2pt;width:458.25pt;height: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" stroked="f">
              <v:textbox>
                <w:txbxContent>
                  <w:p w14:paraId="16B23BFF" w14:textId="77777777" w:rsidR="009C21A2" w:rsidRDefault="009C21A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1E39441F" w:rsidR="009C21A2" w:rsidRPr="00101DE0" w:rsidRDefault="00C5737B"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НОЕМВРИ</w:t>
                    </w:r>
                    <w:r w:rsidR="009C21A2" w:rsidRPr="002B2A4C">
                      <w:rPr>
                        <w:rFonts w:ascii="Verdana" w:eastAsia="Calibri" w:hAnsi="Verdana" w:cs="Times New Roman"/>
                        <w:b/>
                        <w:sz w:val="20"/>
                        <w:szCs w:val="20"/>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9C21A2" w:rsidRPr="009E4021" w:rsidRDefault="009C21A2"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C21A2" w:rsidRDefault="009C21A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C21A2" w:rsidRPr="00FD731D" w:rsidRDefault="009C21A2">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C21A2" w:rsidRDefault="009C21A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C21A2" w:rsidRPr="00FD731D" w:rsidRDefault="009C21A2">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9C21A2" w:rsidRPr="004F064E" w:rsidRDefault="009C21A2"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9C21A2" w:rsidRPr="004F064E" w:rsidRDefault="009C21A2"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9C21A2" w:rsidRDefault="009C21A2"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13AF3324" w:rsidR="009C21A2" w:rsidRPr="00101DE0" w:rsidRDefault="00C5737B"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НОЕМВРИ</w:t>
                          </w:r>
                          <w:r w:rsidR="009C21A2"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9C21A2" w:rsidRDefault="009C21A2"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13AF3324" w:rsidR="009C21A2" w:rsidRPr="00101DE0" w:rsidRDefault="00C5737B"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НОЕМВРИ</w:t>
                    </w:r>
                    <w:r w:rsidR="009C21A2" w:rsidRPr="002B2A4C">
                      <w:rPr>
                        <w:rFonts w:ascii="Verdana" w:eastAsia="Calibri" w:hAnsi="Verdana" w:cs="Times New Roman"/>
                        <w:b/>
                        <w:sz w:val="20"/>
                        <w:szCs w:val="20"/>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6F1C"/>
    <w:rsid w:val="00017619"/>
    <w:rsid w:val="00024E56"/>
    <w:rsid w:val="00030631"/>
    <w:rsid w:val="0003471B"/>
    <w:rsid w:val="00036AD6"/>
    <w:rsid w:val="0004079A"/>
    <w:rsid w:val="0005007C"/>
    <w:rsid w:val="0005074F"/>
    <w:rsid w:val="00052809"/>
    <w:rsid w:val="00055BF2"/>
    <w:rsid w:val="0006028D"/>
    <w:rsid w:val="0006051E"/>
    <w:rsid w:val="000607BC"/>
    <w:rsid w:val="000610FE"/>
    <w:rsid w:val="0007132A"/>
    <w:rsid w:val="00072537"/>
    <w:rsid w:val="000740D4"/>
    <w:rsid w:val="00077C97"/>
    <w:rsid w:val="00084CE3"/>
    <w:rsid w:val="000869D6"/>
    <w:rsid w:val="00087722"/>
    <w:rsid w:val="000878F0"/>
    <w:rsid w:val="000A7912"/>
    <w:rsid w:val="000B17C2"/>
    <w:rsid w:val="000B2B10"/>
    <w:rsid w:val="000B426A"/>
    <w:rsid w:val="000B4D12"/>
    <w:rsid w:val="000B7272"/>
    <w:rsid w:val="000C0D56"/>
    <w:rsid w:val="000C7F80"/>
    <w:rsid w:val="000E7460"/>
    <w:rsid w:val="000E78FC"/>
    <w:rsid w:val="000F0B88"/>
    <w:rsid w:val="000F0B89"/>
    <w:rsid w:val="000F1EEC"/>
    <w:rsid w:val="000F4852"/>
    <w:rsid w:val="000F6F59"/>
    <w:rsid w:val="000F7642"/>
    <w:rsid w:val="00101DE0"/>
    <w:rsid w:val="0010229E"/>
    <w:rsid w:val="00103F13"/>
    <w:rsid w:val="00107F84"/>
    <w:rsid w:val="001141C3"/>
    <w:rsid w:val="001167AF"/>
    <w:rsid w:val="00117A5F"/>
    <w:rsid w:val="001216D6"/>
    <w:rsid w:val="0012249C"/>
    <w:rsid w:val="00132776"/>
    <w:rsid w:val="00135547"/>
    <w:rsid w:val="00135697"/>
    <w:rsid w:val="00145929"/>
    <w:rsid w:val="00154B43"/>
    <w:rsid w:val="00164C03"/>
    <w:rsid w:val="00171C36"/>
    <w:rsid w:val="0017368C"/>
    <w:rsid w:val="0017409E"/>
    <w:rsid w:val="00184625"/>
    <w:rsid w:val="001851E3"/>
    <w:rsid w:val="00185A6B"/>
    <w:rsid w:val="00187F6B"/>
    <w:rsid w:val="001901A0"/>
    <w:rsid w:val="00190E77"/>
    <w:rsid w:val="001947B8"/>
    <w:rsid w:val="001A371B"/>
    <w:rsid w:val="001A67F2"/>
    <w:rsid w:val="001B03D8"/>
    <w:rsid w:val="001B0EEB"/>
    <w:rsid w:val="001B77B4"/>
    <w:rsid w:val="001C186B"/>
    <w:rsid w:val="001C2BAB"/>
    <w:rsid w:val="001D4A49"/>
    <w:rsid w:val="001D52EE"/>
    <w:rsid w:val="001E5BA2"/>
    <w:rsid w:val="001E676B"/>
    <w:rsid w:val="001E7AC3"/>
    <w:rsid w:val="0020048B"/>
    <w:rsid w:val="002006B3"/>
    <w:rsid w:val="00214394"/>
    <w:rsid w:val="00214ACA"/>
    <w:rsid w:val="002152D3"/>
    <w:rsid w:val="00221FF5"/>
    <w:rsid w:val="00225AD3"/>
    <w:rsid w:val="00232030"/>
    <w:rsid w:val="002350BF"/>
    <w:rsid w:val="00237B3D"/>
    <w:rsid w:val="00237F94"/>
    <w:rsid w:val="00243E84"/>
    <w:rsid w:val="00251079"/>
    <w:rsid w:val="0025218C"/>
    <w:rsid w:val="00252433"/>
    <w:rsid w:val="00266C36"/>
    <w:rsid w:val="002747AF"/>
    <w:rsid w:val="0028599E"/>
    <w:rsid w:val="00291CD8"/>
    <w:rsid w:val="002931C3"/>
    <w:rsid w:val="00297C89"/>
    <w:rsid w:val="002A65A2"/>
    <w:rsid w:val="002B2436"/>
    <w:rsid w:val="002B2A4C"/>
    <w:rsid w:val="002C225E"/>
    <w:rsid w:val="002C30B9"/>
    <w:rsid w:val="002C72D4"/>
    <w:rsid w:val="002D0367"/>
    <w:rsid w:val="002E47FD"/>
    <w:rsid w:val="002E77FD"/>
    <w:rsid w:val="002F68FE"/>
    <w:rsid w:val="00304354"/>
    <w:rsid w:val="00304900"/>
    <w:rsid w:val="0031488D"/>
    <w:rsid w:val="00314D13"/>
    <w:rsid w:val="00315BBD"/>
    <w:rsid w:val="00317411"/>
    <w:rsid w:val="003219C4"/>
    <w:rsid w:val="00322438"/>
    <w:rsid w:val="0032664B"/>
    <w:rsid w:val="00332C88"/>
    <w:rsid w:val="00336556"/>
    <w:rsid w:val="0033761F"/>
    <w:rsid w:val="00337697"/>
    <w:rsid w:val="00343994"/>
    <w:rsid w:val="0034424B"/>
    <w:rsid w:val="00344854"/>
    <w:rsid w:val="0034514A"/>
    <w:rsid w:val="003462F3"/>
    <w:rsid w:val="0035287D"/>
    <w:rsid w:val="00355A27"/>
    <w:rsid w:val="00360952"/>
    <w:rsid w:val="00360F50"/>
    <w:rsid w:val="00362DFD"/>
    <w:rsid w:val="00364357"/>
    <w:rsid w:val="00372E89"/>
    <w:rsid w:val="00373901"/>
    <w:rsid w:val="00380E0B"/>
    <w:rsid w:val="003825B0"/>
    <w:rsid w:val="00387220"/>
    <w:rsid w:val="0038746A"/>
    <w:rsid w:val="003A7731"/>
    <w:rsid w:val="003B0E18"/>
    <w:rsid w:val="003B2503"/>
    <w:rsid w:val="003B42F8"/>
    <w:rsid w:val="003B46BA"/>
    <w:rsid w:val="003B7461"/>
    <w:rsid w:val="003B74BB"/>
    <w:rsid w:val="003C2111"/>
    <w:rsid w:val="003D5F6D"/>
    <w:rsid w:val="003D64A3"/>
    <w:rsid w:val="003E0FD9"/>
    <w:rsid w:val="003E4570"/>
    <w:rsid w:val="003E45DE"/>
    <w:rsid w:val="003F4816"/>
    <w:rsid w:val="003F700D"/>
    <w:rsid w:val="004065E2"/>
    <w:rsid w:val="004066D7"/>
    <w:rsid w:val="00413588"/>
    <w:rsid w:val="00415F30"/>
    <w:rsid w:val="0043281A"/>
    <w:rsid w:val="00435B45"/>
    <w:rsid w:val="00444019"/>
    <w:rsid w:val="004456FE"/>
    <w:rsid w:val="00446CF4"/>
    <w:rsid w:val="00455255"/>
    <w:rsid w:val="0046738A"/>
    <w:rsid w:val="00474EB2"/>
    <w:rsid w:val="00475750"/>
    <w:rsid w:val="004760D3"/>
    <w:rsid w:val="0047774D"/>
    <w:rsid w:val="00477EE5"/>
    <w:rsid w:val="00481898"/>
    <w:rsid w:val="00484B1C"/>
    <w:rsid w:val="00486232"/>
    <w:rsid w:val="00496BB1"/>
    <w:rsid w:val="004A3B6E"/>
    <w:rsid w:val="004A4BD4"/>
    <w:rsid w:val="004A6297"/>
    <w:rsid w:val="004B1C9B"/>
    <w:rsid w:val="004C29F6"/>
    <w:rsid w:val="004C3B19"/>
    <w:rsid w:val="004C3E3B"/>
    <w:rsid w:val="004C4C64"/>
    <w:rsid w:val="004D37D8"/>
    <w:rsid w:val="004D4E21"/>
    <w:rsid w:val="004E69DD"/>
    <w:rsid w:val="004F064E"/>
    <w:rsid w:val="004F689B"/>
    <w:rsid w:val="00504190"/>
    <w:rsid w:val="00520539"/>
    <w:rsid w:val="00526C73"/>
    <w:rsid w:val="005346BB"/>
    <w:rsid w:val="005424B1"/>
    <w:rsid w:val="00544043"/>
    <w:rsid w:val="00553228"/>
    <w:rsid w:val="0055469F"/>
    <w:rsid w:val="005562AB"/>
    <w:rsid w:val="005623A7"/>
    <w:rsid w:val="00563273"/>
    <w:rsid w:val="00563744"/>
    <w:rsid w:val="00567710"/>
    <w:rsid w:val="00573101"/>
    <w:rsid w:val="00573159"/>
    <w:rsid w:val="005736E0"/>
    <w:rsid w:val="00575FDA"/>
    <w:rsid w:val="0058041E"/>
    <w:rsid w:val="00582DD1"/>
    <w:rsid w:val="00594981"/>
    <w:rsid w:val="005A2912"/>
    <w:rsid w:val="005A4456"/>
    <w:rsid w:val="005A4857"/>
    <w:rsid w:val="005A521C"/>
    <w:rsid w:val="005B13BD"/>
    <w:rsid w:val="005B19C9"/>
    <w:rsid w:val="005B34DE"/>
    <w:rsid w:val="005B4023"/>
    <w:rsid w:val="005B5C46"/>
    <w:rsid w:val="005D3384"/>
    <w:rsid w:val="005D50AF"/>
    <w:rsid w:val="005D63FA"/>
    <w:rsid w:val="005D6864"/>
    <w:rsid w:val="005E0E66"/>
    <w:rsid w:val="005F20AE"/>
    <w:rsid w:val="005F7394"/>
    <w:rsid w:val="00600941"/>
    <w:rsid w:val="00600F18"/>
    <w:rsid w:val="00603877"/>
    <w:rsid w:val="00603895"/>
    <w:rsid w:val="0061001D"/>
    <w:rsid w:val="006120F5"/>
    <w:rsid w:val="00616106"/>
    <w:rsid w:val="00636C12"/>
    <w:rsid w:val="00643716"/>
    <w:rsid w:val="00643787"/>
    <w:rsid w:val="00644D53"/>
    <w:rsid w:val="00645D0B"/>
    <w:rsid w:val="00654814"/>
    <w:rsid w:val="00665729"/>
    <w:rsid w:val="00676337"/>
    <w:rsid w:val="006800C6"/>
    <w:rsid w:val="00680D6E"/>
    <w:rsid w:val="006900E5"/>
    <w:rsid w:val="00690C4F"/>
    <w:rsid w:val="006A043F"/>
    <w:rsid w:val="006A212D"/>
    <w:rsid w:val="006B6662"/>
    <w:rsid w:val="006B7043"/>
    <w:rsid w:val="006B7A65"/>
    <w:rsid w:val="006C794E"/>
    <w:rsid w:val="006D1BE4"/>
    <w:rsid w:val="006D1FA3"/>
    <w:rsid w:val="006D3AA4"/>
    <w:rsid w:val="006D5381"/>
    <w:rsid w:val="006E110E"/>
    <w:rsid w:val="006E299A"/>
    <w:rsid w:val="006F6351"/>
    <w:rsid w:val="006F769E"/>
    <w:rsid w:val="00703094"/>
    <w:rsid w:val="00703CAC"/>
    <w:rsid w:val="00704539"/>
    <w:rsid w:val="007046B3"/>
    <w:rsid w:val="00706AC9"/>
    <w:rsid w:val="00722041"/>
    <w:rsid w:val="00723A47"/>
    <w:rsid w:val="00725391"/>
    <w:rsid w:val="007275C4"/>
    <w:rsid w:val="007322BC"/>
    <w:rsid w:val="00740162"/>
    <w:rsid w:val="007557E9"/>
    <w:rsid w:val="00760534"/>
    <w:rsid w:val="0076239D"/>
    <w:rsid w:val="007627A5"/>
    <w:rsid w:val="00764226"/>
    <w:rsid w:val="00766AE7"/>
    <w:rsid w:val="00770931"/>
    <w:rsid w:val="00776C1A"/>
    <w:rsid w:val="00781D39"/>
    <w:rsid w:val="00783B8D"/>
    <w:rsid w:val="00784D0E"/>
    <w:rsid w:val="007A18ED"/>
    <w:rsid w:val="007A268A"/>
    <w:rsid w:val="007C33D1"/>
    <w:rsid w:val="007C400C"/>
    <w:rsid w:val="007C61E0"/>
    <w:rsid w:val="007C7A6A"/>
    <w:rsid w:val="007D0929"/>
    <w:rsid w:val="007D7438"/>
    <w:rsid w:val="007E0A9E"/>
    <w:rsid w:val="007E1632"/>
    <w:rsid w:val="007E5880"/>
    <w:rsid w:val="007F116A"/>
    <w:rsid w:val="007F1331"/>
    <w:rsid w:val="007F13BA"/>
    <w:rsid w:val="007F17B3"/>
    <w:rsid w:val="008016C8"/>
    <w:rsid w:val="0080298D"/>
    <w:rsid w:val="00815335"/>
    <w:rsid w:val="00816660"/>
    <w:rsid w:val="00817B2B"/>
    <w:rsid w:val="00817B5E"/>
    <w:rsid w:val="00836F74"/>
    <w:rsid w:val="00846E6E"/>
    <w:rsid w:val="008516E3"/>
    <w:rsid w:val="00852215"/>
    <w:rsid w:val="00861B41"/>
    <w:rsid w:val="00861FB4"/>
    <w:rsid w:val="00870559"/>
    <w:rsid w:val="00870EBF"/>
    <w:rsid w:val="008748F1"/>
    <w:rsid w:val="00877132"/>
    <w:rsid w:val="00881B14"/>
    <w:rsid w:val="00883238"/>
    <w:rsid w:val="00886E3F"/>
    <w:rsid w:val="00887479"/>
    <w:rsid w:val="008A00CC"/>
    <w:rsid w:val="008A31DB"/>
    <w:rsid w:val="008A4959"/>
    <w:rsid w:val="008B2ADB"/>
    <w:rsid w:val="008B6BDE"/>
    <w:rsid w:val="008C2A91"/>
    <w:rsid w:val="008C6150"/>
    <w:rsid w:val="008D10D4"/>
    <w:rsid w:val="008D2FA0"/>
    <w:rsid w:val="008D3797"/>
    <w:rsid w:val="008D5EF8"/>
    <w:rsid w:val="008E010D"/>
    <w:rsid w:val="008E35F8"/>
    <w:rsid w:val="008E3BFB"/>
    <w:rsid w:val="008E71E8"/>
    <w:rsid w:val="008E73F8"/>
    <w:rsid w:val="008F0C31"/>
    <w:rsid w:val="0090629A"/>
    <w:rsid w:val="00916579"/>
    <w:rsid w:val="00931B16"/>
    <w:rsid w:val="00932658"/>
    <w:rsid w:val="00933E8C"/>
    <w:rsid w:val="00935E0A"/>
    <w:rsid w:val="00936B97"/>
    <w:rsid w:val="0094060D"/>
    <w:rsid w:val="009413A5"/>
    <w:rsid w:val="00943548"/>
    <w:rsid w:val="00946723"/>
    <w:rsid w:val="009470EC"/>
    <w:rsid w:val="00947EBF"/>
    <w:rsid w:val="00954EE8"/>
    <w:rsid w:val="009554B2"/>
    <w:rsid w:val="00966D2E"/>
    <w:rsid w:val="00967265"/>
    <w:rsid w:val="0096743A"/>
    <w:rsid w:val="0097356A"/>
    <w:rsid w:val="00974D0A"/>
    <w:rsid w:val="00976A87"/>
    <w:rsid w:val="00977464"/>
    <w:rsid w:val="00990C60"/>
    <w:rsid w:val="00992F68"/>
    <w:rsid w:val="00994046"/>
    <w:rsid w:val="00995362"/>
    <w:rsid w:val="00996655"/>
    <w:rsid w:val="00996C2A"/>
    <w:rsid w:val="009A0FD0"/>
    <w:rsid w:val="009A655A"/>
    <w:rsid w:val="009B129B"/>
    <w:rsid w:val="009B6E25"/>
    <w:rsid w:val="009B75DB"/>
    <w:rsid w:val="009C21A2"/>
    <w:rsid w:val="009C42A5"/>
    <w:rsid w:val="009C436F"/>
    <w:rsid w:val="009C4D28"/>
    <w:rsid w:val="009D0D69"/>
    <w:rsid w:val="009D4759"/>
    <w:rsid w:val="009D4E59"/>
    <w:rsid w:val="009E031B"/>
    <w:rsid w:val="009E1C99"/>
    <w:rsid w:val="009E4021"/>
    <w:rsid w:val="009F2280"/>
    <w:rsid w:val="009F38EA"/>
    <w:rsid w:val="009F41AF"/>
    <w:rsid w:val="009F6257"/>
    <w:rsid w:val="00A05189"/>
    <w:rsid w:val="00A05966"/>
    <w:rsid w:val="00A10081"/>
    <w:rsid w:val="00A14C2A"/>
    <w:rsid w:val="00A14E83"/>
    <w:rsid w:val="00A16954"/>
    <w:rsid w:val="00A1725D"/>
    <w:rsid w:val="00A1729F"/>
    <w:rsid w:val="00A17878"/>
    <w:rsid w:val="00A349E6"/>
    <w:rsid w:val="00A375D9"/>
    <w:rsid w:val="00A37FDC"/>
    <w:rsid w:val="00A420E1"/>
    <w:rsid w:val="00A42D2D"/>
    <w:rsid w:val="00A44D28"/>
    <w:rsid w:val="00A458E5"/>
    <w:rsid w:val="00A46E6F"/>
    <w:rsid w:val="00A52749"/>
    <w:rsid w:val="00A53A63"/>
    <w:rsid w:val="00A53B48"/>
    <w:rsid w:val="00A56757"/>
    <w:rsid w:val="00A605F1"/>
    <w:rsid w:val="00A7142A"/>
    <w:rsid w:val="00A72745"/>
    <w:rsid w:val="00A756EA"/>
    <w:rsid w:val="00A770F6"/>
    <w:rsid w:val="00A77152"/>
    <w:rsid w:val="00A82DA5"/>
    <w:rsid w:val="00A869E9"/>
    <w:rsid w:val="00A96362"/>
    <w:rsid w:val="00A96C6E"/>
    <w:rsid w:val="00AA2A27"/>
    <w:rsid w:val="00AA5AC5"/>
    <w:rsid w:val="00AA6C02"/>
    <w:rsid w:val="00AA747F"/>
    <w:rsid w:val="00AA7BFD"/>
    <w:rsid w:val="00AB1F73"/>
    <w:rsid w:val="00AB65E4"/>
    <w:rsid w:val="00AC222D"/>
    <w:rsid w:val="00AC3D78"/>
    <w:rsid w:val="00AC3EF6"/>
    <w:rsid w:val="00AC428F"/>
    <w:rsid w:val="00AD4F16"/>
    <w:rsid w:val="00AD5755"/>
    <w:rsid w:val="00AE38FD"/>
    <w:rsid w:val="00AE4196"/>
    <w:rsid w:val="00AE4E4C"/>
    <w:rsid w:val="00AF08D3"/>
    <w:rsid w:val="00AF2D94"/>
    <w:rsid w:val="00AF4F13"/>
    <w:rsid w:val="00B0013A"/>
    <w:rsid w:val="00B0333E"/>
    <w:rsid w:val="00B0446A"/>
    <w:rsid w:val="00B047C3"/>
    <w:rsid w:val="00B07D27"/>
    <w:rsid w:val="00B1177E"/>
    <w:rsid w:val="00B16F04"/>
    <w:rsid w:val="00B217FF"/>
    <w:rsid w:val="00B23FA0"/>
    <w:rsid w:val="00B25B3D"/>
    <w:rsid w:val="00B27BA5"/>
    <w:rsid w:val="00B3484B"/>
    <w:rsid w:val="00B37C36"/>
    <w:rsid w:val="00B40725"/>
    <w:rsid w:val="00B44019"/>
    <w:rsid w:val="00B44C31"/>
    <w:rsid w:val="00B55B11"/>
    <w:rsid w:val="00B6138F"/>
    <w:rsid w:val="00B6306F"/>
    <w:rsid w:val="00B7067A"/>
    <w:rsid w:val="00B742B1"/>
    <w:rsid w:val="00B746BF"/>
    <w:rsid w:val="00B750D3"/>
    <w:rsid w:val="00B77149"/>
    <w:rsid w:val="00B7782D"/>
    <w:rsid w:val="00B80093"/>
    <w:rsid w:val="00B80EFE"/>
    <w:rsid w:val="00B82311"/>
    <w:rsid w:val="00B82F0A"/>
    <w:rsid w:val="00B83109"/>
    <w:rsid w:val="00B85776"/>
    <w:rsid w:val="00B9367D"/>
    <w:rsid w:val="00BA402D"/>
    <w:rsid w:val="00BA74A4"/>
    <w:rsid w:val="00BB4C42"/>
    <w:rsid w:val="00BC15E2"/>
    <w:rsid w:val="00BC4C62"/>
    <w:rsid w:val="00BD754F"/>
    <w:rsid w:val="00BD7807"/>
    <w:rsid w:val="00BE3686"/>
    <w:rsid w:val="00BE6FE5"/>
    <w:rsid w:val="00BF0E5C"/>
    <w:rsid w:val="00BF1569"/>
    <w:rsid w:val="00BF4FB5"/>
    <w:rsid w:val="00BF6AC5"/>
    <w:rsid w:val="00C10D97"/>
    <w:rsid w:val="00C138EA"/>
    <w:rsid w:val="00C14799"/>
    <w:rsid w:val="00C15C8E"/>
    <w:rsid w:val="00C22E8B"/>
    <w:rsid w:val="00C26C37"/>
    <w:rsid w:val="00C30A73"/>
    <w:rsid w:val="00C34507"/>
    <w:rsid w:val="00C44842"/>
    <w:rsid w:val="00C56474"/>
    <w:rsid w:val="00C565D7"/>
    <w:rsid w:val="00C5737B"/>
    <w:rsid w:val="00C57BFA"/>
    <w:rsid w:val="00C616FD"/>
    <w:rsid w:val="00C64D9A"/>
    <w:rsid w:val="00C66C12"/>
    <w:rsid w:val="00C7405B"/>
    <w:rsid w:val="00C84C90"/>
    <w:rsid w:val="00C85041"/>
    <w:rsid w:val="00C852C6"/>
    <w:rsid w:val="00C86579"/>
    <w:rsid w:val="00C906C8"/>
    <w:rsid w:val="00C90EA4"/>
    <w:rsid w:val="00C93974"/>
    <w:rsid w:val="00C94FC0"/>
    <w:rsid w:val="00C9771F"/>
    <w:rsid w:val="00CA0766"/>
    <w:rsid w:val="00CA1104"/>
    <w:rsid w:val="00CA544B"/>
    <w:rsid w:val="00CA73A8"/>
    <w:rsid w:val="00CA7B55"/>
    <w:rsid w:val="00CB4D72"/>
    <w:rsid w:val="00CB5F64"/>
    <w:rsid w:val="00CC0EF0"/>
    <w:rsid w:val="00CC3EFF"/>
    <w:rsid w:val="00CD2722"/>
    <w:rsid w:val="00CE19BE"/>
    <w:rsid w:val="00CE2272"/>
    <w:rsid w:val="00CF2D33"/>
    <w:rsid w:val="00CF73FC"/>
    <w:rsid w:val="00CF7F55"/>
    <w:rsid w:val="00D025FC"/>
    <w:rsid w:val="00D0570D"/>
    <w:rsid w:val="00D05FDB"/>
    <w:rsid w:val="00D077B3"/>
    <w:rsid w:val="00D10E8F"/>
    <w:rsid w:val="00D121FC"/>
    <w:rsid w:val="00D12304"/>
    <w:rsid w:val="00D22F0A"/>
    <w:rsid w:val="00D2406A"/>
    <w:rsid w:val="00D26E4F"/>
    <w:rsid w:val="00D33263"/>
    <w:rsid w:val="00D34616"/>
    <w:rsid w:val="00D41713"/>
    <w:rsid w:val="00D41906"/>
    <w:rsid w:val="00D43523"/>
    <w:rsid w:val="00D46AE3"/>
    <w:rsid w:val="00D50445"/>
    <w:rsid w:val="00D52135"/>
    <w:rsid w:val="00D525B3"/>
    <w:rsid w:val="00D54EDD"/>
    <w:rsid w:val="00D75020"/>
    <w:rsid w:val="00D82477"/>
    <w:rsid w:val="00D84616"/>
    <w:rsid w:val="00D84F8F"/>
    <w:rsid w:val="00D86A5E"/>
    <w:rsid w:val="00DA0EF5"/>
    <w:rsid w:val="00DA192A"/>
    <w:rsid w:val="00DA295B"/>
    <w:rsid w:val="00DA488C"/>
    <w:rsid w:val="00DC5458"/>
    <w:rsid w:val="00DC59CA"/>
    <w:rsid w:val="00DC67B6"/>
    <w:rsid w:val="00DD11CB"/>
    <w:rsid w:val="00DD1A92"/>
    <w:rsid w:val="00DD6086"/>
    <w:rsid w:val="00DE17C8"/>
    <w:rsid w:val="00DE187F"/>
    <w:rsid w:val="00DE20CA"/>
    <w:rsid w:val="00DE3459"/>
    <w:rsid w:val="00DE4F56"/>
    <w:rsid w:val="00DF1E5C"/>
    <w:rsid w:val="00DF2D8A"/>
    <w:rsid w:val="00E1246D"/>
    <w:rsid w:val="00E13DB4"/>
    <w:rsid w:val="00E16373"/>
    <w:rsid w:val="00E20873"/>
    <w:rsid w:val="00E21163"/>
    <w:rsid w:val="00E26BB4"/>
    <w:rsid w:val="00E54A1F"/>
    <w:rsid w:val="00E563C3"/>
    <w:rsid w:val="00E606A6"/>
    <w:rsid w:val="00E66CFA"/>
    <w:rsid w:val="00E67823"/>
    <w:rsid w:val="00E7502D"/>
    <w:rsid w:val="00E75B6E"/>
    <w:rsid w:val="00E853B9"/>
    <w:rsid w:val="00E85827"/>
    <w:rsid w:val="00E90EB5"/>
    <w:rsid w:val="00E9108D"/>
    <w:rsid w:val="00EA707C"/>
    <w:rsid w:val="00EA77AC"/>
    <w:rsid w:val="00EB5089"/>
    <w:rsid w:val="00EB6041"/>
    <w:rsid w:val="00EC1F48"/>
    <w:rsid w:val="00EF1AB8"/>
    <w:rsid w:val="00EF30F2"/>
    <w:rsid w:val="00F00A89"/>
    <w:rsid w:val="00F047BC"/>
    <w:rsid w:val="00F14AC0"/>
    <w:rsid w:val="00F16CB0"/>
    <w:rsid w:val="00F16F3D"/>
    <w:rsid w:val="00F3114F"/>
    <w:rsid w:val="00F31B11"/>
    <w:rsid w:val="00F37ADA"/>
    <w:rsid w:val="00F37D6A"/>
    <w:rsid w:val="00F42338"/>
    <w:rsid w:val="00F463DA"/>
    <w:rsid w:val="00F53372"/>
    <w:rsid w:val="00F573F4"/>
    <w:rsid w:val="00F61221"/>
    <w:rsid w:val="00F64F87"/>
    <w:rsid w:val="00F672EC"/>
    <w:rsid w:val="00F74352"/>
    <w:rsid w:val="00F76B16"/>
    <w:rsid w:val="00F7796A"/>
    <w:rsid w:val="00F90005"/>
    <w:rsid w:val="00F914E5"/>
    <w:rsid w:val="00F94A2C"/>
    <w:rsid w:val="00F96A41"/>
    <w:rsid w:val="00FA00EF"/>
    <w:rsid w:val="00FA1682"/>
    <w:rsid w:val="00FA69DE"/>
    <w:rsid w:val="00FB4950"/>
    <w:rsid w:val="00FC227A"/>
    <w:rsid w:val="00FC3BB7"/>
    <w:rsid w:val="00FC5771"/>
    <w:rsid w:val="00FD04DA"/>
    <w:rsid w:val="00FD071D"/>
    <w:rsid w:val="00FD3EB4"/>
    <w:rsid w:val="00FD731D"/>
    <w:rsid w:val="00FE1B6B"/>
    <w:rsid w:val="00FE2CD9"/>
    <w:rsid w:val="00FE46C5"/>
    <w:rsid w:val="00FE7CCC"/>
    <w:rsid w:val="00FF5B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 w:type="paragraph" w:styleId="Revision">
    <w:name w:val="Revision"/>
    <w:hidden/>
    <w:uiPriority w:val="99"/>
    <w:semiHidden/>
    <w:rsid w:val="002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036">
      <w:bodyDiv w:val="1"/>
      <w:marLeft w:val="0"/>
      <w:marRight w:val="0"/>
      <w:marTop w:val="0"/>
      <w:marBottom w:val="0"/>
      <w:divBdr>
        <w:top w:val="none" w:sz="0" w:space="0" w:color="auto"/>
        <w:left w:val="none" w:sz="0" w:space="0" w:color="auto"/>
        <w:bottom w:val="none" w:sz="0" w:space="0" w:color="auto"/>
        <w:right w:val="none" w:sz="0" w:space="0" w:color="auto"/>
      </w:divBdr>
    </w:div>
    <w:div w:id="38020453">
      <w:bodyDiv w:val="1"/>
      <w:marLeft w:val="0"/>
      <w:marRight w:val="0"/>
      <w:marTop w:val="0"/>
      <w:marBottom w:val="0"/>
      <w:divBdr>
        <w:top w:val="none" w:sz="0" w:space="0" w:color="auto"/>
        <w:left w:val="none" w:sz="0" w:space="0" w:color="auto"/>
        <w:bottom w:val="none" w:sz="0" w:space="0" w:color="auto"/>
        <w:right w:val="none" w:sz="0" w:space="0" w:color="auto"/>
      </w:divBdr>
    </w:div>
    <w:div w:id="71045862">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78202328">
      <w:bodyDiv w:val="1"/>
      <w:marLeft w:val="0"/>
      <w:marRight w:val="0"/>
      <w:marTop w:val="0"/>
      <w:marBottom w:val="0"/>
      <w:divBdr>
        <w:top w:val="none" w:sz="0" w:space="0" w:color="auto"/>
        <w:left w:val="none" w:sz="0" w:space="0" w:color="auto"/>
        <w:bottom w:val="none" w:sz="0" w:space="0" w:color="auto"/>
        <w:right w:val="none" w:sz="0" w:space="0" w:color="auto"/>
      </w:divBdr>
    </w:div>
    <w:div w:id="251279111">
      <w:bodyDiv w:val="1"/>
      <w:marLeft w:val="0"/>
      <w:marRight w:val="0"/>
      <w:marTop w:val="0"/>
      <w:marBottom w:val="0"/>
      <w:divBdr>
        <w:top w:val="none" w:sz="0" w:space="0" w:color="auto"/>
        <w:left w:val="none" w:sz="0" w:space="0" w:color="auto"/>
        <w:bottom w:val="none" w:sz="0" w:space="0" w:color="auto"/>
        <w:right w:val="none" w:sz="0" w:space="0" w:color="auto"/>
      </w:divBdr>
    </w:div>
    <w:div w:id="298389911">
      <w:bodyDiv w:val="1"/>
      <w:marLeft w:val="0"/>
      <w:marRight w:val="0"/>
      <w:marTop w:val="0"/>
      <w:marBottom w:val="0"/>
      <w:divBdr>
        <w:top w:val="none" w:sz="0" w:space="0" w:color="auto"/>
        <w:left w:val="none" w:sz="0" w:space="0" w:color="auto"/>
        <w:bottom w:val="none" w:sz="0" w:space="0" w:color="auto"/>
        <w:right w:val="none" w:sz="0" w:space="0" w:color="auto"/>
      </w:divBdr>
    </w:div>
    <w:div w:id="405885273">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848373847">
      <w:bodyDiv w:val="1"/>
      <w:marLeft w:val="0"/>
      <w:marRight w:val="0"/>
      <w:marTop w:val="0"/>
      <w:marBottom w:val="0"/>
      <w:divBdr>
        <w:top w:val="none" w:sz="0" w:space="0" w:color="auto"/>
        <w:left w:val="none" w:sz="0" w:space="0" w:color="auto"/>
        <w:bottom w:val="none" w:sz="0" w:space="0" w:color="auto"/>
        <w:right w:val="none" w:sz="0" w:space="0" w:color="auto"/>
      </w:divBdr>
    </w:div>
    <w:div w:id="915094493">
      <w:bodyDiv w:val="1"/>
      <w:marLeft w:val="0"/>
      <w:marRight w:val="0"/>
      <w:marTop w:val="0"/>
      <w:marBottom w:val="0"/>
      <w:divBdr>
        <w:top w:val="none" w:sz="0" w:space="0" w:color="auto"/>
        <w:left w:val="none" w:sz="0" w:space="0" w:color="auto"/>
        <w:bottom w:val="none" w:sz="0" w:space="0" w:color="auto"/>
        <w:right w:val="none" w:sz="0" w:space="0" w:color="auto"/>
      </w:divBdr>
    </w:div>
    <w:div w:id="992293242">
      <w:bodyDiv w:val="1"/>
      <w:marLeft w:val="0"/>
      <w:marRight w:val="0"/>
      <w:marTop w:val="0"/>
      <w:marBottom w:val="0"/>
      <w:divBdr>
        <w:top w:val="none" w:sz="0" w:space="0" w:color="auto"/>
        <w:left w:val="none" w:sz="0" w:space="0" w:color="auto"/>
        <w:bottom w:val="none" w:sz="0" w:space="0" w:color="auto"/>
        <w:right w:val="none" w:sz="0" w:space="0" w:color="auto"/>
      </w:divBdr>
    </w:div>
    <w:div w:id="1044136223">
      <w:bodyDiv w:val="1"/>
      <w:marLeft w:val="0"/>
      <w:marRight w:val="0"/>
      <w:marTop w:val="0"/>
      <w:marBottom w:val="0"/>
      <w:divBdr>
        <w:top w:val="none" w:sz="0" w:space="0" w:color="auto"/>
        <w:left w:val="none" w:sz="0" w:space="0" w:color="auto"/>
        <w:bottom w:val="none" w:sz="0" w:space="0" w:color="auto"/>
        <w:right w:val="none" w:sz="0" w:space="0" w:color="auto"/>
      </w:divBdr>
    </w:div>
    <w:div w:id="1060638940">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148472807">
      <w:bodyDiv w:val="1"/>
      <w:marLeft w:val="0"/>
      <w:marRight w:val="0"/>
      <w:marTop w:val="0"/>
      <w:marBottom w:val="0"/>
      <w:divBdr>
        <w:top w:val="none" w:sz="0" w:space="0" w:color="auto"/>
        <w:left w:val="none" w:sz="0" w:space="0" w:color="auto"/>
        <w:bottom w:val="none" w:sz="0" w:space="0" w:color="auto"/>
        <w:right w:val="none" w:sz="0" w:space="0" w:color="auto"/>
      </w:divBdr>
    </w:div>
    <w:div w:id="1162500848">
      <w:bodyDiv w:val="1"/>
      <w:marLeft w:val="0"/>
      <w:marRight w:val="0"/>
      <w:marTop w:val="0"/>
      <w:marBottom w:val="0"/>
      <w:divBdr>
        <w:top w:val="none" w:sz="0" w:space="0" w:color="auto"/>
        <w:left w:val="none" w:sz="0" w:space="0" w:color="auto"/>
        <w:bottom w:val="none" w:sz="0" w:space="0" w:color="auto"/>
        <w:right w:val="none" w:sz="0" w:space="0" w:color="auto"/>
      </w:divBdr>
    </w:div>
    <w:div w:id="1289705190">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20926283">
      <w:bodyDiv w:val="1"/>
      <w:marLeft w:val="0"/>
      <w:marRight w:val="0"/>
      <w:marTop w:val="0"/>
      <w:marBottom w:val="0"/>
      <w:divBdr>
        <w:top w:val="none" w:sz="0" w:space="0" w:color="auto"/>
        <w:left w:val="none" w:sz="0" w:space="0" w:color="auto"/>
        <w:bottom w:val="none" w:sz="0" w:space="0" w:color="auto"/>
        <w:right w:val="none" w:sz="0" w:space="0" w:color="auto"/>
      </w:divBdr>
    </w:div>
    <w:div w:id="1533835007">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619483403">
      <w:bodyDiv w:val="1"/>
      <w:marLeft w:val="0"/>
      <w:marRight w:val="0"/>
      <w:marTop w:val="0"/>
      <w:marBottom w:val="0"/>
      <w:divBdr>
        <w:top w:val="none" w:sz="0" w:space="0" w:color="auto"/>
        <w:left w:val="none" w:sz="0" w:space="0" w:color="auto"/>
        <w:bottom w:val="none" w:sz="0" w:space="0" w:color="auto"/>
        <w:right w:val="none" w:sz="0" w:space="0" w:color="auto"/>
      </w:divBdr>
    </w:div>
    <w:div w:id="1641374706">
      <w:bodyDiv w:val="1"/>
      <w:marLeft w:val="0"/>
      <w:marRight w:val="0"/>
      <w:marTop w:val="0"/>
      <w:marBottom w:val="0"/>
      <w:divBdr>
        <w:top w:val="none" w:sz="0" w:space="0" w:color="auto"/>
        <w:left w:val="none" w:sz="0" w:space="0" w:color="auto"/>
        <w:bottom w:val="none" w:sz="0" w:space="0" w:color="auto"/>
        <w:right w:val="none" w:sz="0" w:space="0" w:color="auto"/>
      </w:divBdr>
    </w:div>
    <w:div w:id="180546196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1890846484">
      <w:bodyDiv w:val="1"/>
      <w:marLeft w:val="0"/>
      <w:marRight w:val="0"/>
      <w:marTop w:val="0"/>
      <w:marBottom w:val="0"/>
      <w:divBdr>
        <w:top w:val="none" w:sz="0" w:space="0" w:color="auto"/>
        <w:left w:val="none" w:sz="0" w:space="0" w:color="auto"/>
        <w:bottom w:val="none" w:sz="0" w:space="0" w:color="auto"/>
        <w:right w:val="none" w:sz="0" w:space="0" w:color="auto"/>
      </w:divBdr>
    </w:div>
    <w:div w:id="1999728417">
      <w:bodyDiv w:val="1"/>
      <w:marLeft w:val="0"/>
      <w:marRight w:val="0"/>
      <w:marTop w:val="0"/>
      <w:marBottom w:val="0"/>
      <w:divBdr>
        <w:top w:val="none" w:sz="0" w:space="0" w:color="auto"/>
        <w:left w:val="none" w:sz="0" w:space="0" w:color="auto"/>
        <w:bottom w:val="none" w:sz="0" w:space="0" w:color="auto"/>
        <w:right w:val="none" w:sz="0" w:space="0" w:color="auto"/>
      </w:divBdr>
    </w:div>
    <w:div w:id="2005235519">
      <w:bodyDiv w:val="1"/>
      <w:marLeft w:val="0"/>
      <w:marRight w:val="0"/>
      <w:marTop w:val="0"/>
      <w:marBottom w:val="0"/>
      <w:divBdr>
        <w:top w:val="none" w:sz="0" w:space="0" w:color="auto"/>
        <w:left w:val="none" w:sz="0" w:space="0" w:color="auto"/>
        <w:bottom w:val="none" w:sz="0" w:space="0" w:color="auto"/>
        <w:right w:val="none" w:sz="0" w:space="0" w:color="auto"/>
      </w:divBdr>
    </w:div>
    <w:div w:id="2014913216">
      <w:bodyDiv w:val="1"/>
      <w:marLeft w:val="0"/>
      <w:marRight w:val="0"/>
      <w:marTop w:val="0"/>
      <w:marBottom w:val="0"/>
      <w:divBdr>
        <w:top w:val="none" w:sz="0" w:space="0" w:color="auto"/>
        <w:left w:val="none" w:sz="0" w:space="0" w:color="auto"/>
        <w:bottom w:val="none" w:sz="0" w:space="0" w:color="auto"/>
        <w:right w:val="none" w:sz="0" w:space="0" w:color="auto"/>
      </w:divBdr>
    </w:div>
    <w:div w:id="2024280839">
      <w:bodyDiv w:val="1"/>
      <w:marLeft w:val="0"/>
      <w:marRight w:val="0"/>
      <w:marTop w:val="0"/>
      <w:marBottom w:val="0"/>
      <w:divBdr>
        <w:top w:val="none" w:sz="0" w:space="0" w:color="auto"/>
        <w:left w:val="none" w:sz="0" w:space="0" w:color="auto"/>
        <w:bottom w:val="none" w:sz="0" w:space="0" w:color="auto"/>
        <w:right w:val="none" w:sz="0" w:space="0" w:color="auto"/>
      </w:divBdr>
    </w:div>
    <w:div w:id="2069449735">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 w:id="21349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OGLEDI\2024\OGLED_11-2024\MONTHLY%20CALCULATION\A\Press%20release\graf_saobshtenie_11-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XI.2023</c:v>
                </c:pt>
                <c:pt idx="1">
                  <c:v>XII.2023</c:v>
                </c:pt>
                <c:pt idx="2">
                  <c:v>I.2024</c:v>
                </c:pt>
                <c:pt idx="3">
                  <c:v>II.2024</c:v>
                </c:pt>
                <c:pt idx="4">
                  <c:v>III.2024</c:v>
                </c:pt>
                <c:pt idx="5">
                  <c:v>IV.2024</c:v>
                </c:pt>
                <c:pt idx="6">
                  <c:v>V.2024</c:v>
                </c:pt>
                <c:pt idx="7">
                  <c:v>VI.2024</c:v>
                </c:pt>
                <c:pt idx="8">
                  <c:v>VII.2024</c:v>
                </c:pt>
                <c:pt idx="9">
                  <c:v>VIII.2024</c:v>
                </c:pt>
                <c:pt idx="10">
                  <c:v>IX.2024</c:v>
                </c:pt>
                <c:pt idx="11">
                  <c:v>X.2024</c:v>
                </c:pt>
                <c:pt idx="12">
                  <c:v>XI.2024</c:v>
                </c:pt>
              </c:strCache>
            </c:strRef>
          </c:cat>
          <c:val>
            <c:numRef>
              <c:f>'CPI 2024 BG'!$B$12:$B$24</c:f>
              <c:numCache>
                <c:formatCode>0.0</c:formatCode>
                <c:ptCount val="13"/>
                <c:pt idx="0">
                  <c:v>5.4</c:v>
                </c:pt>
                <c:pt idx="1">
                  <c:v>4.7</c:v>
                </c:pt>
                <c:pt idx="2">
                  <c:v>3.8</c:v>
                </c:pt>
                <c:pt idx="3">
                  <c:v>3.3</c:v>
                </c:pt>
                <c:pt idx="4">
                  <c:v>3</c:v>
                </c:pt>
                <c:pt idx="5">
                  <c:v>2.4</c:v>
                </c:pt>
                <c:pt idx="6">
                  <c:v>2.2999999999999998</c:v>
                </c:pt>
                <c:pt idx="7">
                  <c:v>2.5</c:v>
                </c:pt>
                <c:pt idx="8">
                  <c:v>2.4</c:v>
                </c:pt>
                <c:pt idx="9">
                  <c:v>2.1</c:v>
                </c:pt>
                <c:pt idx="10">
                  <c:v>1.2</c:v>
                </c:pt>
                <c:pt idx="11">
                  <c:v>1.8</c:v>
                </c:pt>
                <c:pt idx="12">
                  <c:v>2.1</c:v>
                </c:pt>
              </c:numCache>
            </c:numRef>
          </c:val>
          <c:extLst>
            <c:ext xmlns:c16="http://schemas.microsoft.com/office/drawing/2014/chart" uri="{C3380CC4-5D6E-409C-BE32-E72D297353CC}">
              <c16:uniqueId val="{00000000-F7C5-4815-AF2B-9CF04B033750}"/>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10"/>
              <c:layout>
                <c:manualLayout>
                  <c:x val="-4.8644376542484519E-2"/>
                  <c:y val="-8.2246458323144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C5-4815-AF2B-9CF04B033750}"/>
                </c:ext>
              </c:extLst>
            </c:dLbl>
            <c:dLbl>
              <c:idx val="11"/>
              <c:layout>
                <c:manualLayout>
                  <c:x val="-4.1181689975320429E-2"/>
                  <c:y val="3.783635741184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C5-4815-AF2B-9CF04B033750}"/>
                </c:ext>
              </c:extLst>
            </c:dLbl>
            <c:dLbl>
              <c:idx val="12"/>
              <c:layout>
                <c:manualLayout>
                  <c:x val="-2.5030360010968779E-2"/>
                  <c:y val="-2.8416230579873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C5-4815-AF2B-9CF04B033750}"/>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XI.2023</c:v>
                </c:pt>
                <c:pt idx="1">
                  <c:v>XII.2023</c:v>
                </c:pt>
                <c:pt idx="2">
                  <c:v>I.2024</c:v>
                </c:pt>
                <c:pt idx="3">
                  <c:v>II.2024</c:v>
                </c:pt>
                <c:pt idx="4">
                  <c:v>III.2024</c:v>
                </c:pt>
                <c:pt idx="5">
                  <c:v>IV.2024</c:v>
                </c:pt>
                <c:pt idx="6">
                  <c:v>V.2024</c:v>
                </c:pt>
                <c:pt idx="7">
                  <c:v>VI.2024</c:v>
                </c:pt>
                <c:pt idx="8">
                  <c:v>VII.2024</c:v>
                </c:pt>
                <c:pt idx="9">
                  <c:v>VIII.2024</c:v>
                </c:pt>
                <c:pt idx="10">
                  <c:v>IX.2024</c:v>
                </c:pt>
                <c:pt idx="11">
                  <c:v>X.2024</c:v>
                </c:pt>
                <c:pt idx="12">
                  <c:v>XI.2024</c:v>
                </c:pt>
              </c:strCache>
            </c:strRef>
          </c:cat>
          <c:val>
            <c:numRef>
              <c:f>'CPI 2024 BG'!$C$12:$C$24</c:f>
              <c:numCache>
                <c:formatCode>0.0</c:formatCode>
                <c:ptCount val="13"/>
                <c:pt idx="0">
                  <c:v>0.3</c:v>
                </c:pt>
                <c:pt idx="1">
                  <c:v>0.3</c:v>
                </c:pt>
                <c:pt idx="2">
                  <c:v>0.5</c:v>
                </c:pt>
                <c:pt idx="3">
                  <c:v>0.3</c:v>
                </c:pt>
                <c:pt idx="4">
                  <c:v>0.2</c:v>
                </c:pt>
                <c:pt idx="5">
                  <c:v>-0.3</c:v>
                </c:pt>
                <c:pt idx="6">
                  <c:v>-0.2</c:v>
                </c:pt>
                <c:pt idx="7">
                  <c:v>-0.2</c:v>
                </c:pt>
                <c:pt idx="8">
                  <c:v>0.8</c:v>
                </c:pt>
                <c:pt idx="9">
                  <c:v>0.1</c:v>
                </c:pt>
                <c:pt idx="10">
                  <c:v>-1</c:v>
                </c:pt>
                <c:pt idx="11">
                  <c:v>1.1000000000000001</c:v>
                </c:pt>
                <c:pt idx="12">
                  <c:v>0.6</c:v>
                </c:pt>
              </c:numCache>
            </c:numRef>
          </c:val>
          <c:smooth val="0"/>
          <c:extLst>
            <c:ext xmlns:c16="http://schemas.microsoft.com/office/drawing/2014/chart" uri="{C3380CC4-5D6E-409C-BE32-E72D297353CC}">
              <c16:uniqueId val="{00000004-F7C5-4815-AF2B-9CF04B033750}"/>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XI.2023</c:v>
                </c:pt>
                <c:pt idx="1">
                  <c:v>XII.2023</c:v>
                </c:pt>
                <c:pt idx="2">
                  <c:v>I.2024</c:v>
                </c:pt>
                <c:pt idx="3">
                  <c:v>II.2024</c:v>
                </c:pt>
                <c:pt idx="4">
                  <c:v>III.2024</c:v>
                </c:pt>
                <c:pt idx="5">
                  <c:v>IV.2024</c:v>
                </c:pt>
                <c:pt idx="6">
                  <c:v>V.2024</c:v>
                </c:pt>
                <c:pt idx="7">
                  <c:v>VI.2024</c:v>
                </c:pt>
                <c:pt idx="8">
                  <c:v>VII.2024</c:v>
                </c:pt>
                <c:pt idx="9">
                  <c:v>VIII.2024</c:v>
                </c:pt>
                <c:pt idx="10">
                  <c:v>IX.2024</c:v>
                </c:pt>
                <c:pt idx="11">
                  <c:v>X.2024</c:v>
                </c:pt>
                <c:pt idx="12">
                  <c:v>XI.2024</c:v>
                </c:pt>
              </c:strCache>
            </c:strRef>
          </c:cat>
          <c:val>
            <c:numRef>
              <c:f>'HICP 2024 BG'!$B$12:$B$24</c:f>
              <c:numCache>
                <c:formatCode>0.0</c:formatCode>
                <c:ptCount val="13"/>
                <c:pt idx="0">
                  <c:v>5.5</c:v>
                </c:pt>
                <c:pt idx="1">
                  <c:v>5</c:v>
                </c:pt>
                <c:pt idx="2">
                  <c:v>3.9</c:v>
                </c:pt>
                <c:pt idx="3">
                  <c:v>3.5</c:v>
                </c:pt>
                <c:pt idx="4">
                  <c:v>3.1</c:v>
                </c:pt>
                <c:pt idx="5">
                  <c:v>2.5</c:v>
                </c:pt>
                <c:pt idx="6">
                  <c:v>2.7</c:v>
                </c:pt>
                <c:pt idx="7">
                  <c:v>2.8</c:v>
                </c:pt>
                <c:pt idx="8">
                  <c:v>2.8</c:v>
                </c:pt>
                <c:pt idx="9">
                  <c:v>2.4</c:v>
                </c:pt>
                <c:pt idx="10">
                  <c:v>1.5</c:v>
                </c:pt>
                <c:pt idx="11">
                  <c:v>2</c:v>
                </c:pt>
                <c:pt idx="12">
                  <c:v>2</c:v>
                </c:pt>
              </c:numCache>
            </c:numRef>
          </c:val>
          <c:extLst>
            <c:ext xmlns:c16="http://schemas.microsoft.com/office/drawing/2014/chart" uri="{C3380CC4-5D6E-409C-BE32-E72D297353CC}">
              <c16:uniqueId val="{00000000-DA5F-4FD5-971F-0D809FD4F192}"/>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5F-4FD5-971F-0D809FD4F192}"/>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5F-4FD5-971F-0D809FD4F192}"/>
                </c:ext>
              </c:extLst>
            </c:dLbl>
            <c:dLbl>
              <c:idx val="10"/>
              <c:layout>
                <c:manualLayout>
                  <c:x val="-5.2905325413977765E-2"/>
                  <c:y val="-8.2464646464646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5F-4FD5-971F-0D809FD4F192}"/>
                </c:ext>
              </c:extLst>
            </c:dLbl>
            <c:dLbl>
              <c:idx val="11"/>
              <c:layout>
                <c:manualLayout>
                  <c:x val="-4.5227782227797435E-2"/>
                  <c:y val="-3.8020202020202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5F-4FD5-971F-0D809FD4F192}"/>
                </c:ext>
              </c:extLst>
            </c:dLbl>
            <c:dLbl>
              <c:idx val="12"/>
              <c:layout>
                <c:manualLayout>
                  <c:x val="-3.7318300663472914E-2"/>
                  <c:y val="-3.3979797979798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5F-4FD5-971F-0D809FD4F192}"/>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XI.2023</c:v>
                </c:pt>
                <c:pt idx="1">
                  <c:v>XII.2023</c:v>
                </c:pt>
                <c:pt idx="2">
                  <c:v>I.2024</c:v>
                </c:pt>
                <c:pt idx="3">
                  <c:v>II.2024</c:v>
                </c:pt>
                <c:pt idx="4">
                  <c:v>III.2024</c:v>
                </c:pt>
                <c:pt idx="5">
                  <c:v>IV.2024</c:v>
                </c:pt>
                <c:pt idx="6">
                  <c:v>V.2024</c:v>
                </c:pt>
                <c:pt idx="7">
                  <c:v>VI.2024</c:v>
                </c:pt>
                <c:pt idx="8">
                  <c:v>VII.2024</c:v>
                </c:pt>
                <c:pt idx="9">
                  <c:v>VIII.2024</c:v>
                </c:pt>
                <c:pt idx="10">
                  <c:v>IX.2024</c:v>
                </c:pt>
                <c:pt idx="11">
                  <c:v>X.2024</c:v>
                </c:pt>
                <c:pt idx="12">
                  <c:v>XI.2024</c:v>
                </c:pt>
              </c:strCache>
            </c:strRef>
          </c:cat>
          <c:val>
            <c:numRef>
              <c:f>'HICP 2024 BG'!$C$12:$C$24</c:f>
              <c:numCache>
                <c:formatCode>0.0</c:formatCode>
                <c:ptCount val="13"/>
                <c:pt idx="0">
                  <c:v>0.2</c:v>
                </c:pt>
                <c:pt idx="1">
                  <c:v>0.3</c:v>
                </c:pt>
                <c:pt idx="2">
                  <c:v>0.1</c:v>
                </c:pt>
                <c:pt idx="3">
                  <c:v>0.3</c:v>
                </c:pt>
                <c:pt idx="4">
                  <c:v>0.2</c:v>
                </c:pt>
                <c:pt idx="5">
                  <c:v>-0.1</c:v>
                </c:pt>
                <c:pt idx="6">
                  <c:v>0</c:v>
                </c:pt>
                <c:pt idx="7">
                  <c:v>0.2</c:v>
                </c:pt>
                <c:pt idx="8">
                  <c:v>1.2</c:v>
                </c:pt>
                <c:pt idx="9">
                  <c:v>0.1</c:v>
                </c:pt>
                <c:pt idx="10">
                  <c:v>-1.1000000000000001</c:v>
                </c:pt>
                <c:pt idx="11">
                  <c:v>0.6</c:v>
                </c:pt>
                <c:pt idx="12">
                  <c:v>0.3</c:v>
                </c:pt>
              </c:numCache>
            </c:numRef>
          </c:val>
          <c:smooth val="0"/>
          <c:extLst>
            <c:ext xmlns:c16="http://schemas.microsoft.com/office/drawing/2014/chart" uri="{C3380CC4-5D6E-409C-BE32-E72D297353CC}">
              <c16:uniqueId val="{00000006-DA5F-4FD5-971F-0D809FD4F192}"/>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03AA5-07E7-43AC-883B-16E25EA9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Venelina Tsvetkova</cp:lastModifiedBy>
  <cp:revision>2</cp:revision>
  <cp:lastPrinted>2024-12-12T12:02:00Z</cp:lastPrinted>
  <dcterms:created xsi:type="dcterms:W3CDTF">2024-12-13T07:51:00Z</dcterms:created>
  <dcterms:modified xsi:type="dcterms:W3CDTF">2024-12-13T07:51:00Z</dcterms:modified>
</cp:coreProperties>
</file>