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F34AED" w:rsidTr="00F34AED">
        <w:tc>
          <w:tcPr>
            <w:tcW w:w="4531" w:type="dxa"/>
          </w:tcPr>
          <w:p w:rsidR="00F34AED" w:rsidRDefault="00F34AED">
            <w:pPr>
              <w:rPr>
                <w:noProof/>
                <w:lang w:eastAsia="bg-BG"/>
              </w:rPr>
            </w:pPr>
            <w:bookmarkStart w:id="0" w:name="_GoBack"/>
            <w:bookmarkEnd w:id="0"/>
          </w:p>
          <w:p w:rsidR="00F34AED" w:rsidRDefault="00F34AED">
            <w:r w:rsidRPr="00DE7A5F">
              <w:rPr>
                <w:noProof/>
                <w:lang w:val="bg-BG" w:eastAsia="bg-BG"/>
              </w:rPr>
              <w:drawing>
                <wp:inline distT="0" distB="0" distL="0" distR="0" wp14:anchorId="53D3EB5B" wp14:editId="03F8E7D1">
                  <wp:extent cx="2352675" cy="1456418"/>
                  <wp:effectExtent l="0" t="0" r="0" b="0"/>
                  <wp:docPr id="37" name="Picture 37" descr="AOB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OB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455" cy="145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ED" w:rsidRDefault="00F34AED"/>
        </w:tc>
        <w:tc>
          <w:tcPr>
            <w:tcW w:w="4678" w:type="dxa"/>
          </w:tcPr>
          <w:p w:rsidR="00F34AED" w:rsidRDefault="00F34AED" w:rsidP="00F34AED">
            <w:pPr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sz w:val="20"/>
                <w:szCs w:val="22"/>
                <w:lang w:val="en-US" w:eastAsia="bg-BG"/>
              </w:rPr>
            </w:pPr>
          </w:p>
          <w:p w:rsidR="00F34AED" w:rsidRDefault="00F34AED" w:rsidP="00F34AED">
            <w:pPr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sz w:val="20"/>
                <w:szCs w:val="22"/>
                <w:lang w:val="en-US" w:eastAsia="bg-BG"/>
              </w:rPr>
            </w:pPr>
          </w:p>
          <w:p w:rsidR="00F34AED" w:rsidRDefault="00F34AED" w:rsidP="00F34AED">
            <w:pPr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sz w:val="20"/>
                <w:szCs w:val="22"/>
                <w:lang w:val="ru-RU" w:eastAsia="bg-BG"/>
              </w:rPr>
            </w:pP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en-US" w:eastAsia="bg-BG"/>
              </w:rPr>
              <w:t>Web</w:t>
            </w: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ru-RU" w:eastAsia="bg-BG"/>
              </w:rPr>
              <w:t xml:space="preserve">: </w:t>
            </w:r>
            <w:hyperlink r:id="rId7" w:history="1">
              <w:r w:rsidRPr="00F34AED">
                <w:rPr>
                  <w:rFonts w:asciiTheme="minorHAnsi" w:eastAsiaTheme="minorEastAsia" w:hAnsiTheme="minorHAnsi" w:cstheme="minorBidi"/>
                  <w:color w:val="0000FF"/>
                  <w:sz w:val="20"/>
                  <w:szCs w:val="22"/>
                  <w:u w:val="single"/>
                  <w:lang w:val="en-US" w:eastAsia="bg-BG"/>
                </w:rPr>
                <w:t>www</w:t>
              </w:r>
              <w:r w:rsidRPr="00F34AED">
                <w:rPr>
                  <w:rFonts w:asciiTheme="minorHAnsi" w:eastAsiaTheme="minorEastAsia" w:hAnsiTheme="minorHAnsi" w:cstheme="minorBidi"/>
                  <w:color w:val="0000FF"/>
                  <w:sz w:val="20"/>
                  <w:szCs w:val="22"/>
                  <w:u w:val="single"/>
                  <w:lang w:val="ru-RU" w:eastAsia="bg-BG"/>
                </w:rPr>
                <w:t>.</w:t>
              </w:r>
              <w:r w:rsidRPr="00F34AED">
                <w:rPr>
                  <w:rFonts w:asciiTheme="minorHAnsi" w:eastAsiaTheme="minorEastAsia" w:hAnsiTheme="minorHAnsi" w:cstheme="minorBidi"/>
                  <w:color w:val="0000FF"/>
                  <w:sz w:val="20"/>
                  <w:szCs w:val="22"/>
                  <w:u w:val="single"/>
                  <w:lang w:val="en-US" w:eastAsia="bg-BG"/>
                </w:rPr>
                <w:t>aobe</w:t>
              </w:r>
              <w:r w:rsidRPr="00F34AED">
                <w:rPr>
                  <w:rFonts w:asciiTheme="minorHAnsi" w:eastAsiaTheme="minorEastAsia" w:hAnsiTheme="minorHAnsi" w:cstheme="minorBidi"/>
                  <w:color w:val="0000FF"/>
                  <w:sz w:val="20"/>
                  <w:szCs w:val="22"/>
                  <w:u w:val="single"/>
                  <w:lang w:val="ru-RU" w:eastAsia="bg-BG"/>
                </w:rPr>
                <w:t>.</w:t>
              </w:r>
              <w:r w:rsidRPr="00F34AED">
                <w:rPr>
                  <w:rFonts w:asciiTheme="minorHAnsi" w:eastAsiaTheme="minorEastAsia" w:hAnsiTheme="minorHAnsi" w:cstheme="minorBidi"/>
                  <w:color w:val="0000FF"/>
                  <w:sz w:val="20"/>
                  <w:szCs w:val="22"/>
                  <w:u w:val="single"/>
                  <w:lang w:val="en-US" w:eastAsia="bg-BG"/>
                </w:rPr>
                <w:t>bg</w:t>
              </w:r>
            </w:hyperlink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ru-RU" w:eastAsia="bg-BG"/>
              </w:rPr>
              <w:t xml:space="preserve"> </w:t>
            </w:r>
          </w:p>
          <w:p w:rsidR="00F34AED" w:rsidRPr="00F34AED" w:rsidRDefault="00F34AED" w:rsidP="00F34AED">
            <w:pPr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sz w:val="20"/>
                <w:szCs w:val="22"/>
                <w:lang w:val="ru-RU" w:eastAsia="bg-BG"/>
              </w:rPr>
            </w:pPr>
          </w:p>
          <w:p w:rsidR="00F34AED" w:rsidRPr="00F34AED" w:rsidRDefault="00F34AED" w:rsidP="00F34AED">
            <w:pPr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sz w:val="20"/>
                <w:szCs w:val="22"/>
                <w:lang w:val="bg-BG" w:eastAsia="bg-BG"/>
              </w:rPr>
            </w:pP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bg-BG" w:eastAsia="bg-BG"/>
              </w:rPr>
              <w:t>КРИБ е ротационен председател на АОБР за 202</w:t>
            </w: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en-US" w:eastAsia="bg-BG"/>
              </w:rPr>
              <w:t>4</w:t>
            </w: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bg-BG" w:eastAsia="bg-BG"/>
              </w:rPr>
              <w:t xml:space="preserve"> г.</w:t>
            </w:r>
          </w:p>
          <w:p w:rsidR="00F34AED" w:rsidRPr="00F34AED" w:rsidRDefault="00F34AED" w:rsidP="00F34AED">
            <w:pPr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sz w:val="20"/>
                <w:szCs w:val="22"/>
                <w:lang w:val="bg-BG" w:eastAsia="bg-BG"/>
              </w:rPr>
            </w:pP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bg-BG" w:eastAsia="bg-BG"/>
              </w:rPr>
              <w:t>Адрес: София 1463, ул. „Хан Аспарух“ 8</w:t>
            </w:r>
          </w:p>
          <w:p w:rsidR="00F34AED" w:rsidRPr="00F34AED" w:rsidRDefault="00F34AED" w:rsidP="00F34AED">
            <w:pPr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sz w:val="20"/>
                <w:szCs w:val="22"/>
                <w:lang w:val="ru-RU" w:eastAsia="bg-BG"/>
              </w:rPr>
            </w:pP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bg-BG" w:eastAsia="bg-BG"/>
              </w:rPr>
              <w:t>Тел.: +359 2</w:t>
            </w: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ru-RU" w:eastAsia="bg-BG"/>
              </w:rPr>
              <w:t> 981 9169</w:t>
            </w: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bg-BG" w:eastAsia="bg-BG"/>
              </w:rPr>
              <w:t xml:space="preserve"> факс: +359 2 </w:t>
            </w: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ru-RU" w:eastAsia="bg-BG"/>
              </w:rPr>
              <w:t>988 6776</w:t>
            </w:r>
          </w:p>
          <w:p w:rsidR="00F34AED" w:rsidRPr="00F34AED" w:rsidRDefault="00F34AED" w:rsidP="00F34AED">
            <w:pPr>
              <w:framePr w:hSpace="180" w:wrap="around" w:vAnchor="text" w:hAnchor="margin" w:y="-1020"/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sz w:val="20"/>
                <w:szCs w:val="22"/>
                <w:lang w:val="en-US" w:eastAsia="bg-BG"/>
              </w:rPr>
            </w:pPr>
            <w:r w:rsidRPr="00F34AED">
              <w:rPr>
                <w:rFonts w:asciiTheme="minorHAnsi" w:eastAsiaTheme="minorEastAsia" w:hAnsiTheme="minorHAnsi" w:cstheme="minorBidi"/>
                <w:sz w:val="20"/>
                <w:szCs w:val="22"/>
                <w:lang w:val="en-US" w:eastAsia="bg-BG"/>
              </w:rPr>
              <w:t xml:space="preserve">E-mail: </w:t>
            </w:r>
            <w:hyperlink r:id="rId8" w:history="1">
              <w:r w:rsidRPr="00F34AED">
                <w:rPr>
                  <w:rFonts w:asciiTheme="minorHAnsi" w:eastAsiaTheme="minorEastAsia" w:hAnsiTheme="minorHAnsi" w:cstheme="minorBidi"/>
                  <w:color w:val="0000FF"/>
                  <w:sz w:val="20"/>
                  <w:szCs w:val="22"/>
                  <w:u w:val="single"/>
                  <w:lang w:val="en-US" w:eastAsia="bg-BG"/>
                </w:rPr>
                <w:t>office@ceibg.bg</w:t>
              </w:r>
            </w:hyperlink>
          </w:p>
          <w:p w:rsidR="00F34AED" w:rsidRDefault="00F34AED"/>
        </w:tc>
      </w:tr>
    </w:tbl>
    <w:p w:rsidR="00763D34" w:rsidRDefault="00763D34"/>
    <w:p w:rsidR="00F34AED" w:rsidRDefault="00F34AED"/>
    <w:p w:rsidR="00F34AED" w:rsidRPr="00F34AED" w:rsidRDefault="00F34AED" w:rsidP="00F34AED">
      <w:pPr>
        <w:tabs>
          <w:tab w:val="center" w:pos="4607"/>
        </w:tabs>
        <w:jc w:val="both"/>
        <w:outlineLvl w:val="0"/>
        <w:rPr>
          <w:rFonts w:eastAsiaTheme="minorEastAsia"/>
          <w:bCs/>
          <w:kern w:val="36"/>
          <w:sz w:val="20"/>
          <w:szCs w:val="20"/>
          <w:lang w:val="bg-BG" w:eastAsia="bg-BG"/>
        </w:rPr>
      </w:pPr>
      <w:r w:rsidRPr="00F34AED">
        <w:rPr>
          <w:rFonts w:eastAsiaTheme="minorEastAsia"/>
          <w:bCs/>
          <w:kern w:val="36"/>
          <w:sz w:val="20"/>
          <w:szCs w:val="20"/>
          <w:lang w:val="bg-BG" w:eastAsia="bg-BG"/>
        </w:rPr>
        <w:t>Изх.№ ….. /………….. 202</w:t>
      </w:r>
      <w:r w:rsidRPr="00F34AED">
        <w:rPr>
          <w:rFonts w:eastAsiaTheme="minorEastAsia"/>
          <w:bCs/>
          <w:kern w:val="36"/>
          <w:sz w:val="20"/>
          <w:szCs w:val="20"/>
          <w:lang w:val="en-US" w:eastAsia="bg-BG"/>
        </w:rPr>
        <w:t>4</w:t>
      </w:r>
      <w:r w:rsidRPr="00F34AED">
        <w:rPr>
          <w:rFonts w:eastAsiaTheme="minorEastAsia"/>
          <w:bCs/>
          <w:kern w:val="36"/>
          <w:sz w:val="20"/>
          <w:szCs w:val="20"/>
          <w:lang w:val="bg-BG" w:eastAsia="bg-BG"/>
        </w:rPr>
        <w:t xml:space="preserve"> г.</w:t>
      </w:r>
    </w:p>
    <w:p w:rsidR="00F34AED" w:rsidRPr="00D47486" w:rsidRDefault="00F34AED" w:rsidP="00DB69B2">
      <w:pPr>
        <w:ind w:left="3969"/>
        <w:jc w:val="both"/>
        <w:rPr>
          <w:sz w:val="22"/>
          <w:szCs w:val="22"/>
        </w:rPr>
      </w:pPr>
    </w:p>
    <w:p w:rsidR="0041017C" w:rsidRDefault="0041017C" w:rsidP="00DB69B2">
      <w:pPr>
        <w:ind w:left="3969"/>
        <w:jc w:val="both"/>
        <w:rPr>
          <w:b/>
          <w:lang w:val="bg-BG"/>
        </w:rPr>
      </w:pPr>
    </w:p>
    <w:p w:rsidR="00F34AED" w:rsidRDefault="00F34AED" w:rsidP="00DB69B2">
      <w:pPr>
        <w:ind w:left="3969"/>
        <w:jc w:val="both"/>
        <w:rPr>
          <w:b/>
          <w:lang w:val="bg-BG"/>
        </w:rPr>
      </w:pPr>
      <w:r w:rsidRPr="001E3F8D">
        <w:rPr>
          <w:b/>
          <w:lang w:val="bg-BG"/>
        </w:rPr>
        <w:t>ДО</w:t>
      </w:r>
    </w:p>
    <w:p w:rsidR="0064143A" w:rsidRDefault="0064143A" w:rsidP="00DB69B2">
      <w:pPr>
        <w:ind w:left="3969"/>
        <w:jc w:val="both"/>
        <w:rPr>
          <w:b/>
          <w:lang w:val="bg-BG"/>
        </w:rPr>
      </w:pPr>
      <w:r>
        <w:rPr>
          <w:b/>
          <w:lang w:val="bg-BG"/>
        </w:rPr>
        <w:t>Г-Н ДИМИТЪР ГЛАВЧЕВ</w:t>
      </w:r>
    </w:p>
    <w:p w:rsidR="0064143A" w:rsidRDefault="0064143A" w:rsidP="00DB69B2">
      <w:pPr>
        <w:ind w:left="3969"/>
        <w:jc w:val="both"/>
        <w:rPr>
          <w:b/>
          <w:lang w:val="bg-BG"/>
        </w:rPr>
      </w:pPr>
      <w:r>
        <w:rPr>
          <w:b/>
          <w:lang w:val="bg-BG"/>
        </w:rPr>
        <w:t>МИНИСТЪР-ПРЕДСЕДАТЕЛ</w:t>
      </w:r>
    </w:p>
    <w:p w:rsidR="0064143A" w:rsidRDefault="0064143A" w:rsidP="00DB69B2">
      <w:pPr>
        <w:ind w:left="3969"/>
        <w:jc w:val="both"/>
        <w:rPr>
          <w:b/>
          <w:lang w:val="bg-BG"/>
        </w:rPr>
      </w:pPr>
    </w:p>
    <w:p w:rsidR="0064143A" w:rsidRDefault="0064143A" w:rsidP="00DB69B2">
      <w:pPr>
        <w:ind w:left="3969"/>
        <w:jc w:val="both"/>
        <w:rPr>
          <w:b/>
          <w:lang w:val="bg-BG"/>
        </w:rPr>
      </w:pPr>
      <w:r>
        <w:rPr>
          <w:b/>
          <w:lang w:val="bg-BG"/>
        </w:rPr>
        <w:t>Г-ЖА ЛЮДМИЛА ПЕТКОВА</w:t>
      </w:r>
    </w:p>
    <w:p w:rsidR="0064143A" w:rsidRDefault="0064143A" w:rsidP="00DB69B2">
      <w:pPr>
        <w:ind w:left="3969"/>
        <w:jc w:val="both"/>
        <w:rPr>
          <w:b/>
          <w:lang w:val="bg-BG"/>
        </w:rPr>
      </w:pPr>
      <w:r>
        <w:rPr>
          <w:b/>
          <w:lang w:val="bg-BG"/>
        </w:rPr>
        <w:t>ЗАМЕСТНИК МИНИСТЪР-ПРЕДСЕДАТЕЛ И МИНИСТЪР НА ФИНАНСИТЕ</w:t>
      </w:r>
    </w:p>
    <w:p w:rsidR="0064143A" w:rsidRDefault="0064143A" w:rsidP="00DB69B2">
      <w:pPr>
        <w:ind w:left="3969"/>
        <w:jc w:val="both"/>
        <w:rPr>
          <w:b/>
          <w:lang w:val="bg-BG"/>
        </w:rPr>
      </w:pPr>
    </w:p>
    <w:p w:rsidR="0064143A" w:rsidRDefault="0064143A" w:rsidP="00DB69B2">
      <w:pPr>
        <w:ind w:left="3969"/>
        <w:jc w:val="both"/>
        <w:rPr>
          <w:b/>
          <w:lang w:val="bg-BG"/>
        </w:rPr>
      </w:pPr>
      <w:r>
        <w:rPr>
          <w:b/>
          <w:lang w:val="bg-BG"/>
        </w:rPr>
        <w:t>Г-Н ВЛАДИМИР МАЛИНОВ</w:t>
      </w:r>
    </w:p>
    <w:p w:rsidR="0064143A" w:rsidRPr="0064143A" w:rsidRDefault="0064143A" w:rsidP="00DB69B2">
      <w:pPr>
        <w:ind w:left="3969"/>
        <w:jc w:val="both"/>
        <w:rPr>
          <w:b/>
          <w:lang w:val="bg-BG"/>
        </w:rPr>
      </w:pPr>
      <w:r>
        <w:rPr>
          <w:b/>
          <w:lang w:val="bg-BG"/>
        </w:rPr>
        <w:t>МИНИСТЪР НА ЕНЕРГЕТИКАТА</w:t>
      </w:r>
    </w:p>
    <w:p w:rsidR="00B14C3A" w:rsidRDefault="00B14C3A" w:rsidP="00DB69B2">
      <w:pPr>
        <w:ind w:left="3969"/>
        <w:jc w:val="both"/>
        <w:rPr>
          <w:b/>
          <w:lang w:val="bg-BG"/>
        </w:rPr>
      </w:pPr>
    </w:p>
    <w:p w:rsidR="00F34AED" w:rsidRPr="001E3F8D" w:rsidRDefault="00E67A33" w:rsidP="00E67A33">
      <w:pPr>
        <w:jc w:val="both"/>
        <w:rPr>
          <w:b/>
          <w:lang w:val="bg-BG"/>
        </w:rPr>
      </w:pPr>
      <w:r w:rsidRPr="001E3F8D">
        <w:rPr>
          <w:b/>
          <w:lang w:val="bg-BG"/>
        </w:rPr>
        <w:tab/>
      </w:r>
      <w:r w:rsidRPr="001E3F8D">
        <w:rPr>
          <w:b/>
          <w:lang w:val="bg-BG"/>
        </w:rPr>
        <w:tab/>
      </w:r>
      <w:r w:rsidRPr="001E3F8D">
        <w:rPr>
          <w:b/>
          <w:lang w:val="bg-BG"/>
        </w:rPr>
        <w:tab/>
      </w:r>
      <w:r w:rsidRPr="001E3F8D">
        <w:rPr>
          <w:b/>
          <w:lang w:val="bg-BG"/>
        </w:rPr>
        <w:tab/>
      </w:r>
      <w:r w:rsidRPr="001E3F8D">
        <w:rPr>
          <w:b/>
          <w:lang w:val="bg-BG"/>
        </w:rPr>
        <w:tab/>
      </w:r>
    </w:p>
    <w:p w:rsidR="00F34AED" w:rsidRPr="001E3F8D" w:rsidRDefault="00F34AED" w:rsidP="00DB69B2">
      <w:pPr>
        <w:jc w:val="both"/>
        <w:rPr>
          <w:b/>
          <w:lang w:val="bg-BG"/>
        </w:rPr>
      </w:pPr>
    </w:p>
    <w:p w:rsidR="0064143A" w:rsidRDefault="00F34AED" w:rsidP="00F326F9">
      <w:pPr>
        <w:ind w:firstLine="851"/>
        <w:jc w:val="both"/>
        <w:rPr>
          <w:lang w:val="bg-BG"/>
        </w:rPr>
      </w:pPr>
      <w:r w:rsidRPr="001E3F8D">
        <w:rPr>
          <w:b/>
          <w:lang w:val="bg-BG"/>
        </w:rPr>
        <w:t>ОТНОСНО</w:t>
      </w:r>
      <w:r w:rsidRPr="00B14C3A">
        <w:rPr>
          <w:b/>
          <w:lang w:val="bg-BG"/>
        </w:rPr>
        <w:t>:</w:t>
      </w:r>
      <w:r w:rsidR="00B14C3A" w:rsidRPr="00B14C3A">
        <w:rPr>
          <w:b/>
          <w:lang w:val="bg-BG"/>
        </w:rPr>
        <w:t xml:space="preserve"> </w:t>
      </w:r>
      <w:r w:rsidR="0064143A" w:rsidRPr="0064143A">
        <w:rPr>
          <w:lang w:val="bg-BG"/>
        </w:rPr>
        <w:t>Компенсации за цените на електрическата енергия от 1 януари</w:t>
      </w:r>
    </w:p>
    <w:p w:rsidR="00B14C3A" w:rsidRPr="0064143A" w:rsidRDefault="0064143A" w:rsidP="0064143A">
      <w:pPr>
        <w:ind w:left="1309" w:firstLine="851"/>
        <w:jc w:val="both"/>
        <w:rPr>
          <w:bCs/>
          <w:shd w:val="clear" w:color="auto" w:fill="FFFFFF"/>
          <w:lang w:val="bg-BG"/>
        </w:rPr>
      </w:pPr>
      <w:r w:rsidRPr="0064143A">
        <w:rPr>
          <w:lang w:val="bg-BG"/>
        </w:rPr>
        <w:t xml:space="preserve"> 2025 година</w:t>
      </w:r>
    </w:p>
    <w:p w:rsidR="00F34AED" w:rsidRPr="00B14C3A" w:rsidRDefault="00F34AED" w:rsidP="00DB69B2">
      <w:pPr>
        <w:ind w:firstLine="720"/>
        <w:jc w:val="both"/>
        <w:rPr>
          <w:lang w:val="bg-BG"/>
        </w:rPr>
      </w:pPr>
    </w:p>
    <w:p w:rsidR="00F34AED" w:rsidRDefault="00F34AED" w:rsidP="00DB69B2">
      <w:pPr>
        <w:ind w:firstLine="720"/>
        <w:jc w:val="both"/>
        <w:rPr>
          <w:lang w:val="bg-BG"/>
        </w:rPr>
      </w:pPr>
    </w:p>
    <w:p w:rsidR="0041017C" w:rsidRPr="001E3F8D" w:rsidRDefault="0041017C" w:rsidP="00DB69B2">
      <w:pPr>
        <w:ind w:firstLine="720"/>
        <w:jc w:val="both"/>
        <w:rPr>
          <w:lang w:val="bg-BG"/>
        </w:rPr>
      </w:pPr>
    </w:p>
    <w:p w:rsidR="00F34AED" w:rsidRPr="001E3F8D" w:rsidRDefault="00F34AED" w:rsidP="00DB69B2">
      <w:pPr>
        <w:ind w:firstLine="720"/>
        <w:jc w:val="both"/>
        <w:rPr>
          <w:lang w:val="bg-BG"/>
        </w:rPr>
      </w:pPr>
    </w:p>
    <w:p w:rsidR="0064143A" w:rsidRDefault="00B14C3A" w:rsidP="00DB69B2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УВАЖАЕМИ </w:t>
      </w:r>
      <w:r w:rsidR="00AD0802" w:rsidRPr="001E3F8D">
        <w:rPr>
          <w:b/>
          <w:lang w:val="bg-BG"/>
        </w:rPr>
        <w:t>ГОСПО</w:t>
      </w:r>
      <w:r w:rsidR="001E3F8D" w:rsidRPr="001E3F8D">
        <w:rPr>
          <w:b/>
          <w:lang w:val="bg-BG"/>
        </w:rPr>
        <w:t xml:space="preserve">ДИН </w:t>
      </w:r>
      <w:r w:rsidR="0064143A">
        <w:rPr>
          <w:b/>
          <w:lang w:val="bg-BG"/>
        </w:rPr>
        <w:t>ГЛАВЧЕВ,</w:t>
      </w:r>
    </w:p>
    <w:p w:rsidR="0064143A" w:rsidRDefault="0064143A" w:rsidP="00DB69B2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УВАЖАЕМА ГОСПОЖО ПЕТКОВА,</w:t>
      </w:r>
    </w:p>
    <w:p w:rsidR="00E67A33" w:rsidRDefault="0064143A" w:rsidP="00DB69B2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УВАЖАЕМИ ГОСПОДИН МАЛИНОВ</w:t>
      </w:r>
      <w:r w:rsidR="00B14C3A">
        <w:rPr>
          <w:b/>
          <w:lang w:val="bg-BG"/>
        </w:rPr>
        <w:t>,</w:t>
      </w:r>
    </w:p>
    <w:p w:rsidR="0041017C" w:rsidRDefault="0041017C" w:rsidP="00DB69B2">
      <w:pPr>
        <w:ind w:firstLine="720"/>
        <w:jc w:val="both"/>
        <w:rPr>
          <w:b/>
          <w:lang w:val="bg-BG"/>
        </w:rPr>
      </w:pPr>
    </w:p>
    <w:p w:rsidR="004760D7" w:rsidRDefault="004760D7" w:rsidP="00B14C3A">
      <w:pPr>
        <w:ind w:firstLine="720"/>
        <w:jc w:val="both"/>
        <w:rPr>
          <w:rFonts w:eastAsia="PMingLiU"/>
          <w:bCs/>
          <w:kern w:val="36"/>
          <w:lang w:val="bg-BG" w:eastAsia="zh-TW"/>
        </w:rPr>
      </w:pP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t>Цената на електрическата енергия през м. ноември 2024 г. е 328,09 лв./</w:t>
      </w:r>
      <w:r w:rsidRPr="0064143A">
        <w:rPr>
          <w:lang w:val="en-US"/>
        </w:rPr>
        <w:t>MWh</w:t>
      </w:r>
      <w:r w:rsidRPr="0064143A">
        <w:t xml:space="preserve"> – най-високото равнище от началото на годината и втората най-висока цена на електрическата енергия в Европейския съюз, само на 28 цента под румънската.</w:t>
      </w: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t>Единственият механизъм, който спаси бизнеса от масови спирания на производството, не само през ноември, а и през второто полугодие на 2024 г. беше Програмата за компенсиране на разходите за електрическа енергия за небитовите крайни клиенти. Механизмът се доказа като работещ в случаите на екстремни ценови равнища на пазара на електрическа енергия, като при нормално функциониращ пазар не се налага компенсиране.</w:t>
      </w: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lastRenderedPageBreak/>
        <w:t>Очакванията са неблагоприятната конюнктура на пазара на електрическа енергия да продължи и през идните месеци, тъй като фундаменталните фактори – недостатъчна свързаност на електроенергийните пазари в Европа, ниски водни количества в региона, слабо производство от слънце и вятър, не са се изменили. Към това се добавя и значителен ръст на цените на природния газ, предизвикан от по-висока от очакваната консумация в Европа. Нито една от тези причини не може да бъде управялвана от крайните потребители.</w:t>
      </w: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t xml:space="preserve">Целият регион, вкл. България, изпитва сериозен дефицит на електроенергия – само за ноември България, Румъния и Унгария са внесли общо почти 2300 </w:t>
      </w:r>
      <w:r w:rsidRPr="0064143A">
        <w:rPr>
          <w:lang w:val="en-US"/>
        </w:rPr>
        <w:t>GWh</w:t>
      </w:r>
      <w:r w:rsidRPr="0064143A">
        <w:t>. На този фон износният капацитет към Украйна е увеличен от началото на декември, нейната енергийна инфраструктура продължава да бъде разрушавана, а през зимните месеци износът към Украйна ще окаже допълнителен натиск на дефицитния пазар в Югоизточна Европа. Това ще доведе до допълнителен ръст на цените.</w:t>
      </w: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t>Освен това, в България на пракитика 100% от електрическата енергия се продава на спотови или индексирани към спотовите цени. На този фон е невъзможно да се правят дългосрочни прогнози за цените на електрическата енергия. Това е пагубно за преработваща промишленост, като ефектите са особено тежки за енергоинтензивните производители. Спадът на поръчките, 20-те поредни месеца на отрицателен индекс на промишленото производство, намаляването на износа и забавянето на икономиката на основния ни търговски партньор и пазар – Германия, в комбинация с високи цени на енергията са опустошителни за промишлеността в страната. Спирането на предприятия ще е катастрофално за икономическия ръст, безработицата, социалната система, овладяването на инфлацията и целите за присъединяване към Еврозоната.</w:t>
      </w: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t>Вече се виждат първите признаци на промишлената катастрофа – няколко средни предприятия затварят безвъзвратно врати, а по данни на Агенцията по заетостта близо 5000 души са съкратени. Най-мрачните прогнози на работодателите са напът да се сбъднат.</w:t>
      </w: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t>Това ще удари и приходите в хазната, защото ще намалеят приходите от преки и косвени данъци и осигуровки.</w:t>
      </w: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t>Тежкият удар върху промишлеността все още може да бъде омекотен като се ограничат последиците от неблагоприятната конюнктура.</w:t>
      </w: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t>Това може да стане единствено с удължаване на компенсаторния механизъм в настоящия му вид и през 2025 г.</w:t>
      </w:r>
    </w:p>
    <w:p w:rsidR="0064143A" w:rsidRPr="0064143A" w:rsidRDefault="0064143A" w:rsidP="0064143A">
      <w:pPr>
        <w:spacing w:after="120" w:line="252" w:lineRule="auto"/>
        <w:ind w:firstLine="708"/>
        <w:jc w:val="both"/>
      </w:pPr>
      <w:r w:rsidRPr="0064143A">
        <w:t>Поради това настояваме в Закона за държавния бюджет на Република България за 2025 г. да бъде запазен § 3 от преходните и заключителните разпоредби относно направата на целеви вноски във ФСЕС от страна на производителите на електрическа енергия, действал в бюджетите за 2023 г. и 2024 г. Действието на тавана на приходите на производителите следва да продължи да се прилага през цялата календарна 2025 г.</w:t>
      </w:r>
    </w:p>
    <w:p w:rsidR="0064143A" w:rsidRPr="0064143A" w:rsidRDefault="0064143A" w:rsidP="0064143A">
      <w:pPr>
        <w:spacing w:after="120" w:line="252" w:lineRule="auto"/>
        <w:ind w:firstLine="708"/>
        <w:jc w:val="both"/>
        <w:rPr>
          <w:b/>
        </w:rPr>
      </w:pPr>
      <w:r w:rsidRPr="0064143A">
        <w:t xml:space="preserve">Запазването на § 3 трябва да бъде последвано и от включването на нов § 4, който изрично да задължи Министерския съвет да приеме Програма за компенсиране на разходите на небитови крайни клиенти за електрическа енергия за периода от 1 януари 2025 г. до 31 декември 2025 г., която да бъде финансирана от целевите вноски на производителите. </w:t>
      </w:r>
      <w:r w:rsidRPr="0064143A">
        <w:rPr>
          <w:b/>
        </w:rPr>
        <w:t>Следва тези целеви вноски да бъдат използвани единствено за компенсиране на цените на електрическата енергия на небитовите крайни клиенти.</w:t>
      </w:r>
    </w:p>
    <w:p w:rsidR="0064143A" w:rsidRPr="0064143A" w:rsidRDefault="0064143A" w:rsidP="0064143A">
      <w:pPr>
        <w:spacing w:after="120" w:line="252" w:lineRule="auto"/>
        <w:ind w:firstLine="851"/>
        <w:jc w:val="both"/>
      </w:pPr>
      <w:r w:rsidRPr="0064143A">
        <w:lastRenderedPageBreak/>
        <w:t>Положението на българската индустрия е драматично и заплашва да потопи националната икономика. Единствено спешни и навременни мерки от страна на изпълнителната власт могат да смекчат последиците на прага на очакваната тежка зима.</w:t>
      </w:r>
    </w:p>
    <w:p w:rsidR="004760D7" w:rsidRDefault="004760D7" w:rsidP="0064143A">
      <w:pPr>
        <w:jc w:val="both"/>
        <w:rPr>
          <w:rFonts w:eastAsia="PMingLiU"/>
          <w:bCs/>
          <w:kern w:val="36"/>
          <w:lang w:val="bg-BG" w:eastAsia="zh-TW"/>
        </w:rPr>
      </w:pPr>
    </w:p>
    <w:p w:rsidR="00AD0802" w:rsidRPr="001E3F8D" w:rsidRDefault="00AD0802" w:rsidP="00DB69B2">
      <w:pPr>
        <w:ind w:firstLine="720"/>
        <w:jc w:val="both"/>
        <w:rPr>
          <w:b/>
          <w:lang w:val="bg-BG"/>
        </w:rPr>
      </w:pPr>
    </w:p>
    <w:p w:rsidR="00AD0802" w:rsidRPr="001E3F8D" w:rsidRDefault="00AD0802" w:rsidP="00DB69B2">
      <w:pPr>
        <w:ind w:firstLine="720"/>
        <w:jc w:val="both"/>
        <w:rPr>
          <w:b/>
          <w:lang w:val="bg-BG"/>
        </w:rPr>
      </w:pPr>
    </w:p>
    <w:p w:rsidR="00F34AED" w:rsidRPr="001E3F8D" w:rsidRDefault="00F34AED" w:rsidP="00F34AED">
      <w:pPr>
        <w:rPr>
          <w:lang w:val="bg-BG"/>
        </w:rPr>
      </w:pPr>
    </w:p>
    <w:p w:rsidR="00F34AED" w:rsidRPr="001E3F8D" w:rsidRDefault="00F34AED" w:rsidP="00F34AED">
      <w:pPr>
        <w:ind w:left="3969"/>
        <w:jc w:val="both"/>
        <w:rPr>
          <w:rFonts w:eastAsia="Times New Roman"/>
          <w:lang w:val="bg-BG" w:eastAsia="bg-BG"/>
        </w:rPr>
      </w:pPr>
      <w:r w:rsidRPr="001E3F8D">
        <w:rPr>
          <w:rFonts w:eastAsia="Times New Roman"/>
          <w:lang w:val="bg-BG" w:eastAsia="bg-BG"/>
        </w:rPr>
        <w:t>С уважение:</w:t>
      </w:r>
    </w:p>
    <w:p w:rsidR="00F34AED" w:rsidRDefault="00F34AED" w:rsidP="00F34AED">
      <w:pPr>
        <w:ind w:left="3969"/>
        <w:jc w:val="both"/>
        <w:rPr>
          <w:rFonts w:eastAsia="Times New Roman"/>
          <w:lang w:val="bg-BG" w:eastAsia="bg-BG"/>
        </w:rPr>
      </w:pPr>
    </w:p>
    <w:p w:rsidR="0064143A" w:rsidRPr="001E3F8D" w:rsidRDefault="0064143A" w:rsidP="00F34AED">
      <w:pPr>
        <w:ind w:left="3969"/>
        <w:jc w:val="both"/>
        <w:rPr>
          <w:rFonts w:eastAsia="Times New Roman"/>
          <w:lang w:val="bg-BG" w:eastAsia="bg-BG"/>
        </w:rPr>
      </w:pPr>
    </w:p>
    <w:p w:rsidR="00F34AED" w:rsidRPr="001E3F8D" w:rsidRDefault="00F34AED" w:rsidP="00F34AED">
      <w:pPr>
        <w:ind w:left="3969"/>
        <w:jc w:val="both"/>
        <w:rPr>
          <w:rFonts w:eastAsia="Times New Roman"/>
          <w:lang w:val="bg-BG" w:eastAsia="bg-BG"/>
        </w:rPr>
      </w:pPr>
      <w:r w:rsidRPr="001E3F8D">
        <w:rPr>
          <w:rFonts w:eastAsia="Times New Roman"/>
          <w:lang w:val="bg-BG" w:eastAsia="bg-BG"/>
        </w:rPr>
        <w:t>Кирил Домусчиев</w:t>
      </w:r>
    </w:p>
    <w:p w:rsidR="00F34AED" w:rsidRPr="001E3F8D" w:rsidRDefault="00F34AED" w:rsidP="00F34AED">
      <w:pPr>
        <w:ind w:left="3969"/>
        <w:rPr>
          <w:lang w:val="bg-BG"/>
        </w:rPr>
      </w:pPr>
      <w:r w:rsidRPr="001E3F8D">
        <w:rPr>
          <w:rFonts w:eastAsia="Times New Roman"/>
          <w:i/>
          <w:lang w:val="bg-BG" w:eastAsia="bg-BG"/>
        </w:rPr>
        <w:t xml:space="preserve">Председател на УС на КРИБ </w:t>
      </w:r>
      <w:r w:rsidRPr="001E3F8D">
        <w:rPr>
          <w:rFonts w:eastAsia="Times New Roman"/>
          <w:i/>
          <w:lang w:val="bg-BG" w:eastAsia="bg-BG"/>
        </w:rPr>
        <w:br/>
        <w:t xml:space="preserve">и ротационен председател на АОБР за 2024 г., </w:t>
      </w:r>
      <w:r w:rsidRPr="001E3F8D">
        <w:rPr>
          <w:rFonts w:eastAsia="Times New Roman"/>
          <w:i/>
          <w:lang w:val="bg-BG" w:eastAsia="bg-BG"/>
        </w:rPr>
        <w:br/>
        <w:t xml:space="preserve">по поръчение на АИКБ, БСК, БТПП и </w:t>
      </w:r>
      <w:r w:rsidRPr="001E3F8D">
        <w:rPr>
          <w:rFonts w:eastAsia="Times New Roman"/>
          <w:i/>
          <w:lang w:val="ru-RU" w:eastAsia="bg-BG"/>
        </w:rPr>
        <w:t xml:space="preserve"> </w:t>
      </w:r>
      <w:r w:rsidRPr="001E3F8D">
        <w:rPr>
          <w:rFonts w:eastAsia="Times New Roman"/>
          <w:i/>
          <w:lang w:val="bg-BG" w:eastAsia="bg-BG"/>
        </w:rPr>
        <w:t>КРИБ</w:t>
      </w:r>
    </w:p>
    <w:sectPr w:rsidR="00F34AED" w:rsidRPr="001E3F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59" w:rsidRDefault="00390A59" w:rsidP="00F34AED">
      <w:r>
        <w:separator/>
      </w:r>
    </w:p>
  </w:endnote>
  <w:endnote w:type="continuationSeparator" w:id="0">
    <w:p w:rsidR="00390A59" w:rsidRDefault="00390A59" w:rsidP="00F3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3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AED" w:rsidRDefault="00F34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AED" w:rsidRDefault="00F34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59" w:rsidRDefault="00390A59" w:rsidP="00F34AED">
      <w:r>
        <w:separator/>
      </w:r>
    </w:p>
  </w:footnote>
  <w:footnote w:type="continuationSeparator" w:id="0">
    <w:p w:rsidR="00390A59" w:rsidRDefault="00390A59" w:rsidP="00F3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ED"/>
    <w:rsid w:val="00023101"/>
    <w:rsid w:val="000B533A"/>
    <w:rsid w:val="0015547C"/>
    <w:rsid w:val="001626F9"/>
    <w:rsid w:val="001E3F8D"/>
    <w:rsid w:val="00272A41"/>
    <w:rsid w:val="002D0C6D"/>
    <w:rsid w:val="00390A59"/>
    <w:rsid w:val="0041017C"/>
    <w:rsid w:val="004760D7"/>
    <w:rsid w:val="004E22BC"/>
    <w:rsid w:val="005960E1"/>
    <w:rsid w:val="0064143A"/>
    <w:rsid w:val="006E5FCE"/>
    <w:rsid w:val="00754EA2"/>
    <w:rsid w:val="00763D34"/>
    <w:rsid w:val="007E6165"/>
    <w:rsid w:val="008A2056"/>
    <w:rsid w:val="008B19CB"/>
    <w:rsid w:val="009404FD"/>
    <w:rsid w:val="00AB5AC0"/>
    <w:rsid w:val="00AD0802"/>
    <w:rsid w:val="00B14C3A"/>
    <w:rsid w:val="00B36C79"/>
    <w:rsid w:val="00D47486"/>
    <w:rsid w:val="00DB5AAA"/>
    <w:rsid w:val="00DB69B2"/>
    <w:rsid w:val="00E6035D"/>
    <w:rsid w:val="00E67A33"/>
    <w:rsid w:val="00F326F9"/>
    <w:rsid w:val="00F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F9409-E30F-4082-ACFB-E8369B52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C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5AC0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AC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5AC0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5AC0"/>
    <w:pPr>
      <w:keepNext/>
      <w:outlineLvl w:val="3"/>
    </w:pPr>
    <w:rPr>
      <w:b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5AC0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5AC0"/>
    <w:pPr>
      <w:keepNext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5AC0"/>
    <w:pPr>
      <w:keepNext/>
      <w:tabs>
        <w:tab w:val="left" w:pos="1958"/>
        <w:tab w:val="left" w:pos="4291"/>
        <w:tab w:val="left" w:pos="5251"/>
        <w:tab w:val="left" w:pos="5933"/>
        <w:tab w:val="left" w:pos="6706"/>
        <w:tab w:val="left" w:pos="7752"/>
        <w:tab w:val="left" w:pos="8702"/>
        <w:tab w:val="left" w:pos="9518"/>
        <w:tab w:val="left" w:pos="10997"/>
      </w:tabs>
      <w:outlineLvl w:val="6"/>
    </w:pPr>
    <w:rPr>
      <w:rFonts w:ascii="Arial" w:hAnsi="Arial"/>
      <w:snapToGrid w:val="0"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5AC0"/>
    <w:pPr>
      <w:keepNext/>
      <w:tabs>
        <w:tab w:val="left" w:pos="1958"/>
        <w:tab w:val="left" w:pos="4291"/>
        <w:tab w:val="left" w:pos="5251"/>
        <w:tab w:val="left" w:pos="5933"/>
        <w:tab w:val="left" w:pos="6706"/>
        <w:tab w:val="left" w:pos="7752"/>
        <w:tab w:val="left" w:pos="8702"/>
        <w:tab w:val="left" w:pos="9518"/>
        <w:tab w:val="left" w:pos="10997"/>
      </w:tabs>
      <w:outlineLvl w:val="7"/>
    </w:pPr>
    <w:rPr>
      <w:rFonts w:ascii="Arial" w:hAnsi="Arial"/>
      <w:b/>
      <w:snapToGrid w:val="0"/>
      <w:color w:val="00000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AC0"/>
    <w:pPr>
      <w:keepNext/>
      <w:tabs>
        <w:tab w:val="left" w:pos="1958"/>
        <w:tab w:val="left" w:pos="4291"/>
        <w:tab w:val="left" w:pos="5251"/>
        <w:tab w:val="left" w:pos="5933"/>
        <w:tab w:val="left" w:pos="6706"/>
        <w:tab w:val="left" w:pos="7752"/>
        <w:tab w:val="left" w:pos="8702"/>
        <w:tab w:val="left" w:pos="9518"/>
        <w:tab w:val="left" w:pos="10997"/>
      </w:tabs>
      <w:outlineLvl w:val="8"/>
    </w:pPr>
    <w:rPr>
      <w:rFonts w:ascii="Arial" w:hAnsi="Arial"/>
      <w:b/>
      <w:i/>
      <w:snapToGrid w:val="0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5AC0"/>
    <w:rPr>
      <w:rFonts w:ascii="Times New Roman" w:hAnsi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B5AC0"/>
    <w:rPr>
      <w:rFonts w:ascii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AB5AC0"/>
    <w:rPr>
      <w:rFonts w:ascii="Arial" w:hAnsi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5AC0"/>
    <w:rPr>
      <w:rFonts w:ascii="Times New Roman" w:hAnsi="Times New Roman"/>
      <w:b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B5AC0"/>
    <w:rPr>
      <w:rFonts w:ascii="Arial" w:hAnsi="Arial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B5AC0"/>
    <w:rPr>
      <w:rFonts w:ascii="Arial" w:hAnsi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AB5AC0"/>
    <w:rPr>
      <w:rFonts w:ascii="Arial" w:hAnsi="Arial"/>
      <w:snapToGrid w:val="0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5AC0"/>
    <w:rPr>
      <w:rFonts w:ascii="Arial" w:hAnsi="Arial"/>
      <w:b/>
      <w:snapToGrid w:val="0"/>
      <w:color w:val="00000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AB5AC0"/>
    <w:rPr>
      <w:rFonts w:ascii="Arial" w:hAnsi="Arial"/>
      <w:b/>
      <w:i/>
      <w:snapToGrid w:val="0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5AC0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AB5AC0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AB5AC0"/>
    <w:pPr>
      <w:ind w:left="720"/>
      <w:contextualSpacing/>
    </w:pPr>
    <w:rPr>
      <w:rFonts w:ascii="Arial" w:eastAsia="Times New Roman" w:hAnsi="Arial"/>
      <w:lang w:val="en-US"/>
    </w:rPr>
  </w:style>
  <w:style w:type="table" w:styleId="TableGrid">
    <w:name w:val="Table Grid"/>
    <w:basedOn w:val="TableNormal"/>
    <w:uiPriority w:val="39"/>
    <w:rsid w:val="00F3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A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AE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A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AED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4EA2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41017C"/>
    <w:rPr>
      <w:rFonts w:eastAsia="PMingLiU" w:cs="Calibri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eibg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ob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 Georgieva</dc:creator>
  <cp:keywords/>
  <dc:description/>
  <cp:lastModifiedBy>Rumi Georgieva</cp:lastModifiedBy>
  <cp:revision>2</cp:revision>
  <cp:lastPrinted>2024-01-30T15:35:00Z</cp:lastPrinted>
  <dcterms:created xsi:type="dcterms:W3CDTF">2024-12-04T10:54:00Z</dcterms:created>
  <dcterms:modified xsi:type="dcterms:W3CDTF">2024-12-04T10:54:00Z</dcterms:modified>
</cp:coreProperties>
</file>