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74C5" w14:textId="6122DCE8" w:rsidR="00F300AD" w:rsidRDefault="00D64F05" w:rsidP="00D64F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F05">
        <w:rPr>
          <w:rFonts w:ascii="Times New Roman" w:hAnsi="Times New Roman" w:cs="Times New Roman"/>
          <w:b/>
          <w:bCs/>
          <w:sz w:val="28"/>
          <w:szCs w:val="28"/>
        </w:rPr>
        <w:t>„МИСИЯ БЕЗОПАСНИ ПЪТИЩА“</w:t>
      </w:r>
    </w:p>
    <w:p w14:paraId="118198BC" w14:textId="77777777" w:rsidR="00F8354F" w:rsidRDefault="00F8354F" w:rsidP="00D64F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DA516" w14:textId="0A75B80F" w:rsidR="00D64F05" w:rsidRDefault="00F8354F" w:rsidP="00D64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64F05">
        <w:rPr>
          <w:rFonts w:ascii="Times New Roman" w:hAnsi="Times New Roman" w:cs="Times New Roman"/>
          <w:sz w:val="28"/>
          <w:szCs w:val="28"/>
        </w:rPr>
        <w:t>„Мисия безопасни пътища“ е национална гражданска инициатива</w:t>
      </w:r>
      <w:r w:rsidR="000F2143">
        <w:rPr>
          <w:rFonts w:ascii="Times New Roman" w:hAnsi="Times New Roman" w:cs="Times New Roman"/>
          <w:sz w:val="28"/>
          <w:szCs w:val="28"/>
        </w:rPr>
        <w:t xml:space="preserve"> на Института за пътна безопасност,</w:t>
      </w:r>
      <w:r w:rsidR="00D64F05">
        <w:rPr>
          <w:rFonts w:ascii="Times New Roman" w:hAnsi="Times New Roman" w:cs="Times New Roman"/>
          <w:sz w:val="28"/>
          <w:szCs w:val="28"/>
        </w:rPr>
        <w:t xml:space="preserve"> която има за цел да принуди държавните институции да доставят безопасна транспортна среда. Философията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4F05">
        <w:rPr>
          <w:rFonts w:ascii="Times New Roman" w:hAnsi="Times New Roman" w:cs="Times New Roman"/>
          <w:sz w:val="28"/>
          <w:szCs w:val="28"/>
        </w:rPr>
        <w:t xml:space="preserve"> която изповядваме е</w:t>
      </w:r>
      <w:r w:rsidR="000F2143">
        <w:rPr>
          <w:rFonts w:ascii="Times New Roman" w:hAnsi="Times New Roman" w:cs="Times New Roman"/>
          <w:sz w:val="28"/>
          <w:szCs w:val="28"/>
        </w:rPr>
        <w:t>,</w:t>
      </w:r>
      <w:r w:rsidR="00D64F05">
        <w:rPr>
          <w:rFonts w:ascii="Times New Roman" w:hAnsi="Times New Roman" w:cs="Times New Roman"/>
          <w:sz w:val="28"/>
          <w:szCs w:val="28"/>
        </w:rPr>
        <w:t xml:space="preserve"> че човек винаги ще допуска грешки, но целта е те да не водят до смърт или тежки наранявания. Това може да бъде постигнато чрез:</w:t>
      </w:r>
    </w:p>
    <w:p w14:paraId="7F281C98" w14:textId="1E28B7E3" w:rsidR="00590BBA" w:rsidRPr="00D84AA2" w:rsidRDefault="00D64F05" w:rsidP="00D84AA2">
      <w:pPr>
        <w:pStyle w:val="a3"/>
        <w:numPr>
          <w:ilvl w:val="0"/>
          <w:numId w:val="5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bg-BG"/>
        </w:rPr>
      </w:pPr>
      <w:r w:rsidRPr="00D84AA2">
        <w:rPr>
          <w:rFonts w:ascii="Times New Roman" w:hAnsi="Times New Roman" w:cs="Times New Roman"/>
          <w:b/>
          <w:bCs/>
          <w:sz w:val="32"/>
          <w:szCs w:val="32"/>
        </w:rPr>
        <w:t xml:space="preserve">Нов закон </w:t>
      </w:r>
      <w:r w:rsidRPr="00D84AA2">
        <w:rPr>
          <w:rFonts w:ascii="Times New Roman" w:hAnsi="Times New Roman" w:cs="Times New Roman"/>
          <w:sz w:val="24"/>
          <w:szCs w:val="24"/>
        </w:rPr>
        <w:t>за движение по пътищата</w:t>
      </w:r>
      <w:r w:rsidR="00F8354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84AA2">
        <w:rPr>
          <w:rFonts w:ascii="Times New Roman" w:hAnsi="Times New Roman" w:cs="Times New Roman"/>
          <w:sz w:val="24"/>
          <w:szCs w:val="24"/>
        </w:rPr>
        <w:t xml:space="preserve"> който ясно и еднозначно да регламентира отговорността на доставчика на </w:t>
      </w:r>
      <w:r w:rsidR="00D84AA2">
        <w:rPr>
          <w:rFonts w:ascii="Times New Roman" w:hAnsi="Times New Roman" w:cs="Times New Roman"/>
          <w:sz w:val="24"/>
          <w:szCs w:val="24"/>
        </w:rPr>
        <w:t>пътно</w:t>
      </w:r>
      <w:r w:rsidRPr="00D84AA2">
        <w:rPr>
          <w:rFonts w:ascii="Times New Roman" w:hAnsi="Times New Roman" w:cs="Times New Roman"/>
          <w:sz w:val="24"/>
          <w:szCs w:val="24"/>
        </w:rPr>
        <w:t>транспортната система. Изгражда се верига на отговорности която следва</w:t>
      </w:r>
      <w:r w:rsidR="00590BBA" w:rsidRPr="00D84AA2">
        <w:rPr>
          <w:rFonts w:ascii="Times New Roman" w:hAnsi="Times New Roman" w:cs="Times New Roman"/>
          <w:sz w:val="24"/>
          <w:szCs w:val="24"/>
        </w:rPr>
        <w:t>:</w:t>
      </w:r>
    </w:p>
    <w:p w14:paraId="7663B911" w14:textId="67921D9A" w:rsidR="00590BBA" w:rsidRPr="00D84AA2" w:rsidRDefault="00590BBA" w:rsidP="00D84AA2">
      <w:pPr>
        <w:pStyle w:val="a3"/>
        <w:numPr>
          <w:ilvl w:val="0"/>
          <w:numId w:val="4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4AA2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eastAsia="bg-BG"/>
        </w:rPr>
        <w:t>Системните</w:t>
      </w:r>
      <w:r w:rsidRPr="00D84AA2">
        <w:rPr>
          <w:rFonts w:ascii="Times New Roman" w:eastAsia="Calibri" w:hAnsi="Times New Roman" w:cs="Times New Roman"/>
          <w:b/>
          <w:bCs/>
          <w:color w:val="FF0000"/>
          <w:spacing w:val="2"/>
          <w:kern w:val="24"/>
          <w:sz w:val="24"/>
          <w:szCs w:val="24"/>
          <w:lang w:eastAsia="bg-BG"/>
        </w:rPr>
        <w:t xml:space="preserve"> </w:t>
      </w:r>
      <w:r w:rsidRPr="00D84AA2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eastAsia="bg-BG"/>
        </w:rPr>
        <w:t>проектанти</w:t>
      </w:r>
      <w:r w:rsidR="00D84AA2" w:rsidRPr="00D84AA2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eastAsia="bg-BG"/>
        </w:rPr>
        <w:t xml:space="preserve"> </w:t>
      </w:r>
      <w:r w:rsidR="00D84AA2" w:rsidRPr="00D84AA2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val="en-US" w:eastAsia="bg-BG"/>
        </w:rPr>
        <w:t>(</w:t>
      </w:r>
      <w:r w:rsidR="00D84AA2" w:rsidRPr="00D84AA2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eastAsia="bg-BG"/>
        </w:rPr>
        <w:t>държавните институции</w:t>
      </w:r>
      <w:r w:rsidR="00D84AA2" w:rsidRPr="00D84AA2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val="en-US" w:eastAsia="bg-BG"/>
        </w:rPr>
        <w:t>)</w:t>
      </w:r>
      <w:r w:rsidRPr="00D84AA2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eastAsia="bg-BG"/>
        </w:rPr>
        <w:t xml:space="preserve"> </w:t>
      </w:r>
      <w:r w:rsidRPr="00D84AA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bg-BG"/>
        </w:rPr>
        <w:t>са отговорни за дизайна,  изпълнението и използването на пътнотранспортната система и по този начин са отговорни за нивото на безопасност в рамките на  цялата</w:t>
      </w:r>
      <w:r w:rsidRPr="00D84AA2">
        <w:rPr>
          <w:rFonts w:ascii="Times New Roman" w:eastAsia="Calibri" w:hAnsi="Times New Roman" w:cs="Times New Roman"/>
          <w:color w:val="000000" w:themeColor="text1"/>
          <w:spacing w:val="-3"/>
          <w:kern w:val="24"/>
          <w:sz w:val="24"/>
          <w:szCs w:val="24"/>
          <w:lang w:eastAsia="bg-BG"/>
        </w:rPr>
        <w:t xml:space="preserve"> </w:t>
      </w:r>
      <w:r w:rsidRPr="00D84AA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bg-BG"/>
        </w:rPr>
        <w:t>система.</w:t>
      </w:r>
    </w:p>
    <w:p w14:paraId="6ABFBB62" w14:textId="30E77367" w:rsidR="00590BBA" w:rsidRPr="00D84AA2" w:rsidRDefault="00590BBA" w:rsidP="00D84AA2">
      <w:pPr>
        <w:pStyle w:val="a3"/>
        <w:numPr>
          <w:ilvl w:val="0"/>
          <w:numId w:val="4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4AA2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eastAsia="bg-BG"/>
        </w:rPr>
        <w:t>Участниците</w:t>
      </w:r>
      <w:r w:rsidRPr="00D84AA2">
        <w:rPr>
          <w:rFonts w:ascii="Times New Roman" w:eastAsia="Calibri" w:hAnsi="Times New Roman" w:cs="Times New Roman"/>
          <w:b/>
          <w:bCs/>
          <w:color w:val="FF0000"/>
          <w:spacing w:val="1"/>
          <w:kern w:val="24"/>
          <w:sz w:val="24"/>
          <w:szCs w:val="24"/>
          <w:lang w:eastAsia="bg-BG"/>
        </w:rPr>
        <w:t xml:space="preserve"> </w:t>
      </w:r>
      <w:r w:rsidRPr="00D84AA2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eastAsia="bg-BG"/>
        </w:rPr>
        <w:t>в</w:t>
      </w:r>
      <w:r w:rsidRPr="00D84AA2">
        <w:rPr>
          <w:rFonts w:ascii="Times New Roman" w:eastAsia="Calibri" w:hAnsi="Times New Roman" w:cs="Times New Roman"/>
          <w:b/>
          <w:bCs/>
          <w:color w:val="FF0000"/>
          <w:spacing w:val="2"/>
          <w:kern w:val="24"/>
          <w:sz w:val="24"/>
          <w:szCs w:val="24"/>
          <w:lang w:eastAsia="bg-BG"/>
        </w:rPr>
        <w:t xml:space="preserve"> </w:t>
      </w:r>
      <w:r w:rsidRPr="00D84AA2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eastAsia="bg-BG"/>
        </w:rPr>
        <w:t>движението</w:t>
      </w:r>
      <w:r w:rsidR="00F8354F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val="en-US" w:eastAsia="bg-BG"/>
        </w:rPr>
        <w:t xml:space="preserve"> </w:t>
      </w:r>
      <w:r w:rsidRPr="00D84AA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bg-BG"/>
        </w:rPr>
        <w:t>са отговорни за следването на  правилата за използване на пътнотранспортната</w:t>
      </w:r>
      <w:r w:rsidRPr="00D84AA2">
        <w:rPr>
          <w:rFonts w:ascii="Times New Roman" w:eastAsia="Calibri" w:hAnsi="Times New Roman" w:cs="Times New Roman"/>
          <w:color w:val="000000" w:themeColor="text1"/>
          <w:spacing w:val="-4"/>
          <w:kern w:val="24"/>
          <w:sz w:val="24"/>
          <w:szCs w:val="24"/>
          <w:lang w:eastAsia="bg-BG"/>
        </w:rPr>
        <w:t xml:space="preserve"> </w:t>
      </w:r>
      <w:r w:rsidRPr="00D84AA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bg-BG"/>
        </w:rPr>
        <w:t>система, изготвени от системните</w:t>
      </w:r>
      <w:r w:rsidRPr="00D84AA2">
        <w:rPr>
          <w:rFonts w:ascii="Times New Roman" w:eastAsia="Calibri" w:hAnsi="Times New Roman" w:cs="Times New Roman"/>
          <w:color w:val="000000" w:themeColor="text1"/>
          <w:spacing w:val="-9"/>
          <w:kern w:val="24"/>
          <w:sz w:val="24"/>
          <w:szCs w:val="24"/>
          <w:lang w:eastAsia="bg-BG"/>
        </w:rPr>
        <w:t xml:space="preserve"> </w:t>
      </w:r>
      <w:r w:rsidRPr="00D84AA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bg-BG"/>
        </w:rPr>
        <w:t>проектанти.</w:t>
      </w:r>
    </w:p>
    <w:p w14:paraId="58848254" w14:textId="0B7D7A9D" w:rsidR="00590BBA" w:rsidRPr="00D84AA2" w:rsidRDefault="00590BBA" w:rsidP="00D84AA2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4AA2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eastAsia="bg-BG"/>
        </w:rPr>
        <w:t xml:space="preserve">Ако участниците в движението не успяват да се  съобразяват </w:t>
      </w:r>
      <w:r w:rsidRPr="00D84AA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bg-BG"/>
        </w:rPr>
        <w:t xml:space="preserve">с тези правила поради липса на знание, възприемане или умения, то системните проектанти са задължени </w:t>
      </w:r>
      <w:r w:rsidRPr="00D84AA2">
        <w:rPr>
          <w:rFonts w:ascii="Times New Roman" w:eastAsia="Calibri" w:hAnsi="Times New Roman" w:cs="Times New Roman"/>
          <w:color w:val="000000" w:themeColor="text1"/>
          <w:spacing w:val="-2"/>
          <w:kern w:val="24"/>
          <w:sz w:val="24"/>
          <w:szCs w:val="24"/>
          <w:lang w:eastAsia="bg-BG"/>
        </w:rPr>
        <w:t xml:space="preserve">да </w:t>
      </w:r>
      <w:r w:rsidRPr="00D84AA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bg-BG"/>
        </w:rPr>
        <w:t xml:space="preserve">вземат нужни  последващи мерки, за да въздействат на това </w:t>
      </w:r>
      <w:r w:rsidRPr="00D84AA2">
        <w:rPr>
          <w:rFonts w:ascii="Times New Roman" w:eastAsia="Calibri" w:hAnsi="Times New Roman" w:cs="Times New Roman"/>
          <w:color w:val="000000" w:themeColor="text1"/>
          <w:spacing w:val="-2"/>
          <w:kern w:val="24"/>
          <w:sz w:val="24"/>
          <w:szCs w:val="24"/>
          <w:lang w:eastAsia="bg-BG"/>
        </w:rPr>
        <w:t xml:space="preserve">да  </w:t>
      </w:r>
      <w:r w:rsidRPr="00D84AA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bg-BG"/>
        </w:rPr>
        <w:t>няма загинали или ранени на</w:t>
      </w:r>
      <w:r w:rsidRPr="00D84AA2">
        <w:rPr>
          <w:rFonts w:ascii="Times New Roman" w:eastAsia="Calibri" w:hAnsi="Times New Roman" w:cs="Times New Roman"/>
          <w:color w:val="000000" w:themeColor="text1"/>
          <w:spacing w:val="-4"/>
          <w:kern w:val="24"/>
          <w:sz w:val="24"/>
          <w:szCs w:val="24"/>
          <w:lang w:eastAsia="bg-BG"/>
        </w:rPr>
        <w:t xml:space="preserve"> </w:t>
      </w:r>
      <w:r w:rsidRPr="00D84AA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bg-BG"/>
        </w:rPr>
        <w:t>пътя.</w:t>
      </w:r>
    </w:p>
    <w:p w14:paraId="67D5895D" w14:textId="77777777" w:rsidR="00D84AA2" w:rsidRPr="00D84AA2" w:rsidRDefault="00D84AA2" w:rsidP="00D84AA2">
      <w:pPr>
        <w:pStyle w:val="a3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17348B" w14:textId="3A43162D" w:rsidR="00D84AA2" w:rsidRPr="00D84AA2" w:rsidRDefault="00D84AA2" w:rsidP="00D84AA2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4AA2">
        <w:rPr>
          <w:rFonts w:ascii="Times New Roman" w:hAnsi="Times New Roman" w:cs="Times New Roman"/>
          <w:b/>
          <w:sz w:val="28"/>
          <w:szCs w:val="28"/>
        </w:rPr>
        <w:t>Извършване на институционална реформа</w:t>
      </w:r>
      <w:r w:rsidRPr="00D84AA2">
        <w:rPr>
          <w:rFonts w:ascii="Times New Roman" w:hAnsi="Times New Roman" w:cs="Times New Roman"/>
          <w:bCs/>
          <w:sz w:val="24"/>
          <w:szCs w:val="24"/>
        </w:rPr>
        <w:t xml:space="preserve"> чрез обединяване на Държавна агенция „Безопасност на движението по пътищата“, Агенция „Пътна инфраструктура“ и Изпълнителна агенция „Автомобилна администрация“ в Държавна агенция „Пътна администрация“. Чрез тази нова структура за управление ще се </w:t>
      </w:r>
      <w:proofErr w:type="spellStart"/>
      <w:r w:rsidRPr="00D84AA2">
        <w:rPr>
          <w:rFonts w:ascii="Times New Roman" w:hAnsi="Times New Roman" w:cs="Times New Roman"/>
          <w:bCs/>
          <w:sz w:val="24"/>
          <w:szCs w:val="24"/>
        </w:rPr>
        <w:t>приоритизира</w:t>
      </w:r>
      <w:proofErr w:type="spellEnd"/>
      <w:r w:rsidRPr="00D84AA2">
        <w:rPr>
          <w:rFonts w:ascii="Times New Roman" w:hAnsi="Times New Roman" w:cs="Times New Roman"/>
          <w:bCs/>
          <w:sz w:val="24"/>
          <w:szCs w:val="24"/>
        </w:rPr>
        <w:t xml:space="preserve"> пътната безопасност като се достигнат необходимите нива на ефективно управление. Ще се намали значително административната тежест. Новата структура ще се превърне в първостепенен разпределител на бюджетни средства и ще бъде държавния орган</w:t>
      </w:r>
      <w:r w:rsidR="00F8354F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D84AA2">
        <w:rPr>
          <w:rFonts w:ascii="Times New Roman" w:hAnsi="Times New Roman" w:cs="Times New Roman"/>
          <w:bCs/>
          <w:sz w:val="24"/>
          <w:szCs w:val="24"/>
        </w:rPr>
        <w:t xml:space="preserve"> отговорен за състоянието на безопасността на цялата пътнотранспортна система.</w:t>
      </w:r>
    </w:p>
    <w:p w14:paraId="3BE31E1F" w14:textId="21D6AE63" w:rsidR="00D84AA2" w:rsidRDefault="00D84AA2" w:rsidP="00D84AA2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AE6F37" w14:textId="4C814A68" w:rsidR="000F2143" w:rsidRPr="000F2143" w:rsidRDefault="00D84AA2" w:rsidP="000F21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143">
        <w:rPr>
          <w:rFonts w:ascii="Times New Roman" w:hAnsi="Times New Roman" w:cs="Times New Roman"/>
          <w:b/>
          <w:sz w:val="28"/>
          <w:szCs w:val="28"/>
        </w:rPr>
        <w:t>Нормативно регламентиране</w:t>
      </w:r>
      <w:r w:rsidRPr="000F2143">
        <w:rPr>
          <w:rFonts w:ascii="Times New Roman" w:hAnsi="Times New Roman" w:cs="Times New Roman"/>
          <w:bCs/>
          <w:sz w:val="24"/>
          <w:szCs w:val="24"/>
        </w:rPr>
        <w:t xml:space="preserve"> на извънсистемния контрол</w:t>
      </w:r>
      <w:r w:rsidR="000F2143" w:rsidRPr="000F2143">
        <w:rPr>
          <w:rFonts w:ascii="Times New Roman" w:hAnsi="Times New Roman" w:cs="Times New Roman"/>
          <w:bCs/>
          <w:sz w:val="24"/>
          <w:szCs w:val="24"/>
        </w:rPr>
        <w:t>, у</w:t>
      </w:r>
      <w:r w:rsidRPr="000F2143">
        <w:rPr>
          <w:rFonts w:ascii="Times New Roman" w:hAnsi="Times New Roman" w:cs="Times New Roman"/>
          <w:bCs/>
          <w:sz w:val="24"/>
          <w:szCs w:val="24"/>
        </w:rPr>
        <w:t>становяване на стандарти за управление на риска от ПТП</w:t>
      </w:r>
      <w:r w:rsidR="000F2143" w:rsidRPr="000F214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0F2143" w:rsidRPr="000F2143">
        <w:rPr>
          <w:rFonts w:ascii="Times New Roman" w:eastAsia="Times New Roman" w:hAnsi="Times New Roman" w:cs="Times New Roman"/>
          <w:bCs/>
          <w:sz w:val="24"/>
          <w:szCs w:val="24"/>
        </w:rPr>
        <w:t>въвеждане на отворена информационна система по безопасност на движението по пътищата ще дадат възможност създадените корупционни практики да ерозират и участниците в тях да бъдат осветлени. Законовото допускане до информацията на дейността на държавните институции в реално време е първата крачка за ограничаване на корупцията по нашите пътища.</w:t>
      </w:r>
    </w:p>
    <w:p w14:paraId="6AB2F46D" w14:textId="77777777" w:rsidR="000F2143" w:rsidRPr="000F2143" w:rsidRDefault="000F2143" w:rsidP="000F214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17106302" w14:textId="1431665A" w:rsidR="000F2143" w:rsidRDefault="000F2143" w:rsidP="000F214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30564C" w14:textId="73B83EE3" w:rsidR="000F2143" w:rsidRPr="000F2143" w:rsidRDefault="000F2143" w:rsidP="000F214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143">
        <w:rPr>
          <w:rFonts w:ascii="Times New Roman" w:hAnsi="Times New Roman" w:cs="Times New Roman"/>
          <w:b/>
          <w:sz w:val="24"/>
          <w:szCs w:val="24"/>
        </w:rPr>
        <w:t>Екип на Института за пътна безопасност</w:t>
      </w:r>
    </w:p>
    <w:p w14:paraId="66A1F12E" w14:textId="77777777" w:rsidR="000F2143" w:rsidRPr="000F2143" w:rsidRDefault="000F2143" w:rsidP="00D84AA2">
      <w:pPr>
        <w:jc w:val="both"/>
        <w:rPr>
          <w:bCs/>
        </w:rPr>
      </w:pPr>
    </w:p>
    <w:sectPr w:rsidR="000F2143" w:rsidRPr="000F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C32"/>
    <w:multiLevelType w:val="hybridMultilevel"/>
    <w:tmpl w:val="B9E4D564"/>
    <w:lvl w:ilvl="0" w:tplc="A8BC9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17FA"/>
    <w:multiLevelType w:val="hybridMultilevel"/>
    <w:tmpl w:val="F84E78EC"/>
    <w:lvl w:ilvl="0" w:tplc="C0FAE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1CC2"/>
    <w:multiLevelType w:val="hybridMultilevel"/>
    <w:tmpl w:val="DFD234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D50A9"/>
    <w:multiLevelType w:val="hybridMultilevel"/>
    <w:tmpl w:val="D9AE879C"/>
    <w:lvl w:ilvl="0" w:tplc="A8BC9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E3E0D"/>
    <w:multiLevelType w:val="hybridMultilevel"/>
    <w:tmpl w:val="5B846A50"/>
    <w:lvl w:ilvl="0" w:tplc="10C4A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34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AD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2B7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7F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092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0F2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AA0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C8B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456AA"/>
    <w:multiLevelType w:val="hybridMultilevel"/>
    <w:tmpl w:val="D5F830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0715">
    <w:abstractNumId w:val="3"/>
  </w:num>
  <w:num w:numId="2" w16cid:durableId="999120796">
    <w:abstractNumId w:val="4"/>
  </w:num>
  <w:num w:numId="3" w16cid:durableId="434792443">
    <w:abstractNumId w:val="1"/>
  </w:num>
  <w:num w:numId="4" w16cid:durableId="329795915">
    <w:abstractNumId w:val="0"/>
  </w:num>
  <w:num w:numId="5" w16cid:durableId="1049114071">
    <w:abstractNumId w:val="2"/>
  </w:num>
  <w:num w:numId="6" w16cid:durableId="1964381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72D"/>
    <w:rsid w:val="000F2143"/>
    <w:rsid w:val="0029072D"/>
    <w:rsid w:val="00590BBA"/>
    <w:rsid w:val="00D64F05"/>
    <w:rsid w:val="00D84AA2"/>
    <w:rsid w:val="00F300AD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E8D5"/>
  <w15:chartTrackingRefBased/>
  <w15:docId w15:val="{E3E47F5E-5527-45BD-8E92-C5E3996B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ASUS</cp:lastModifiedBy>
  <cp:revision>4</cp:revision>
  <dcterms:created xsi:type="dcterms:W3CDTF">2023-02-03T07:16:00Z</dcterms:created>
  <dcterms:modified xsi:type="dcterms:W3CDTF">2023-02-03T08:10:00Z</dcterms:modified>
</cp:coreProperties>
</file>